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476EC5C" ns2:textId="77777777" w:rsidR="009A010E" w:rsidRDefault="00663E38">
      <w:pPr>
        <w:pStyle w:val="Title"/>
      </w:pPr>
      <w:r>
        <w:t>Kvant Project Description</w:t>
      </w:r>
    </w:p>
    <w:p ns2:paraId="71566374" ns2:textId="77777777" w:rsidR="009A010E" w:rsidRDefault="00663E38">
      <w:pPr>
        <w:pStyle w:val="KvantSubtitle"/>
      </w:pPr>
      <w:r>
        <w:t>Framework, methods, metrics, and theoretical motivation for the current side-plus-meta-labeling intraday trading research pipeline</w:t>
      </w:r>
    </w:p>
    <w:p ns2:paraId="1A3257C6" ns2:textId="77777777" w:rsidR="009A010E" w:rsidRDefault="009A010E">
      <w:pPr>
        <w:pBdr>
          <w:bottom w:val="single" w:sz="12" w:space="1" w:color="1F4E79"/>
        </w:pBdr>
        <w:spacing w:after="160"/>
      </w:pPr>
    </w:p>
    <w:p ns2:paraId="0E3A3A43" ns2:textId="77777777" w:rsidR="009A010E" w:rsidRDefault="00663E38">
      <w:pPr>
        <w:pStyle w:val="KvantGlanceHeading"/>
      </w:pPr>
      <w:proofErr w:type="gramStart"/>
      <w:r>
        <w:t>At a glance</w:t>
      </w:r>
      <w:proofErr w:type="gramEnd"/>
    </w:p>
    <w:tbl>
      <w:tblPr>
        <w:tblW w:w="0" w:type="auto"/>
        <w:jc w:val="center"/>
        <w:tblLayout w:type="fixed"/>
        <w:tblLook w:val="04A0" w:firstRow="1" w:lastRow="0" w:firstColumn="1" w:lastColumn="0" w:noHBand="0" w:noVBand="1"/>
      </w:tblPr>
      <w:tblGrid>
        <w:gridCol w:w="2232"/>
        <w:gridCol w:w="7406"/>
      </w:tblGrid>
      <w:tr w:rsidR="009A010E" ns2:paraId="50EC6CA6" ns2:textId="77777777">
        <w:trPr>
          <w:jc w:val="center"/>
        </w:trPr>
        <w:tc>
          <w:tcPr>
            <w:tcW w:w="2232" w:type="dxa"/>
            <w:tcBorders>
              <w:top w:val="single" w:sz="4" w:space="0" w:color="C9D2DF"/>
              <w:left w:val="single" w:sz="4" w:space="0" w:color="C9D2DF"/>
              <w:bottom w:val="single" w:sz="4" w:space="0" w:color="C9D2DF"/>
              <w:right w:val="single" w:sz="4" w:space="0" w:color="C9D2DF"/>
            </w:tcBorders>
            <w:shd w:val="clear" w:color="auto" w:fill="D9E2F3"/>
            <w:tcMar>
              <w:top w:w="80" w:type="dxa"/>
              <w:left w:w="110" w:type="dxa"/>
              <w:bottom w:w="80" w:type="dxa"/>
              <w:right w:w="110" w:type="dxa"/>
            </w:tcMar>
            <w:vAlign w:val="center"/>
          </w:tcPr>
          <w:p ns2:paraId="6AD9C3C0" ns2:textId="77777777" w:rsidR="009A010E" w:rsidRDefault="00663E38">
            <w:r>
              <w:rPr>
                <w:rFonts w:cs="Calibri"/>
                <w:b/>
                <w:color w:val="44546A"/>
                <w:sz w:val="20"/>
              </w:rPr>
              <w:t>Scope</w:t>
            </w:r>
          </w:p>
        </w:tc>
        <w:tc>
          <w:tcPr>
            <w:tcW w:w="740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F378B6B" ns2:textId="77777777" w:rsidR="009A010E" w:rsidRDefault="00663E38">
            <w:r>
              <w:rPr>
                <w:rFonts w:cs="Calibri"/>
                <w:sz w:val="20"/>
              </w:rPr>
              <w:t>Data ingestion, train-only sampler fitting, minute-level feature engineering, event-timestamp sampling, raw event-outcome labeling, primary-side model training, meta-label decision filtering, and backtest evaluation.</w:t>
            </w:r>
          </w:p>
        </w:tc>
      </w:tr>
      <w:tr w:rsidR="009A010E" ns2:paraId="09A911C3" ns2:textId="77777777">
        <w:trPr>
          <w:jc w:val="center"/>
        </w:trPr>
        <w:tc>
          <w:tcPr>
            <w:tcW w:w="2232" w:type="dxa"/>
            <w:tcBorders>
              <w:top w:val="single" w:sz="4" w:space="0" w:color="C9D2DF"/>
              <w:left w:val="single" w:sz="4" w:space="0" w:color="C9D2DF"/>
              <w:bottom w:val="single" w:sz="4" w:space="0" w:color="C9D2DF"/>
              <w:right w:val="single" w:sz="4" w:space="0" w:color="C9D2DF"/>
            </w:tcBorders>
            <w:shd w:val="clear" w:color="auto" w:fill="D9E2F3"/>
            <w:tcMar>
              <w:top w:w="80" w:type="dxa"/>
              <w:left w:w="110" w:type="dxa"/>
              <w:bottom w:w="80" w:type="dxa"/>
              <w:right w:w="110" w:type="dxa"/>
            </w:tcMar>
            <w:vAlign w:val="center"/>
          </w:tcPr>
          <w:p ns2:paraId="191101E9" ns2:textId="77777777" w:rsidR="009A010E" w:rsidRDefault="00663E38">
            <w:r>
              <w:rPr>
                <w:rFonts w:cs="Calibri"/>
                <w:b/>
                <w:color w:val="44546A"/>
                <w:sz w:val="20"/>
              </w:rPr>
              <w:t>Data context</w:t>
            </w:r>
          </w:p>
        </w:tc>
        <w:tc>
          <w:tcPr>
            <w:tcW w:w="740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C8306CF" ns2:textId="77777777" w:rsidR="009A010E" w:rsidRDefault="00663E38">
            <w:r>
              <w:rPr>
                <w:rFonts w:cs="Calibri"/>
                <w:sz w:val="20"/>
              </w:rPr>
              <w:t>Minute-level OHLCV data for a top-20 US equity universe, prepared as reusable walk-forward research artifacts.</w:t>
            </w:r>
          </w:p>
        </w:tc>
      </w:tr>
      <w:tr w:rsidR="009A010E" ns2:paraId="1FB00992" ns2:textId="77777777">
        <w:trPr>
          <w:jc w:val="center"/>
        </w:trPr>
        <w:tc>
          <w:tcPr>
            <w:tcW w:w="2232" w:type="dxa"/>
            <w:tcBorders>
              <w:top w:val="single" w:sz="4" w:space="0" w:color="C9D2DF"/>
              <w:left w:val="single" w:sz="4" w:space="0" w:color="C9D2DF"/>
              <w:bottom w:val="single" w:sz="4" w:space="0" w:color="C9D2DF"/>
              <w:right w:val="single" w:sz="4" w:space="0" w:color="C9D2DF"/>
            </w:tcBorders>
            <w:shd w:val="clear" w:color="auto" w:fill="D9E2F3"/>
            <w:tcMar>
              <w:top w:w="80" w:type="dxa"/>
              <w:left w:w="110" w:type="dxa"/>
              <w:bottom w:w="80" w:type="dxa"/>
              <w:right w:w="110" w:type="dxa"/>
            </w:tcMar>
            <w:vAlign w:val="center"/>
          </w:tcPr>
          <w:p ns2:paraId="361B2228" ns2:textId="77777777" w:rsidR="009A010E" w:rsidRDefault="00663E38">
            <w:r>
              <w:rPr>
                <w:rFonts w:cs="Calibri"/>
                <w:b/>
                <w:color w:val="44546A"/>
                <w:sz w:val="20"/>
              </w:rPr>
              <w:t>Core models</w:t>
            </w:r>
          </w:p>
        </w:tc>
        <w:tc>
          <w:tcPr>
            <w:tcW w:w="740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49FA3AD6" ns2:textId="77777777" w:rsidR="009A010E" w:rsidRDefault="00663E38">
            <w:r>
              <w:rPr>
                <w:rFonts w:cs="Calibri"/>
                <w:sz w:val="20"/>
              </w:rPr>
              <w:t>A compact Conv1D baseline and a stronger hybrid ResNet-LSTM classifier for the primary side task.</w:t>
            </w:r>
          </w:p>
        </w:tc>
      </w:tr>
      <w:tr w:rsidR="009A010E" ns2:paraId="003AB7F5" ns2:textId="77777777">
        <w:trPr>
          <w:jc w:val="center"/>
        </w:trPr>
        <w:tc>
          <w:tcPr>
            <w:tcW w:w="2232" w:type="dxa"/>
            <w:tcBorders>
              <w:top w:val="single" w:sz="4" w:space="0" w:color="C9D2DF"/>
              <w:left w:val="single" w:sz="4" w:space="0" w:color="C9D2DF"/>
              <w:bottom w:val="single" w:sz="4" w:space="0" w:color="C9D2DF"/>
              <w:right w:val="single" w:sz="4" w:space="0" w:color="C9D2DF"/>
            </w:tcBorders>
            <w:shd w:val="clear" w:color="auto" w:fill="D9E2F3"/>
            <w:tcMar>
              <w:top w:w="80" w:type="dxa"/>
              <w:left w:w="110" w:type="dxa"/>
              <w:bottom w:w="80" w:type="dxa"/>
              <w:right w:w="110" w:type="dxa"/>
            </w:tcMar>
            <w:vAlign w:val="center"/>
          </w:tcPr>
          <w:p ns2:paraId="3F6BFA1C" ns2:textId="77777777" w:rsidR="009A010E" w:rsidRDefault="00663E38">
            <w:r>
              <w:rPr>
                <w:rFonts w:cs="Calibri"/>
                <w:b/>
                <w:color w:val="44546A"/>
                <w:sz w:val="20"/>
              </w:rPr>
              <w:t>Default setup</w:t>
            </w:r>
          </w:p>
        </w:tc>
        <w:tc>
          <w:tcPr>
            <w:tcW w:w="740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C66D65F" ns2:textId="77777777" w:rsidR="009A010E" w:rsidRDefault="00663E38">
            <w:r>
              <w:rPr>
                <w:rFonts w:cs="Calibri"/>
                <w:sz w:val="20"/>
              </w:rPr>
              <w:t>Minute-level features sampled at CUSUM event timestamps, three-class event-outcome artifacts, 16 selected features, 180-minute / 1.5 percent triple-barrier settings, and a 30-bars-per-day CUSUM target.</w:t>
            </w:r>
          </w:p>
        </w:tc>
      </w:tr>
    </w:tbl>
    <w:p ns2:paraId="67AFE361" ns2:textId="77777777" w:rsidR="009A010E" w:rsidRDefault="00663E38">
      <w:pPr>
        <w:pStyle w:val="KvantNote"/>
      </w:pPr>
      <w:r>
        <w:t>This version reflects the current repository approach: raw three-class triple-barrier event artifacts, downstream primary-side training, meta-label trade filtering, and transaction-cost-aware evaluation.</w:t>
      </w:r>
    </w:p>
    <w:p ns2:paraId="61B2F4FA" ns2:textId="77777777" w:rsidR="009A010E" w:rsidRDefault="009A010E">
      <w:pPr>
        <w:sectPr w:rsidR="009A010E">
          <w:headerReference w:type="default" ns3:id="rId8"/>
          <w:footerReference w:type="default" ns3:id="rId9"/>
          <w:pgSz w:w="11906" w:h="16838"/>
          <w:pgMar w:top="1191" w:right="1134" w:bottom="1134" w:left="1134" w:header="454" w:footer="454" w:gutter="0"/>
          <w:cols w:space="720"/>
          <w:docGrid w:linePitch="360"/>
        </w:sectPr>
      </w:pPr>
    </w:p>
    <w:p ns2:paraId="296D02E6" ns2:textId="77777777" w:rsidR="009A010E" w:rsidRDefault="00663E38">
      <w:pPr>
        <w:pStyle w:val="Heading1"/>
        <w:pBdr>
          <w:bottom w:val="single" w:sz="8" w:space="2" w:color="D9E2F3"/>
        </w:pBdr>
      </w:pPr>
      <w:r>
        <w:lastRenderedPageBreak/>
        <w:t>1. Project purpose and big picture</w:t>
      </w:r>
    </w:p>
    <w:p ns2:paraId="5614F07E" ns2:textId="77777777" w:rsidR="009A010E" w:rsidRDefault="00663E38">
      <w:r>
        <w:t>Kvant is a research-oriented machine learning project for short-horizon trading in US equities. The project takes minute-level OHLCV market data, transforms it into event-based samples, engineers technical and time-based features, assigns raw triple-barrier event labels, trains neural networks for the primary trade side, and evaluates a meta-label decision layer with both machine-learning and trading metrics.</w:t>
      </w:r>
    </w:p>
    <w:p ns2:paraId="7C5B01CA" ns2:textId="77777777" w:rsidR="009A010E" w:rsidRDefault="00663E38">
      <w:r>
        <w:t>The practical goal is not only to predict whether a price move will be up or down. The current pipeline asks whether the model can identify actionable directional opportunities, decide when to abstain from weak signals, and remain useful after transaction costs, overlapping signals, and changing market regimes are considered.</w:t>
      </w:r>
    </w:p>
    <w:p ns2:paraId="4A60916D" ns2:textId="77777777" w:rsidR="009A010E" w:rsidRDefault="00663E38">
      <w:r>
        <w:t>The project is therefore best understood as an end-to-end research framework with six main stages: data ingestion, train-only sampler fitting, minute-level feature engineering, event-timestamp selection, raw event-outcome labeling, and primary-side plus meta-label trading evaluation.</w:t>
      </w:r>
    </w:p>
    <w:p ns2:paraId="75B7E3ED" ns2:textId="77777777" w:rsidR="009A010E" w:rsidRDefault="00663E38">
      <w:pPr>
        <w:pStyle w:val="KvantTableCaption"/>
      </w:pPr>
      <w:r>
        <w:t>Table 1. Project stages</w:t>
      </w:r>
    </w:p>
    <w:tbl>
      <w:tblPr>
        <w:tblStyle w:val="TableGrid"/>
        <w:tblW w:w="0" w:type="auto"/>
        <w:jc w:val="center"/>
        <w:tblLayout w:type="fixed"/>
        <w:tblLook w:val="04A0" w:firstRow="1" w:lastRow="0" w:firstColumn="1" w:lastColumn="0" w:noHBand="0" w:noVBand="1"/>
      </w:tblPr>
      <w:tblGrid>
        <w:gridCol w:w="3096"/>
        <w:gridCol w:w="6264"/>
      </w:tblGrid>
      <w:tr w:rsidR="009A010E" ns2:paraId="01211DCF" ns2:textId="77777777">
        <w:trPr>
          <w:cantSplit/>
          <w:tblHeader/>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2AAFF96E" ns2:textId="77777777" w:rsidR="009A010E" w:rsidRDefault="00663E38">
            <w:pPr>
              <w:keepLines/>
              <w:spacing w:after="0" w:line="254" w:lineRule="auto"/>
            </w:pPr>
            <w:r>
              <w:rPr>
                <w:rFonts w:cs="Calibri"/>
                <w:b/>
                <w:color w:val="FFFFFF"/>
                <w:sz w:val="20"/>
              </w:rPr>
              <w:t>Stage</w:t>
            </w:r>
          </w:p>
        </w:tc>
        <w:tc>
          <w:tcPr>
            <w:tcW w:w="6264"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3C00AE07" ns2:textId="77777777" w:rsidR="009A010E" w:rsidRDefault="00663E38">
            <w:pPr>
              <w:keepLines/>
              <w:spacing w:after="0" w:line="254" w:lineRule="auto"/>
            </w:pPr>
            <w:r>
              <w:rPr>
                <w:rFonts w:cs="Calibri"/>
                <w:b/>
                <w:color w:val="FFFFFF"/>
                <w:sz w:val="20"/>
              </w:rPr>
              <w:t>Purpose</w:t>
            </w:r>
          </w:p>
        </w:tc>
      </w:tr>
      <w:tr w:rsidR="009A010E" ns2:paraId="756F58E7"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6E814AD0" ns2:textId="77777777" w:rsidR="009A010E" w:rsidRDefault="00663E38">
            <w:pPr>
              <w:keepLines/>
              <w:spacing w:after="0" w:line="254" w:lineRule="auto"/>
            </w:pPr>
            <w:r>
              <w:rPr>
                <w:rFonts w:cs="Calibri"/>
                <w:b/>
                <w:color w:val="44546A"/>
                <w:sz w:val="20"/>
              </w:rPr>
              <w:t>Data ingestion</w:t>
            </w:r>
          </w:p>
        </w:tc>
        <w:tc>
          <w:tcPr>
            <w:tcW w:w="626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1200BBE" ns2:textId="77777777" w:rsidR="009A010E" w:rsidRDefault="00663E38">
            <w:pPr>
              <w:keepLines/>
              <w:spacing w:after="0" w:line="254" w:lineRule="auto"/>
            </w:pPr>
            <w:r>
              <w:rPr>
                <w:rFonts w:cs="Calibri"/>
                <w:sz w:val="20"/>
              </w:rPr>
              <w:t>Load minute-level OHLCV data for a fixed equity universe.</w:t>
            </w:r>
          </w:p>
        </w:tc>
      </w:tr>
      <w:tr w:rsidR="009A010E" ns2:paraId="12C439BE"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4BB290E0" ns2:textId="77777777" w:rsidR="009A010E" w:rsidRDefault="00663E38">
            <w:pPr>
              <w:keepLines/>
              <w:spacing w:after="0" w:line="254" w:lineRule="auto"/>
            </w:pPr>
            <w:r>
              <w:rPr>
                <w:rFonts w:cs="Calibri"/>
                <w:b/>
                <w:color w:val="44546A"/>
                <w:sz w:val="20"/>
              </w:rPr>
              <w:t>Train-only sampler fitting</w:t>
            </w:r>
          </w:p>
        </w:tc>
        <w:tc>
          <w:tcPr>
            <w:tcW w:w="626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C6CBE10" ns2:textId="77777777" w:rsidR="009A010E" w:rsidRDefault="00663E38">
            <w:pPr>
              <w:keepLines/>
              <w:spacing w:after="0" w:line="254" w:lineRule="auto"/>
            </w:pPr>
            <w:r>
              <w:rPr>
                <w:rFonts w:cs="Calibri"/>
                <w:sz w:val="20"/>
              </w:rPr>
              <w:t>Tune CUSUM thresholds on training data to identify event timestamps without using validation/test information.</w:t>
            </w:r>
          </w:p>
        </w:tc>
      </w:tr>
      <w:tr w:rsidR="009A010E" ns2:paraId="3AAC3F9F"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0CE7DDE8" ns2:textId="77777777" w:rsidR="009A010E" w:rsidRDefault="00663E38">
            <w:pPr>
              <w:keepLines/>
              <w:spacing w:after="0" w:line="254" w:lineRule="auto"/>
            </w:pPr>
            <w:r>
              <w:rPr>
                <w:rFonts w:cs="Calibri"/>
                <w:b/>
                <w:color w:val="44546A"/>
                <w:sz w:val="20"/>
              </w:rPr>
              <w:t>Minute-level feature engineering</w:t>
            </w:r>
          </w:p>
        </w:tc>
        <w:tc>
          <w:tcPr>
            <w:tcW w:w="626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638C361" ns2:textId="77777777" w:rsidR="009A010E" w:rsidRDefault="00663E38">
            <w:pPr>
              <w:keepLines/>
              <w:spacing w:after="0" w:line="254" w:lineRule="auto"/>
            </w:pPr>
            <w:r>
              <w:rPr>
                <w:rFonts w:cs="Calibri"/>
                <w:sz w:val="20"/>
              </w:rPr>
              <w:t>Compute technical, return, volatility, volume, and time features on the full minute-resolution series before subsetting to sampled events.</w:t>
            </w:r>
          </w:p>
        </w:tc>
      </w:tr>
      <w:tr w:rsidR="009A010E" ns2:paraId="4B752D12"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D11995D" ns2:textId="77777777" w:rsidR="009A010E" w:rsidRDefault="00663E38">
            <w:pPr>
              <w:keepLines/>
              <w:spacing w:after="0" w:line="254" w:lineRule="auto"/>
            </w:pPr>
            <w:r>
              <w:rPr>
                <w:rFonts w:cs="Calibri"/>
                <w:b/>
                <w:color w:val="44546A"/>
                <w:sz w:val="20"/>
              </w:rPr>
              <w:t>Event-timestamp sampling</w:t>
            </w:r>
          </w:p>
        </w:tc>
        <w:tc>
          <w:tcPr>
            <w:tcW w:w="626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735867D" ns2:textId="77777777" w:rsidR="009A010E" w:rsidRDefault="00663E38">
            <w:pPr>
              <w:keepLines/>
              <w:spacing w:after="0" w:line="254" w:lineRule="auto"/>
            </w:pPr>
            <w:r>
              <w:rPr>
                <w:rFonts w:cs="Calibri"/>
                <w:sz w:val="20"/>
              </w:rPr>
              <w:t>Select the minute-level feature rows that correspond to CUSUM event timestamps and aggregate OHLCV event bars for labels/backtests.</w:t>
            </w:r>
          </w:p>
        </w:tc>
      </w:tr>
      <w:tr w:rsidR="009A010E" ns2:paraId="0984CFD6"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694EE633" ns2:textId="77777777" w:rsidR="009A010E" w:rsidRDefault="00663E38">
            <w:pPr>
              <w:keepLines/>
              <w:spacing w:after="0" w:line="254" w:lineRule="auto"/>
            </w:pPr>
            <w:r>
              <w:rPr>
                <w:rFonts w:cs="Calibri"/>
                <w:b/>
                <w:color w:val="44546A"/>
                <w:sz w:val="20"/>
              </w:rPr>
              <w:t>Triple-barrier labeling</w:t>
            </w:r>
          </w:p>
        </w:tc>
        <w:tc>
          <w:tcPr>
            <w:tcW w:w="626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12E22A7E" ns2:textId="77777777" w:rsidR="009A010E" w:rsidRDefault="00663E38">
            <w:pPr>
              <w:keepLines/>
              <w:spacing w:after="0" w:line="254" w:lineRule="auto"/>
            </w:pPr>
            <w:r>
              <w:rPr>
                <w:rFonts w:cs="Calibri"/>
                <w:sz w:val="20"/>
              </w:rPr>
              <w:t>Persist raw down, exit, and up event outcomes using take-profit, stop-loss, and time-exit logic.</w:t>
            </w:r>
          </w:p>
        </w:tc>
      </w:tr>
      <w:tr w:rsidR="009A010E" ns2:paraId="712C6BC6"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4725F0BA" ns2:textId="77777777" w:rsidR="009A010E" w:rsidRDefault="00663E38">
            <w:pPr>
              <w:keepLines/>
              <w:spacing w:after="0" w:line="254" w:lineRule="auto"/>
            </w:pPr>
            <w:r>
              <w:rPr>
                <w:rFonts w:cs="Calibri"/>
                <w:b/>
                <w:color w:val="44546A"/>
                <w:sz w:val="20"/>
              </w:rPr>
              <w:t>Prepared artifacts</w:t>
            </w:r>
          </w:p>
        </w:tc>
        <w:tc>
          <w:tcPr>
            <w:tcW w:w="626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590DAF3" ns2:textId="77777777" w:rsidR="009A010E" w:rsidRDefault="00663E38">
            <w:pPr>
              <w:keepLines/>
              <w:spacing w:after="0" w:line="254" w:lineRule="auto"/>
            </w:pPr>
            <w:r>
              <w:rPr>
                <w:rFonts w:cs="Calibri"/>
                <w:sz w:val="20"/>
              </w:rPr>
              <w:t>Persist reusable sampled features, labels, metadata, timestamps, sampled market data, diagnostics, and split indices.</w:t>
            </w:r>
          </w:p>
        </w:tc>
      </w:tr>
      <w:tr w:rsidR="009A010E" ns2:paraId="43E9BE34"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502F806B" ns2:textId="77777777" w:rsidR="009A010E" w:rsidRDefault="00663E38">
            <w:pPr>
              <w:keepLines/>
              <w:spacing w:after="0" w:line="254" w:lineRule="auto"/>
            </w:pPr>
            <w:r>
              <w:rPr>
                <w:rFonts w:cs="Calibri"/>
                <w:b/>
                <w:color w:val="44546A"/>
                <w:sz w:val="20"/>
              </w:rPr>
              <w:t>Primary-side training</w:t>
            </w:r>
          </w:p>
        </w:tc>
        <w:tc>
          <w:tcPr>
            <w:tcW w:w="626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495E5B84" ns2:textId="77777777" w:rsidR="009A010E" w:rsidRDefault="00663E38">
            <w:pPr>
              <w:keepLines/>
              <w:spacing w:after="0" w:line="254" w:lineRule="auto"/>
            </w:pPr>
            <w:r>
              <w:rPr>
                <w:rFonts w:cs="Calibri"/>
                <w:sz w:val="20"/>
              </w:rPr>
              <w:t>Train the side model on actionable down/up events while ignoring exit rows in the side loss.</w:t>
            </w:r>
          </w:p>
        </w:tc>
      </w:tr>
      <w:tr w:rsidR="009A010E" ns2:paraId="45895BDC" ns2:textId="77777777">
        <w:trPr>
          <w:cantSplit/>
          <w:jc w:val="center"/>
        </w:trPr>
        <w:tc>
          <w:tcPr>
            <w:tcW w:w="309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932B644" ns2:textId="77777777" w:rsidR="009A010E" w:rsidRDefault="00663E38">
            <w:pPr>
              <w:keepLines/>
              <w:spacing w:after="0" w:line="254" w:lineRule="auto"/>
            </w:pPr>
            <w:r>
              <w:rPr>
                <w:rFonts w:cs="Calibri"/>
                <w:b/>
                <w:color w:val="44546A"/>
                <w:sz w:val="20"/>
              </w:rPr>
              <w:t>Meta-label decision layer</w:t>
            </w:r>
          </w:p>
        </w:tc>
        <w:tc>
          <w:tcPr>
            <w:tcW w:w="626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98745B1" ns2:textId="77777777" w:rsidR="009A010E" w:rsidRDefault="00663E38">
            <w:pPr>
              <w:keepLines/>
              <w:spacing w:after="0" w:line="254" w:lineRule="auto"/>
            </w:pPr>
            <w:r>
              <w:rPr>
                <w:rFonts w:cs="Calibri"/>
                <w:sz w:val="20"/>
              </w:rPr>
              <w:t>Convert side-model outputs into take/pass decisions and long/short/abstain actions.</w:t>
            </w:r>
          </w:p>
        </w:tc>
      </w:tr>
    </w:tbl>
    <w:p ns2:paraId="4195E87B" ns2:textId="77777777" w:rsidR="009A010E" w:rsidRDefault="00663E38">
      <w:pPr>
        <w:pStyle w:val="Heading1"/>
        <w:pBdr>
          <w:bottom w:val="single" w:sz="8" w:space="2" w:color="D9E2F3"/>
        </w:pBdr>
      </w:pPr>
      <w:r>
        <w:t>2. What problem the project is trying to solve</w:t>
      </w:r>
    </w:p>
    <w:p ns2:paraId="2F047D31" ns2:textId="77777777" w:rsidR="009A010E" w:rsidRDefault="00663E38">
      <w:r>
        <w:t>Short-term financial data is noisy. If a model is trained directly on every one-minute bar, it may mostly learn market microstructure noise rather than economically meaningful patterns. Kvant addresses this by resampling the market into event bars, creating labels that represent bounded trading outcomes, and separating prediction from the decision to trade.</w:t>
      </w:r>
    </w:p>
    <w:p ns2:paraId="5A4397B7" ns2:textId="77777777" w:rsidR="009A010E" w:rsidRDefault="00663E38">
      <w:r>
        <w:t>In other words, the project asks a more realistic question than simple next-bar classification: given a short window of recent market information, what is the likely side of a trade, and is the signal strong enough to justify entering under a predefined risk and holding-period structure?</w:t>
      </w:r>
    </w:p>
    <w:p ns2:paraId="6E203C4B" ns2:textId="77777777" w:rsidR="009A010E" w:rsidRDefault="00663E38">
      <w:pPr>
        <w:pStyle w:val="Heading1"/>
        <w:pBdr>
          <w:bottom w:val="single" w:sz="8" w:space="2" w:color="D9E2F3"/>
        </w:pBdr>
      </w:pPr>
      <w:r>
        <w:t>3. Overall framework of the project</w:t>
      </w:r>
    </w:p>
    <w:p ns2:paraId="65B5E9E7" ns2:textId="77777777" w:rsidR="009A010E" w:rsidRDefault="00663E38">
      <w:pPr>
        <w:pStyle w:val="Heading2"/>
      </w:pPr>
      <w:r>
        <w:t>3.1 Data source and market context</w:t>
      </w:r>
    </w:p>
    <w:p ns2:paraId="0EDB290C" ns2:textId="77777777" w:rsidR="009A010E" w:rsidRDefault="00663E38">
      <w:r>
        <w:t xml:space="preserve">The project uses minute-level OHLCV data loaded through the Hugging Face data interface in the kvant.kdata module. The active prepared setup in the repository is built around a top-20 US equity universe. Because these are US stocks rather than 24/7 crypto assets, market-hours behavior and NYSE-style trading constraints matter when interpreting results.</w:t>
      </w:r>
      <w:r>
        <w:lastRenderedPageBreak/>
        <w:t/>
      </w:r>
    </w:p>
    <w:p ns2:paraId="08C27AF1" ns2:textId="77777777" w:rsidR="009A010E" w:rsidRDefault="00663E38">
      <w:pPr>
        <w:pStyle w:val="Heading2"/>
      </w:pPr>
      <w:r>
        <w:t>3.2 Prepared experiments as reusable artifacts</w:t>
      </w:r>
    </w:p>
    <w:p ns2:paraId="27F33144" ns2:textId="77777777" w:rsidR="009A010E" w:rsidRDefault="00663E38">
      <w:r>
        <w:t>The data-preparation stage writes prepared experiment folders that contain reusable artifacts such as features.npy, labels.npy, timestamps.npy, market_data.npy, label metadata, split indices, density summaries, and configuration files. This separation keeps expensive data preparation stable while allowing repeated model-training and evaluation runs on the same artifact contract.</w:t>
      </w:r>
    </w:p>
    <w:p ns2:paraId="37B5BCA5" ns2:textId="77777777" w:rsidR="009A010E" w:rsidRDefault="00663E38">
      <w:pPr>
        <w:pStyle w:val="Heading2"/>
      </w:pPr>
      <w:r>
        <w:t>3.3 Cross-validation design</w:t>
      </w:r>
    </w:p>
    <w:p ns2:paraId="5212CF98" ns2:textId="77777777" w:rsidR="009A010E" w:rsidRDefault="00663E38">
      <w:r>
        <w:t>The workflow supports walk-forward cross-validation over multiple folds. Each fold is stored in a CV manifest and contains a train period, a validation period, and a test period. This is crucial in finance because performance can vary strongly across market regimes, and a single favorable split would be misleading.</w:t>
      </w:r>
    </w:p>
    <w:p ns2:paraId="36B2E943" ns2:textId="77777777" w:rsidR="009A010E" w:rsidRDefault="00663E38">
      <w:pPr>
        <w:pStyle w:val="Heading1"/>
        <w:pBdr>
          <w:bottom w:val="single" w:sz="8" w:space="2" w:color="D9E2F3"/>
        </w:pBdr>
      </w:pPr>
      <w:r>
        <w:t>4. Data preparation pipeline</w:t>
      </w:r>
    </w:p>
    <w:p ns2:paraId="08AB9087" ns2:textId="77777777" w:rsidR="009A010E" w:rsidRDefault="00663E38">
      <w:pPr>
        <w:pStyle w:val="Heading2"/>
      </w:pPr>
      <w:r>
        <w:t>4.1 Event-bar sampling with tuned CUSUM</w:t>
      </w:r>
    </w:p>
    <w:p ns2:paraId="38D42EB6" ns2:textId="77777777" w:rsidR="009A010E" w:rsidRDefault="00663E38">
      <w:r>
        <w:t>The default pipeline uses a tuned CUSUM bar sampler to choose event timestamps rather than training on every raw one-minute row. The sampler accumulates positive and negative price changes until the cumulative move exceeds a threshold h. When that happens, it emits an event timestamp and resets. This makes the representation more adaptive: calm periods produce fewer candidate samples, while active periods produce more.</w:t>
      </w:r>
    </w:p>
    <w:p ns2:paraId="3F10C147" ns2:textId="77777777" w:rsidR="009A010E" w:rsidRDefault="00663E38">
      <w:r>
        <w:t>In this project, h is not fixed globally. It is tuned per ticker on training data so the sampled series approaches a target number of bars per day. In the current default setup, the target is 30 sampled bars per day. This helps create a more balanced information density across assets with different volatility levels.</w:t>
      </w:r>
    </w:p>
    <w:p ns2:paraId="00D38D60" ns2:textId="77777777" w:rsidR="009A010E" w:rsidRDefault="00663E38">
      <w:pPr>
        <w:pStyle w:val="Heading2"/>
      </w:pPr>
      <w:r>
        <w:t>4.2 Aggregated OHLCV bars</w:t>
      </w:r>
    </w:p>
    <w:p ns2:paraId="4EE3416A" ns2:textId="77777777" w:rsidR="009A010E" w:rsidRDefault="00663E38">
      <w:r>
        <w:t>When a CUSUM event closes, the project also aggregates the raw minute bars inside that segment into a single OHLCV event bar for labeling and backtesting: the first open becomes the new open, the maximum high becomes the new high, the minimum low becomes the new low, the last close becomes the new close, and volume is summed.</w:t>
      </w:r>
    </w:p>
    <w:p ns2:paraId="7F51596B" ns2:textId="77777777" w:rsidR="009A010E" w:rsidRDefault="00663E38">
      <w:pPr>
        <w:pStyle w:val="Heading2"/>
      </w:pPr>
      <w:r>
        <w:t>4.3 Feature engineering</w:t>
      </w:r>
    </w:p>
    <w:p ns2:paraId="6EE06856" ns2:textId="77777777" w:rsidR="009A010E" w:rsidRDefault="00663E38">
      <w:r>
        <w:t>Feature engineering happens on the full minute-resolution price series before the feature matrix is reduced to sampled events. In code, the sampler first identifies event timestamps, but the feature engineer transforms the complete concatenated minute dataframe; the resulting minute-level feature dataframe is then indexed at the sampled timestamps. This preserves indicator history from the raw minute stream instead of recomputing indicators on the sparse event-bar series.</w:t>
      </w:r>
    </w:p>
    <w:p ns2:paraId="320F9EDC" ns2:textId="77777777" w:rsidR="009A010E" w:rsidRDefault="00663E38">
      <w:r>
        <w:t>A wrapper called StandardizedFeatures fits scaling statistics on minute-resolution training data only. The current default pipeline also applies PrimarySideFScoreSelector on training data only, using the sampled event rows after minute-level features have been computed. This avoids leakage from validation or test periods into scaling or feature selection while keeping the actual feature values grounded in the pre-sampling minute history.</w:t>
      </w:r>
    </w:p>
    <w:p ns2:paraId="1C4E1BE4" ns2:textId="77777777" w:rsidR="009A010E" w:rsidRDefault="00663E38">
      <w:pPr>
        <w:pStyle w:val="Heading2"/>
      </w:pPr>
      <w:r>
        <w:t>4.4 Label creation with the triple-barrier method</w:t>
      </w:r>
    </w:p>
    <w:p ns2:paraId="7B90B59E" ns2:textId="77777777" w:rsidR="009A010E" w:rsidRDefault="00663E38">
      <w:r>
        <w:t xml:space="preserve">Labels are created with a triple-barrier method. For each sampled bar, the algorithm opens a hypothetical trade at the next available open price and then checks three exit conditions: an upper barrier, a lower </w:t>
      </w:r>
      <w:r>
        <w:lastRenderedPageBreak/>
        <w:t>barrier, and a vertical time barrier. If price hits the upper barrier first, the sample is labeled up. If price hits the lower barrier first, the sample is labeled down. If neither happens before the vertical barrier expires, the sample is labeled time-exit.</w:t>
      </w:r>
    </w:p>
    <w:p ns2:paraId="79946CA6" ns2:textId="77777777" w:rsidR="009A010E" w:rsidRDefault="00663E38">
      <w:r>
        <w:t>This is a stronger labeling method than plain next-step classification because the label is tied to a concrete trading hypothesis: a bounded reward, a bounded risk, and a maximum holding period. In the current default configuration, the barrier height is 1.5 percent and the vertical barrier width is 180 minutes.</w:t>
      </w:r>
    </w:p>
    <w:p ns2:paraId="4E191F0E" ns2:textId="77777777" w:rsidR="009A010E" w:rsidRDefault="00663E38">
      <w:pPr>
        <w:pStyle w:val="Heading2"/>
      </w:pPr>
      <w:r>
        <w:t>4.5 Current label spaces: event outcome, primary side, and meta label</w:t>
      </w:r>
    </w:p>
    <w:p ns2:paraId="34C93494" ns2:textId="77777777" w:rsidR="009A010E" w:rsidRDefault="00663E38">
      <w:r>
        <w:t>The current prepared artifacts keep the raw three-class event-outcome labels: 0 = down barrier hit, 1 = vertical/time exit, and 2 = up barrier hit. The training entrypoint expects these non-droptexit artifacts. During training, the pipeline derives a binary primary-side target from actionable events: down becomes side 0, up becomes side 1, and exit rows are ignored for the side loss while remaining available for decision and abstention evaluation. A separate meta-label layer then learns whether a side prediction should be taken or passed.</w:t>
      </w:r>
    </w:p>
    <w:p ns2:paraId="25F2D919" ns2:textId="77777777" w:rsidR="009A010E" w:rsidRDefault="00663E38">
      <w:pPr>
        <w:pStyle w:val="Heading1"/>
        <w:pBdr>
          <w:bottom w:val="single" w:sz="8" w:space="2" w:color="D9E2F3"/>
        </w:pBdr>
      </w:pPr>
      <w:r>
        <w:t>5. Models used in the project</w:t>
      </w:r>
    </w:p>
    <w:p ns2:paraId="707F6AEC" ns2:textId="77777777" w:rsidR="009A010E" w:rsidRDefault="00663E38">
      <w:pPr>
        <w:pStyle w:val="Heading2"/>
      </w:pPr>
      <w:r>
        <w:t>5.1 Conv1D baseline</w:t>
      </w:r>
    </w:p>
    <w:p ns2:paraId="6335CD94" ns2:textId="77777777" w:rsidR="009A010E" w:rsidRDefault="00663E38">
      <w:r>
        <w:t>The baseline neural model is a compact one-dimensional convolutional network. It receives an input tensor shaped as features-by-lookback-window, applies two temporal convolution blocks with batch normalization, ReLU activations, and dropout, then uses adaptive average pooling and a final linear layer to produce class logits.</w:t>
      </w:r>
    </w:p>
    <w:p ns2:paraId="221C8BB2" ns2:textId="77777777" w:rsidR="009A010E" w:rsidRDefault="00663E38">
      <w:r>
        <w:t>This model is attractive as a baseline because it is simple, fast to train, and good at detecting local short-term temporal patterns such as bursts in volatility, momentum, or reversal signatures.</w:t>
      </w:r>
    </w:p>
    <w:p ns2:paraId="3C27F8D7" ns2:textId="77777777" w:rsidR="009A010E" w:rsidRDefault="00663E38">
      <w:pPr>
        <w:pStyle w:val="Heading2"/>
      </w:pPr>
      <w:r>
        <w:t>5.2 ResNet-LSTM model</w:t>
      </w:r>
    </w:p>
    <w:p ns2:paraId="64822D64" ns2:textId="77777777" w:rsidR="009A010E" w:rsidRDefault="00663E38">
      <w:r>
        <w:t>The stronger model in the repository is a hybrid ResNet-LSTM classifier. First, a one-dimensional convolutional stem and a stack of residual blocks extract local temporal features. Then an LSTM processes the sequence of learned features over time, and the final hidden state is passed to a linear classification head.</w:t>
      </w:r>
    </w:p>
    <w:p ns2:paraId="711434A2" ns2:textId="77777777" w:rsidR="009A010E" w:rsidRDefault="00663E38">
      <w:r>
        <w:t>The intuition is that convolutional layers are good at short local motifs, while the LSTM is better at capturing longer contextual dependencies across the lookback window. This combination is a reasonable architecture for financial time series because market behavior often depends on both local micro-patterns and broader context.</w:t>
      </w:r>
    </w:p>
    <w:p ns2:paraId="2F342CDA" ns2:textId="77777777" w:rsidR="009A010E" w:rsidRDefault="00663E38">
      <w:pPr>
        <w:pStyle w:val="Heading1"/>
        <w:pBdr>
          <w:bottom w:val="single" w:sz="8" w:space="2" w:color="D9E2F3"/>
        </w:pBdr>
      </w:pPr>
      <w:r>
        <w:t>6. Training workflow</w:t>
      </w:r>
    </w:p>
    <w:p ns2:paraId="7FA986BA" ns2:textId="77777777" w:rsidR="009A010E" w:rsidRDefault="00663E38">
      <w:pPr>
        <w:pStyle w:val="Heading2"/>
      </w:pPr>
      <w:r>
        <w:t>6.1 Loss function and optimization</w:t>
      </w:r>
    </w:p>
    <w:p ns2:paraId="25A27E1D" ns2:textId="77777777" w:rsidR="009A010E" w:rsidRDefault="00663E38">
      <w:r>
        <w:t>Training uses cross-entropy loss with class weights derived from the primary-side training dataset. Exit rows receive ignore_index=-1 for the side-model loss, while down and up events are weighted inversely to their observed frequency. Optimization is done with AdamW, which combines adaptive learning rates with weight decay regularization.</w:t>
      </w:r>
    </w:p>
    <w:p ns2:paraId="65CCF1C7" ns2:textId="77777777" w:rsidR="009A010E" w:rsidRDefault="00663E38">
      <w:pPr>
        <w:pStyle w:val="Heading2"/>
      </w:pPr>
      <w:r>
        <w:lastRenderedPageBreak/>
        <w:t>6.2 Best-checkpoint selection</w:t>
      </w:r>
    </w:p>
    <w:p ns2:paraId="026457EE" ns2:textId="77777777" w:rsidR="009A010E" w:rsidRDefault="00663E38">
      <w:r>
        <w:t>During training, the project evaluates the model after each epoch and stores the parameter state that gives the best validation meta-label F1 score. After training finishes, that best checkpoint is restored and evaluated again on train, validation, and test splits. This checkpoint should be used for result interpretation because it matches the current side-plus-meta project objective better than plain validation accuracy.</w:t>
      </w:r>
    </w:p>
    <w:p ns2:paraId="5E8E09DE" ns2:textId="77777777" w:rsidR="009A010E" w:rsidRDefault="00663E38">
      <w:pPr>
        <w:pStyle w:val="Heading2"/>
      </w:pPr>
      <w:r>
        <w:t>6.3 Reproducibility and run metadata</w:t>
      </w:r>
    </w:p>
    <w:p ns2:paraId="0A1D83A3" ns2:textId="77777777" w:rsidR="009A010E" w:rsidRDefault="00663E38">
      <w:r>
        <w:t>The training script records runtime metadata such as the prepared experiment path, fold, seed, thresholds, model configuration, pipeline stage, label semantics, transaction cost assumptions, and git commit when available. The project also writes best-checkpoint bundles for later reconciliation of saved summaries against locally recomputed metrics.</w:t>
      </w:r>
    </w:p>
    <w:p ns2:paraId="294FC39B" ns2:textId="77777777" w:rsidR="009A010E" w:rsidRDefault="00663E38">
      <w:pPr>
        <w:pStyle w:val="Heading1"/>
        <w:pBdr>
          <w:bottom w:val="single" w:sz="8" w:space="2" w:color="D9E2F3"/>
        </w:pBdr>
      </w:pPr>
      <w:r>
        <w:t>7. Decision rules and trading logic</w:t>
      </w:r>
    </w:p>
    <w:p ns2:paraId="740FDE68" ns2:textId="77777777" w:rsidR="009A010E" w:rsidRDefault="00663E38">
      <w:pPr>
        <w:pStyle w:val="Heading2"/>
      </w:pPr>
      <w:r>
        <w:t>7.1 From probabilities to trade actions</w:t>
      </w:r>
    </w:p>
    <w:p ns2:paraId="1FD43877" ns2:textId="77777777" w:rsidR="009A010E" w:rsidRDefault="00663E38">
      <w:r>
        <w:t>The neural network itself outputs primary-side probabilities for down and up. The evaluator then builds meta-label features from model probabilities, logits, embeddings, and optionally selected prepared features. A logistic-regression meta model estimates whether the side prediction should be accepted. The final strategy trades only when the meta acceptance probability clears the configured threshold; otherwise it abstains.</w:t>
      </w:r>
    </w:p>
    <w:p ns2:paraId="2B86EA4C" ns2:textId="77777777" w:rsidR="009A010E" w:rsidRDefault="00663E38">
      <w:r>
        <w:t>The canonical event outcome still matters even though the side model is binary. Exit outcomes are used to measure whether the system acted on non-actionable truth, abstained from actionable truth, and converted side predictions into economically meaningful long, short, or no-trade decisions.</w:t>
      </w:r>
    </w:p>
    <w:p ns2:paraId="71D740DF" ns2:textId="77777777" w:rsidR="009A010E" w:rsidRDefault="00663E38">
      <w:pPr>
        <w:pStyle w:val="Heading2"/>
      </w:pPr>
      <w:r>
        <w:t>7.2 Why abstention matters</w:t>
      </w:r>
    </w:p>
    <w:p ns2:paraId="69E08DFD" ns2:textId="77777777" w:rsidR="009A010E" w:rsidRDefault="00663E38">
      <w:r>
        <w:t>Abstention is essential in this project. A classifier that always predicts long or short may look active, but activity alone is not useful if the edge is weak. By adding a meta-label acceptance layer, the framework can attempt to trade only when the predicted side has enough evidence to survive costs and noise.</w:t>
      </w:r>
    </w:p>
    <w:p ns2:paraId="66B4212A" ns2:textId="77777777" w:rsidR="009A010E" w:rsidRDefault="00663E38">
      <w:pPr>
        <w:pStyle w:val="Heading2"/>
      </w:pPr>
      <w:r>
        <w:t>7.3 Position-aware trade execution</w:t>
      </w:r>
    </w:p>
    <w:p ns2:paraId="27692492" ns2:textId="77777777" w:rsidR="009A010E" w:rsidRDefault="00663E38">
      <w:r>
        <w:t>The project simulates trades in a position-aware way. Overlapping signals for the same ticker are collapsed so only one position per ticker can be active at a time. This makes the execution logic more realistic and prevents an unrealistic explosion in trade counts.</w:t>
      </w:r>
    </w:p>
    <w:p ns2:paraId="07ACC67D" ns2:textId="77777777" w:rsidR="009A010E" w:rsidRDefault="00663E38">
      <w:pPr>
        <w:pStyle w:val="Heading1"/>
        <w:pBdr>
          <w:bottom w:val="single" w:sz="8" w:space="2" w:color="D9E2F3"/>
        </w:pBdr>
      </w:pPr>
      <w:r>
        <w:t>8. Evaluation framework</w:t>
      </w:r>
    </w:p>
    <w:p ns2:paraId="0A476DE6" ns2:textId="77777777" w:rsidR="009A010E" w:rsidRDefault="00663E38">
      <w:pPr>
        <w:pStyle w:val="Heading2"/>
      </w:pPr>
      <w:r>
        <w:t>8.1 Learning metrics</w:t>
      </w:r>
    </w:p>
    <w:p ns2:paraId="714FC4C7" ns2:textId="77777777" w:rsidR="009A010E" w:rsidRDefault="00663E38">
      <w:r>
        <w:t>The first group of metrics measures pure side-classification quality before asking whether the strategy makes money. These include accuracy, macro precision, macro recall, macro F1, and per-class precision, recall, F1, support, and predicted class percentages for the primary side task.</w:t>
      </w:r>
    </w:p>
    <w:p ns2:paraId="1C3CF74A" ns2:textId="77777777" w:rsidR="009A010E" w:rsidRDefault="00663E38">
      <w:pPr>
        <w:pStyle w:val="Heading2"/>
      </w:pPr>
      <w:r>
        <w:t>8.2 Decision metrics</w:t>
      </w:r>
    </w:p>
    <w:p ns2:paraId="69E7820F" ns2:textId="77777777" w:rsidR="009A010E" w:rsidRDefault="00663E38">
      <w:r>
        <w:t xml:space="preserve">The second group measures how aggressively or conservatively the side-plus-meta system trades. Examples include meta acceptance threshold, meta F1, abstained prediction rate, acted prediction accuracy, acted-on-exit truth percentage, and directional acted accuracy. These metrics are useful when side-model quality looks acceptable but the trading behavior is too aggressive or too passive.</w:t>
      </w:r>
      <w:r>
        <w:lastRenderedPageBreak/>
        <w:t/>
      </w:r>
    </w:p>
    <w:p ns2:paraId="717571C8" ns2:textId="77777777" w:rsidR="009A010E" w:rsidRDefault="00663E38">
      <w:pPr>
        <w:pStyle w:val="Heading2"/>
      </w:pPr>
      <w:r>
        <w:t>8.3 Execution metrics</w:t>
      </w:r>
    </w:p>
    <w:p ns2:paraId="419AFAEB" ns2:textId="77777777" w:rsidR="009A010E" w:rsidRDefault="00663E38">
      <w:r>
        <w:t>The third group measures how raw trade signals translate into executed trades. Examples are the number of raw trade signals, the number skipped because of overlap, the number of executed trades, and the percentage of time that the strategy is active in the market.</w:t>
      </w:r>
    </w:p>
    <w:p ns2:paraId="7198ED8C" ns2:textId="77777777" w:rsidR="009A010E" w:rsidRDefault="00663E38">
      <w:pPr>
        <w:pStyle w:val="Heading2"/>
      </w:pPr>
      <w:r>
        <w:t>8.4 Economic metrics</w:t>
      </w:r>
    </w:p>
    <w:p ns2:paraId="12DE0E72" ns2:textId="77777777" w:rsidR="009A010E" w:rsidRDefault="00663E38">
      <w:r>
        <w:t>The fourth group measures whether the strategy would have been attractive financially. The backtest uses sampled raw OHLCV bars and the same barrier structure as labeling. It computes gross and net trade returns, portfolio evolution, Sharpe ratio, drawdown, annualized profit and loss, and long-versus-short side statistics under transaction costs.</w:t>
      </w:r>
    </w:p>
    <w:p ns2:paraId="6BDCE52E" ns2:textId="77777777" w:rsidR="009A010E" w:rsidRDefault="00663E38">
      <w:pPr>
        <w:pStyle w:val="Heading1"/>
        <w:pBdr>
          <w:bottom w:val="single" w:sz="8" w:space="2" w:color="D9E2F3"/>
        </w:pBdr>
      </w:pPr>
      <w:r>
        <w:t>9. Important metrics, formulas, and interpretation</w:t>
      </w:r>
    </w:p>
    <w:p ns2:paraId="145117A4" ns2:textId="77777777" w:rsidR="009A010E" w:rsidRDefault="00663E38">
      <w:r>
        <w:t>The most important metrics in this project are listed in the tables below. The formulas are written in plain language so they remain readable inside a project description rather than a formal methods appendix.</w:t>
      </w:r>
    </w:p>
    <w:p ns2:paraId="0604A0DC" ns2:textId="77777777" w:rsidR="009A010E" w:rsidRDefault="00663E38">
      <w:pPr>
        <w:pStyle w:val="KvantTableCaption"/>
      </w:pPr>
      <w:r>
        <w:t>Table 2. Key metrics and interpretation</w:t>
      </w:r>
    </w:p>
    <w:tbl>
      <w:tblPr>
        <w:tblStyle w:val="TableGrid"/>
        <w:tblW w:w="0" w:type="auto"/>
        <w:jc w:val="center"/>
        <w:tblLayout w:type="fixed"/>
        <w:tblLook w:val="04A0" w:firstRow="1" w:lastRow="0" w:firstColumn="1" w:lastColumn="0" w:noHBand="0" w:noVBand="1"/>
      </w:tblPr>
      <w:tblGrid>
        <w:gridCol w:w="1584"/>
        <w:gridCol w:w="2232"/>
        <w:gridCol w:w="5904"/>
      </w:tblGrid>
      <w:tr w:rsidR="009A010E" ns2:paraId="1605A819" ns2:textId="77777777">
        <w:trPr>
          <w:cantSplit/>
          <w:tblHeader/>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7A9BC6D3" ns2:textId="77777777" w:rsidR="009A010E" w:rsidRDefault="00663E38">
            <w:pPr>
              <w:keepLines/>
              <w:spacing w:after="0" w:line="254" w:lineRule="auto"/>
            </w:pPr>
            <w:r>
              <w:rPr>
                <w:rFonts w:cs="Calibri"/>
                <w:b/>
                <w:color w:val="FFFFFF"/>
                <w:sz w:val="20"/>
              </w:rPr>
              <w:t>Metric group</w:t>
            </w:r>
          </w:p>
        </w:tc>
        <w:tc>
          <w:tcPr>
            <w:tcW w:w="2232"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4527819E" ns2:textId="77777777" w:rsidR="009A010E" w:rsidRDefault="00663E38">
            <w:pPr>
              <w:keepLines/>
              <w:spacing w:after="0" w:line="254" w:lineRule="auto"/>
            </w:pPr>
            <w:r>
              <w:rPr>
                <w:rFonts w:cs="Calibri"/>
                <w:b/>
                <w:color w:val="FFFFFF"/>
                <w:sz w:val="20"/>
              </w:rPr>
              <w:t>Metric</w:t>
            </w:r>
          </w:p>
        </w:tc>
        <w:tc>
          <w:tcPr>
            <w:tcW w:w="5904"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17A452B5" ns2:textId="77777777" w:rsidR="009A010E" w:rsidRDefault="00663E38">
            <w:pPr>
              <w:keepLines/>
              <w:spacing w:after="0" w:line="254" w:lineRule="auto"/>
            </w:pPr>
            <w:r>
              <w:rPr>
                <w:rFonts w:cs="Calibri"/>
                <w:b/>
                <w:color w:val="FFFFFF"/>
                <w:sz w:val="20"/>
              </w:rPr>
              <w:t>How it is calculated and how to interpret it</w:t>
            </w:r>
          </w:p>
        </w:tc>
      </w:tr>
      <w:tr w:rsidR="009A010E" ns2:paraId="6B2C251C"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20E7F5A" ns2:textId="77777777" w:rsidR="009A010E" w:rsidRDefault="00663E38">
            <w:pPr>
              <w:keepLines/>
              <w:spacing w:after="0" w:line="254" w:lineRule="auto"/>
              <w:jc w:val="center"/>
            </w:pPr>
            <w:r>
              <w:rPr>
                <w:rFonts w:cs="Calibri"/>
                <w:b/>
                <w:color w:val="44546A"/>
                <w:sz w:val="19"/>
              </w:rPr>
              <w:t>Learning</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1388958" ns2:textId="77777777" w:rsidR="009A010E" w:rsidRDefault="00663E38">
            <w:pPr>
              <w:keepLines/>
              <w:spacing w:after="0" w:line="254" w:lineRule="auto"/>
            </w:pPr>
            <w:r>
              <w:rPr>
                <w:rFonts w:cs="Calibri"/>
                <w:b/>
                <w:sz w:val="19"/>
              </w:rPr>
              <w:t>Side accuracy</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60F9D34D" ns2:textId="77777777" w:rsidR="009A010E" w:rsidRDefault="00663E38">
            <w:pPr>
              <w:keepLines/>
              <w:spacing w:after="0" w:line="254" w:lineRule="auto"/>
            </w:pPr>
            <w:r>
              <w:rPr>
                <w:rFonts w:cs="Calibri"/>
                <w:sz w:val="19"/>
              </w:rPr>
              <w:t>Accuracy over the primary down/up side task. Useful for a first overview, but not sufficient on its own in trading.</w:t>
            </w:r>
          </w:p>
        </w:tc>
      </w:tr>
      <w:tr w:rsidR="009A010E" ns2:paraId="1E7086EC"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79891D8" ns2:textId="77777777" w:rsidR="009A010E" w:rsidRDefault="00663E38">
            <w:pPr>
              <w:keepLines/>
              <w:spacing w:after="0" w:line="254" w:lineRule="auto"/>
              <w:jc w:val="center"/>
            </w:pPr>
            <w:r>
              <w:rPr>
                <w:rFonts w:cs="Calibri"/>
                <w:b/>
                <w:color w:val="44546A"/>
                <w:sz w:val="19"/>
              </w:rPr>
              <w:t>Learning</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31FC9E2" ns2:textId="77777777" w:rsidR="009A010E" w:rsidRDefault="00663E38">
            <w:pPr>
              <w:keepLines/>
              <w:spacing w:after="0" w:line="254" w:lineRule="auto"/>
            </w:pPr>
            <w:r>
              <w:rPr>
                <w:rFonts w:cs="Calibri"/>
                <w:b/>
                <w:sz w:val="19"/>
              </w:rPr>
              <w:t>Precision_k</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0590C8B5" ns2:textId="77777777" w:rsidR="009A010E" w:rsidRDefault="00663E38">
            <w:pPr>
              <w:keepLines/>
              <w:spacing w:after="0" w:line="254" w:lineRule="auto"/>
            </w:pPr>
            <w:r>
              <w:rPr>
                <w:rFonts w:cs="Calibri"/>
                <w:sz w:val="19"/>
              </w:rPr>
              <w:t>Precision for side class k = TP_k / (TP_k + FP_k). High precision means predictions of that side are usually correct.</w:t>
            </w:r>
          </w:p>
        </w:tc>
      </w:tr>
      <w:tr w:rsidR="009A010E" ns2:paraId="52A0E46E"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5DF4C3EE" ns2:textId="77777777" w:rsidR="009A010E" w:rsidRDefault="00663E38">
            <w:pPr>
              <w:keepLines/>
              <w:spacing w:after="0" w:line="254" w:lineRule="auto"/>
              <w:jc w:val="center"/>
            </w:pPr>
            <w:r>
              <w:rPr>
                <w:rFonts w:cs="Calibri"/>
                <w:b/>
                <w:color w:val="44546A"/>
                <w:sz w:val="19"/>
              </w:rPr>
              <w:t>Learning</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120D6425" ns2:textId="77777777" w:rsidR="009A010E" w:rsidRDefault="00663E38">
            <w:pPr>
              <w:keepLines/>
              <w:spacing w:after="0" w:line="254" w:lineRule="auto"/>
            </w:pPr>
            <w:r>
              <w:rPr>
                <w:rFonts w:cs="Calibri"/>
                <w:b/>
                <w:sz w:val="19"/>
              </w:rPr>
              <w:t>Recall_k</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26C79B63" ns2:textId="77777777" w:rsidR="009A010E" w:rsidRDefault="00663E38">
            <w:pPr>
              <w:keepLines/>
              <w:spacing w:after="0" w:line="254" w:lineRule="auto"/>
            </w:pPr>
            <w:r>
              <w:rPr>
                <w:rFonts w:cs="Calibri"/>
                <w:sz w:val="19"/>
              </w:rPr>
              <w:t>Recall for side class k = TP_k / (TP_k + FN_k). High recall means the model finds many true examples of that side.</w:t>
            </w:r>
          </w:p>
        </w:tc>
      </w:tr>
      <w:tr w:rsidR="009A010E" ns2:paraId="4FE1207E"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01682409" ns2:textId="77777777" w:rsidR="009A010E" w:rsidRDefault="00663E38">
            <w:pPr>
              <w:keepLines/>
              <w:spacing w:after="0" w:line="254" w:lineRule="auto"/>
              <w:jc w:val="center"/>
            </w:pPr>
            <w:r>
              <w:rPr>
                <w:rFonts w:cs="Calibri"/>
                <w:b/>
                <w:color w:val="44546A"/>
                <w:sz w:val="19"/>
              </w:rPr>
              <w:t>Learning</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33B191B" ns2:textId="77777777" w:rsidR="009A010E" w:rsidRDefault="00663E38">
            <w:pPr>
              <w:keepLines/>
              <w:spacing w:after="0" w:line="254" w:lineRule="auto"/>
            </w:pPr>
            <w:r>
              <w:rPr>
                <w:rFonts w:cs="Calibri"/>
                <w:b/>
                <w:sz w:val="19"/>
              </w:rPr>
              <w:t>F1_k and F1_macro</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D3EDE40" ns2:textId="77777777" w:rsidR="009A010E" w:rsidRDefault="00663E38">
            <w:pPr>
              <w:keepLines/>
              <w:spacing w:after="0" w:line="254" w:lineRule="auto"/>
            </w:pPr>
            <w:r>
              <w:rPr>
                <w:rFonts w:cs="Calibri"/>
                <w:sz w:val="19"/>
              </w:rPr>
              <w:t>F1 is the harmonic mean of precision and recall. F1_macro averages across side classes and is useful when class balance is uneven.</w:t>
            </w:r>
          </w:p>
        </w:tc>
      </w:tr>
      <w:tr w:rsidR="009A010E" ns2:paraId="7F422662"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0AA85ED7" ns2:textId="77777777" w:rsidR="009A010E" w:rsidRDefault="00663E38">
            <w:pPr>
              <w:keepLines/>
              <w:spacing w:after="0" w:line="254" w:lineRule="auto"/>
              <w:jc w:val="center"/>
            </w:pPr>
            <w:r>
              <w:rPr>
                <w:rFonts w:cs="Calibri"/>
                <w:b/>
                <w:color w:val="44546A"/>
                <w:sz w:val="19"/>
              </w:rPr>
              <w:t>Meta</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84B0225" ns2:textId="77777777" w:rsidR="009A010E" w:rsidRDefault="00663E38">
            <w:pPr>
              <w:keepLines/>
              <w:spacing w:after="0" w:line="254" w:lineRule="auto"/>
            </w:pPr>
            <w:r>
              <w:rPr>
                <w:rFonts w:cs="Calibri"/>
                <w:b/>
                <w:sz w:val="19"/>
              </w:rPr>
              <w:t>Meta accept threshold</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09E2D70" ns2:textId="77777777" w:rsidR="009A010E" w:rsidRDefault="00663E38">
            <w:pPr>
              <w:keepLines/>
              <w:spacing w:after="0" w:line="254" w:lineRule="auto"/>
            </w:pPr>
            <w:r>
              <w:rPr>
                <w:rFonts w:cs="Calibri"/>
                <w:sz w:val="19"/>
              </w:rPr>
              <w:t>Minimum meta-label probability required before the system takes the predicted side. Higher values usually trade less often.</w:t>
            </w:r>
          </w:p>
        </w:tc>
      </w:tr>
      <w:tr w:rsidR="009A010E" ns2:paraId="2EB9EA13"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7C771D1" ns2:textId="77777777" w:rsidR="009A010E" w:rsidRDefault="00663E38">
            <w:pPr>
              <w:keepLines/>
              <w:spacing w:after="0" w:line="254" w:lineRule="auto"/>
              <w:jc w:val="center"/>
            </w:pPr>
            <w:r>
              <w:rPr>
                <w:rFonts w:cs="Calibri"/>
                <w:b/>
                <w:color w:val="44546A"/>
                <w:sz w:val="19"/>
              </w:rPr>
              <w:t>Meta</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9662E47" ns2:textId="77777777" w:rsidR="009A010E" w:rsidRDefault="00663E38">
            <w:pPr>
              <w:keepLines/>
              <w:spacing w:after="0" w:line="254" w:lineRule="auto"/>
            </w:pPr>
            <w:r>
              <w:rPr>
                <w:rFonts w:cs="Calibri"/>
                <w:b/>
                <w:sz w:val="19"/>
              </w:rPr>
              <w:t>Meta F1</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00A1AFB" ns2:textId="77777777" w:rsidR="009A010E" w:rsidRDefault="00663E38">
            <w:pPr>
              <w:keepLines/>
              <w:spacing w:after="0" w:line="254" w:lineRule="auto"/>
            </w:pPr>
            <w:r>
              <w:rPr>
                <w:rFonts w:cs="Calibri"/>
                <w:sz w:val="19"/>
              </w:rPr>
              <w:t>F1 score for the take/pass meta-label decision. This is the current checkpoint-selection metric.</w:t>
            </w:r>
          </w:p>
        </w:tc>
      </w:tr>
      <w:tr w:rsidR="009A010E" ns2:paraId="2368BDC4"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2D559B0B" ns2:textId="77777777" w:rsidR="009A010E" w:rsidRDefault="00663E38">
            <w:pPr>
              <w:keepLines/>
              <w:spacing w:after="0" w:line="254" w:lineRule="auto"/>
              <w:jc w:val="center"/>
            </w:pPr>
            <w:r>
              <w:rPr>
                <w:rFonts w:cs="Calibri"/>
                <w:b/>
                <w:color w:val="44546A"/>
                <w:sz w:val="19"/>
              </w:rPr>
              <w:t>Decision</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4829BB0E" ns2:textId="77777777" w:rsidR="009A010E" w:rsidRDefault="00663E38">
            <w:pPr>
              <w:keepLines/>
              <w:spacing w:after="0" w:line="254" w:lineRule="auto"/>
            </w:pPr>
            <w:r>
              <w:rPr>
                <w:rFonts w:cs="Calibri"/>
                <w:b/>
                <w:sz w:val="19"/>
              </w:rPr>
              <w:t>Abstained prediction rate</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03F9DB8F" ns2:textId="77777777" w:rsidR="009A010E" w:rsidRDefault="00663E38">
            <w:pPr>
              <w:keepLines/>
              <w:spacing w:after="0" w:line="254" w:lineRule="auto"/>
            </w:pPr>
            <w:r>
              <w:rPr>
                <w:rFonts w:cs="Calibri"/>
                <w:sz w:val="19"/>
              </w:rPr>
              <w:t>Abstentions / evaluated samples. High values mean the system frequently chooses not to trade.</w:t>
            </w:r>
          </w:p>
        </w:tc>
      </w:tr>
      <w:tr w:rsidR="009A010E" ns2:paraId="3FBDF25E"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0444C041" ns2:textId="77777777" w:rsidR="009A010E" w:rsidRDefault="00663E38">
            <w:pPr>
              <w:keepLines/>
              <w:spacing w:after="0" w:line="254" w:lineRule="auto"/>
              <w:jc w:val="center"/>
            </w:pPr>
            <w:r>
              <w:rPr>
                <w:rFonts w:cs="Calibri"/>
                <w:b/>
                <w:color w:val="44546A"/>
                <w:sz w:val="19"/>
              </w:rPr>
              <w:t>Decision</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C902BFE" ns2:textId="77777777" w:rsidR="009A010E" w:rsidRDefault="00663E38">
            <w:pPr>
              <w:keepLines/>
              <w:spacing w:after="0" w:line="254" w:lineRule="auto"/>
            </w:pPr>
            <w:r>
              <w:rPr>
                <w:rFonts w:cs="Calibri"/>
                <w:b/>
                <w:sz w:val="19"/>
              </w:rPr>
              <w:t>Acted prediction accuracy</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1F499D3" ns2:textId="77777777" w:rsidR="009A010E" w:rsidRDefault="00663E38">
            <w:pPr>
              <w:keepLines/>
              <w:spacing w:after="0" w:line="254" w:lineRule="auto"/>
            </w:pPr>
            <w:r>
              <w:rPr>
                <w:rFonts w:cs="Calibri"/>
                <w:sz w:val="19"/>
              </w:rPr>
              <w:t>Accuracy restricted to rows where the strategy actually chose to trade. More relevant than plain accuracy when abstention is allowed.</w:t>
            </w:r>
          </w:p>
        </w:tc>
      </w:tr>
      <w:tr w:rsidR="009A010E" ns2:paraId="013D58DD"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507DB42" ns2:textId="77777777" w:rsidR="009A010E" w:rsidRDefault="00663E38">
            <w:pPr>
              <w:keepLines/>
              <w:spacing w:after="0" w:line="254" w:lineRule="auto"/>
              <w:jc w:val="center"/>
            </w:pPr>
            <w:r>
              <w:rPr>
                <w:rFonts w:cs="Calibri"/>
                <w:b/>
                <w:color w:val="44546A"/>
                <w:sz w:val="19"/>
              </w:rPr>
              <w:t>Decision</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49736E62" ns2:textId="77777777" w:rsidR="009A010E" w:rsidRDefault="00663E38">
            <w:pPr>
              <w:keepLines/>
              <w:spacing w:after="0" w:line="254" w:lineRule="auto"/>
            </w:pPr>
            <w:r>
              <w:rPr>
                <w:rFonts w:cs="Calibri"/>
                <w:b/>
                <w:sz w:val="19"/>
              </w:rPr>
              <w:t>Directional acted accuracy</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6C5E85BB" ns2:textId="77777777" w:rsidR="009A010E" w:rsidRDefault="00663E38">
            <w:pPr>
              <w:keepLines/>
              <w:spacing w:after="0" w:line="254" w:lineRule="auto"/>
            </w:pPr>
            <w:r>
              <w:rPr>
                <w:rFonts w:cs="Calibri"/>
                <w:sz w:val="19"/>
              </w:rPr>
              <w:t>Accuracy restricted to rows where both the truth and prediction were actionable. Good for checking direction when the system commits.</w:t>
            </w:r>
          </w:p>
        </w:tc>
      </w:tr>
      <w:tr w:rsidR="009A010E" ns2:paraId="301CBD50"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986C890" ns2:textId="77777777" w:rsidR="009A010E" w:rsidRDefault="00663E38">
            <w:pPr>
              <w:keepLines/>
              <w:spacing w:after="0" w:line="254" w:lineRule="auto"/>
              <w:jc w:val="center"/>
            </w:pPr>
            <w:r>
              <w:rPr>
                <w:rFonts w:cs="Calibri"/>
                <w:b/>
                <w:color w:val="44546A"/>
                <w:sz w:val="19"/>
              </w:rPr>
              <w:t>Decision</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2C91195" ns2:textId="77777777" w:rsidR="009A010E" w:rsidRDefault="00663E38">
            <w:pPr>
              <w:keepLines/>
              <w:spacing w:after="0" w:line="254" w:lineRule="auto"/>
            </w:pPr>
            <w:r>
              <w:rPr>
                <w:rFonts w:cs="Calibri"/>
                <w:b/>
                <w:sz w:val="19"/>
              </w:rPr>
              <w:t>Acted on exit truth pct</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66B45B3A" ns2:textId="77777777" w:rsidR="009A010E" w:rsidRDefault="00663E38">
            <w:pPr>
              <w:keepLines/>
              <w:spacing w:after="0" w:line="254" w:lineRule="auto"/>
            </w:pPr>
            <w:r>
              <w:rPr>
                <w:rFonts w:cs="Calibri"/>
                <w:sz w:val="19"/>
              </w:rPr>
              <w:t>Share of executed actions whose canonical event truth was a time exit. High values indicate the model is trading non-actionable outcomes.</w:t>
            </w:r>
          </w:p>
        </w:tc>
      </w:tr>
      <w:tr w:rsidR="009A010E" ns2:paraId="6D720EAB"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5997842C" ns2:textId="77777777" w:rsidR="009A010E" w:rsidRDefault="00663E38">
            <w:pPr>
              <w:keepLines/>
              <w:spacing w:after="0" w:line="254" w:lineRule="auto"/>
              <w:jc w:val="center"/>
            </w:pPr>
            <w:r>
              <w:rPr>
                <w:rFonts w:cs="Calibri"/>
                <w:b/>
                <w:color w:val="44546A"/>
                <w:sz w:val="19"/>
              </w:rPr>
              <w:t>Execution</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24B66B38" ns2:textId="77777777" w:rsidR="009A010E" w:rsidRDefault="00663E38">
            <w:pPr>
              <w:keepLines/>
              <w:spacing w:after="0" w:line="254" w:lineRule="auto"/>
            </w:pPr>
            <w:r>
              <w:rPr>
                <w:rFonts w:cs="Calibri"/>
                <w:b/>
                <w:sz w:val="19"/>
              </w:rPr>
              <w:t>n_trade_signals_raw</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053C1804" ns2:textId="77777777" w:rsidR="009A010E" w:rsidRDefault="00663E38">
            <w:pPr>
              <w:keepLines/>
              <w:spacing w:after="0" w:line="254" w:lineRule="auto"/>
            </w:pPr>
            <w:r>
              <w:rPr>
                <w:rFonts w:cs="Calibri"/>
                <w:sz w:val="19"/>
              </w:rPr>
              <w:t>Raw number of long/short signals before overlap filtering.</w:t>
            </w:r>
          </w:p>
        </w:tc>
      </w:tr>
      <w:tr w:rsidR="009A010E" ns2:paraId="1CD374F9"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4BA99F52" ns2:textId="77777777" w:rsidR="009A010E" w:rsidRDefault="00663E38">
            <w:pPr>
              <w:keepLines/>
              <w:spacing w:after="0" w:line="254" w:lineRule="auto"/>
              <w:jc w:val="center"/>
            </w:pPr>
            <w:r>
              <w:rPr>
                <w:rFonts w:cs="Calibri"/>
                <w:b/>
                <w:color w:val="44546A"/>
                <w:sz w:val="19"/>
              </w:rPr>
              <w:lastRenderedPageBreak/>
              <w:t>Execution</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4551E787" ns2:textId="77777777" w:rsidR="009A010E" w:rsidRDefault="00663E38">
            <w:pPr>
              <w:keepLines/>
              <w:spacing w:after="0" w:line="254" w:lineRule="auto"/>
            </w:pPr>
            <w:r>
              <w:rPr>
                <w:rFonts w:cs="Calibri"/>
                <w:b/>
                <w:sz w:val="19"/>
              </w:rPr>
              <w:t>n_trade_signals_skipped_overlap</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22BFE9B" ns2:textId="77777777" w:rsidR="009A010E" w:rsidRDefault="00663E38">
            <w:pPr>
              <w:keepLines/>
              <w:spacing w:after="0" w:line="254" w:lineRule="auto"/>
            </w:pPr>
            <w:r>
              <w:rPr>
                <w:rFonts w:cs="Calibri"/>
                <w:sz w:val="19"/>
              </w:rPr>
              <w:t>Signals removed because the same ticker already had an active position. Large values suggest clustered or noisy signals.</w:t>
            </w:r>
          </w:p>
        </w:tc>
      </w:tr>
      <w:tr w:rsidR="009A010E" ns2:paraId="621FB006"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73B4740" ns2:textId="77777777" w:rsidR="009A010E" w:rsidRDefault="00663E38">
            <w:pPr>
              <w:keepLines/>
              <w:spacing w:after="0" w:line="254" w:lineRule="auto"/>
              <w:jc w:val="center"/>
            </w:pPr>
            <w:r>
              <w:rPr>
                <w:rFonts w:cs="Calibri"/>
                <w:b/>
                <w:color w:val="44546A"/>
                <w:sz w:val="19"/>
              </w:rPr>
              <w:t>Execution</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8295770" ns2:textId="77777777" w:rsidR="009A010E" w:rsidRDefault="00663E38">
            <w:pPr>
              <w:keepLines/>
              <w:spacing w:after="0" w:line="254" w:lineRule="auto"/>
            </w:pPr>
            <w:r>
              <w:rPr>
                <w:rFonts w:cs="Calibri"/>
                <w:b/>
                <w:sz w:val="19"/>
              </w:rPr>
              <w:t>n_executed_trades</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250C40D3" ns2:textId="77777777" w:rsidR="009A010E" w:rsidRDefault="00663E38">
            <w:pPr>
              <w:keepLines/>
              <w:spacing w:after="0" w:line="254" w:lineRule="auto"/>
            </w:pPr>
            <w:r>
              <w:rPr>
                <w:rFonts w:cs="Calibri"/>
                <w:sz w:val="19"/>
              </w:rPr>
              <w:t>Trades that remain after overlap filtering. This is the effective trade count of the strategy.</w:t>
            </w:r>
          </w:p>
        </w:tc>
      </w:tr>
      <w:tr w:rsidR="009A010E" ns2:paraId="31358EDF"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4B0BA0E" ns2:textId="77777777" w:rsidR="009A010E" w:rsidRDefault="00663E38">
            <w:pPr>
              <w:keepLines/>
              <w:spacing w:after="0" w:line="254" w:lineRule="auto"/>
              <w:jc w:val="center"/>
            </w:pPr>
            <w:r>
              <w:rPr>
                <w:rFonts w:cs="Calibri"/>
                <w:b/>
                <w:color w:val="44546A"/>
                <w:sz w:val="19"/>
              </w:rPr>
              <w:t>Execution</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ADEB029" ns2:textId="77777777" w:rsidR="009A010E" w:rsidRDefault="00663E38">
            <w:pPr>
              <w:keepLines/>
              <w:spacing w:after="0" w:line="254" w:lineRule="auto"/>
            </w:pPr>
            <w:r>
              <w:rPr>
                <w:rFonts w:cs="Calibri"/>
                <w:b/>
                <w:sz w:val="19"/>
              </w:rPr>
              <w:t>share_time_active_pct</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0C18DF27" ns2:textId="77777777" w:rsidR="009A010E" w:rsidRDefault="00663E38">
            <w:pPr>
              <w:keepLines/>
              <w:spacing w:after="0" w:line="254" w:lineRule="auto"/>
            </w:pPr>
            <w:r>
              <w:rPr>
                <w:rFonts w:cs="Calibri"/>
                <w:sz w:val="19"/>
              </w:rPr>
              <w:t>Percentage of the total evaluation period in which at least one trade is active. Helps judge strategy exposure.</w:t>
            </w:r>
          </w:p>
        </w:tc>
      </w:tr>
      <w:tr w:rsidR="009A010E" ns2:paraId="0C74AC97"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6EB6C139" ns2:textId="77777777" w:rsidR="009A010E" w:rsidRDefault="00663E38">
            <w:pPr>
              <w:keepLines/>
              <w:spacing w:after="0" w:line="254" w:lineRule="auto"/>
              <w:jc w:val="center"/>
            </w:pPr>
            <w:r>
              <w:rPr>
                <w:rFonts w:cs="Calibri"/>
                <w:b/>
                <w:color w:val="44546A"/>
                <w:sz w:val="19"/>
              </w:rPr>
              <w:t>Economics</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41F9B18" ns2:textId="77777777" w:rsidR="009A010E" w:rsidRDefault="00663E38">
            <w:pPr>
              <w:keepLines/>
              <w:spacing w:after="0" w:line="254" w:lineRule="auto"/>
            </w:pPr>
            <w:r>
              <w:rPr>
                <w:rFonts w:cs="Calibri"/>
                <w:b/>
                <w:sz w:val="19"/>
              </w:rPr>
              <w:t>Executed trade net return</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B8DDD6E" ns2:textId="77777777" w:rsidR="009A010E" w:rsidRDefault="00663E38">
            <w:pPr>
              <w:keepLines/>
              <w:spacing w:after="0" w:line="254" w:lineRule="auto"/>
            </w:pPr>
            <w:r>
              <w:rPr>
                <w:rFonts w:cs="Calibri"/>
                <w:sz w:val="19"/>
              </w:rPr>
              <w:t>Net return subtracts transaction costs from the raw trade return. This is the economically meaningful per-trade quantity.</w:t>
            </w:r>
          </w:p>
        </w:tc>
      </w:tr>
      <w:tr w:rsidR="009A010E" ns2:paraId="767B4AF9"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30DD86C" ns2:textId="77777777" w:rsidR="009A010E" w:rsidRDefault="00663E38">
            <w:pPr>
              <w:keepLines/>
              <w:spacing w:after="0" w:line="254" w:lineRule="auto"/>
              <w:jc w:val="center"/>
            </w:pPr>
            <w:r>
              <w:rPr>
                <w:rFonts w:cs="Calibri"/>
                <w:b/>
                <w:color w:val="44546A"/>
                <w:sz w:val="19"/>
              </w:rPr>
              <w:t>Economics</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5349095" ns2:textId="77777777" w:rsidR="009A010E" w:rsidRDefault="00663E38">
            <w:pPr>
              <w:keepLines/>
              <w:spacing w:after="0" w:line="254" w:lineRule="auto"/>
            </w:pPr>
            <w:r>
              <w:rPr>
                <w:rFonts w:cs="Calibri"/>
                <w:b/>
                <w:sz w:val="19"/>
              </w:rPr>
              <w:t>Annual net profit loss pct</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C9B8CF3" ns2:textId="77777777" w:rsidR="009A010E" w:rsidRDefault="00663E38">
            <w:pPr>
              <w:keepLines/>
              <w:spacing w:after="0" w:line="254" w:lineRule="auto"/>
            </w:pPr>
            <w:r>
              <w:rPr>
                <w:rFonts w:cs="Calibri"/>
                <w:sz w:val="19"/>
              </w:rPr>
              <w:t>Annualized return = ((final_portfolio / initial_portfolio)^(days_per_year / n_days) - 1) * 100.</w:t>
            </w:r>
          </w:p>
        </w:tc>
      </w:tr>
      <w:tr w:rsidR="009A010E" ns2:paraId="087C6A39"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2F826AB" ns2:textId="77777777" w:rsidR="009A010E" w:rsidRDefault="00663E38">
            <w:pPr>
              <w:keepLines/>
              <w:spacing w:after="0" w:line="254" w:lineRule="auto"/>
              <w:jc w:val="center"/>
            </w:pPr>
            <w:r>
              <w:rPr>
                <w:rFonts w:cs="Calibri"/>
                <w:b/>
                <w:color w:val="44546A"/>
                <w:sz w:val="19"/>
              </w:rPr>
              <w:t>Economics</w:t>
            </w:r>
          </w:p>
        </w:tc>
        <w:tc>
          <w:tcPr>
            <w:tcW w:w="22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4F063D6" ns2:textId="77777777" w:rsidR="009A010E" w:rsidRDefault="00663E38">
            <w:pPr>
              <w:keepLines/>
              <w:spacing w:after="0" w:line="254" w:lineRule="auto"/>
            </w:pPr>
            <w:r>
              <w:rPr>
                <w:rFonts w:cs="Calibri"/>
                <w:b/>
                <w:sz w:val="19"/>
              </w:rPr>
              <w:t>Sharpe ratio annualized</w:t>
            </w:r>
          </w:p>
        </w:tc>
        <w:tc>
          <w:tcPr>
            <w:tcW w:w="590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0532CA02" ns2:textId="77777777" w:rsidR="009A010E" w:rsidRDefault="00663E38">
            <w:pPr>
              <w:keepLines/>
              <w:spacing w:after="0" w:line="254" w:lineRule="auto"/>
            </w:pPr>
            <w:r>
              <w:rPr>
                <w:rFonts w:cs="Calibri"/>
                <w:sz w:val="19"/>
              </w:rPr>
              <w:t>Sharpe = sqrt(days_per_year) * (mean(daily_returns) - risk_free_daily) / std(daily_returns). Higher is better; negative means poor risk-adjusted performance.</w:t>
            </w:r>
          </w:p>
        </w:tc>
      </w:tr>
      <w:tr w:rsidR="009A010E" ns2:paraId="1F1D6BA3" ns2:textId="77777777">
        <w:trPr>
          <w:cantSplit/>
          <w:jc w:val="center"/>
        </w:trPr>
        <w:tc>
          <w:tcPr>
            <w:tcW w:w="15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803C8BA" ns2:textId="77777777" w:rsidR="009A010E" w:rsidRDefault="00663E38">
            <w:pPr>
              <w:keepLines/>
              <w:spacing w:after="0" w:line="254" w:lineRule="auto"/>
              <w:jc w:val="center"/>
            </w:pPr>
            <w:r>
              <w:rPr>
                <w:rFonts w:cs="Calibri"/>
                <w:b/>
                <w:color w:val="44546A"/>
                <w:sz w:val="19"/>
              </w:rPr>
              <w:t>Economics</w:t>
            </w:r>
          </w:p>
        </w:tc>
        <w:tc>
          <w:tcPr>
            <w:tcW w:w="22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4384E01" ns2:textId="77777777" w:rsidR="009A010E" w:rsidRDefault="00663E38">
            <w:pPr>
              <w:keepLines/>
              <w:spacing w:after="0" w:line="254" w:lineRule="auto"/>
            </w:pPr>
            <w:r>
              <w:rPr>
                <w:rFonts w:cs="Calibri"/>
                <w:b/>
                <w:sz w:val="19"/>
              </w:rPr>
              <w:t>Max drawdown pct</w:t>
            </w:r>
          </w:p>
        </w:tc>
        <w:tc>
          <w:tcPr>
            <w:tcW w:w="590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6F154C4F" ns2:textId="77777777" w:rsidR="009A010E" w:rsidRDefault="00663E38">
            <w:pPr>
              <w:keepLines/>
              <w:spacing w:after="0" w:line="254" w:lineRule="auto"/>
            </w:pPr>
            <w:r>
              <w:rPr>
                <w:rFonts w:cs="Calibri"/>
                <w:sz w:val="19"/>
              </w:rPr>
              <w:t>Maximum percentage fall from the running portfolio peak. Lower drawdown is better because it indicates smaller worst-case losses.</w:t>
            </w:r>
          </w:p>
        </w:tc>
      </w:tr>
      <w:tr w:rsidR="009A010E" ns2:paraId="5CA113F9" ns2:textId="77777777">
        <w:trPr>
          <w:cantSplit/>
          <w:jc w:val="center"/>
        </w:trPr>
        <w:tc>
          <w:tcPr>
            <w:tcW w:w="1584" w:type="dxa"/>
            <w:tcBorders>
              <w:top w:val="single" w:sz="8" w:space="0" w:color="D39B2F"/>
              <w:left w:val="single" w:sz="8" w:space="0" w:color="D39B2F"/>
              <w:bottom w:val="single" w:sz="8" w:space="0" w:color="D39B2F"/>
              <w:right w:val="single" w:sz="8" w:space="0" w:color="D39B2F"/>
            </w:tcBorders>
            <w:shd w:val="clear" w:color="auto" w:fill="FFF4E5"/>
            <w:tcMar>
              <w:top w:w="80" w:type="dxa"/>
              <w:left w:w="110" w:type="dxa"/>
              <w:bottom w:w="80" w:type="dxa"/>
              <w:right w:w="110" w:type="dxa"/>
            </w:tcMar>
            <w:vAlign w:val="center"/>
          </w:tcPr>
          <w:p ns2:paraId="46B70649" ns2:textId="77777777" w:rsidR="009A010E" w:rsidRDefault="00663E38">
            <w:pPr>
              <w:keepLines/>
              <w:spacing w:after="0" w:line="254" w:lineRule="auto"/>
              <w:jc w:val="center"/>
            </w:pPr>
            <w:r>
              <w:rPr>
                <w:rFonts w:cs="Calibri"/>
                <w:b/>
                <w:color w:val="44546A"/>
                <w:sz w:val="19"/>
              </w:rPr>
              <w:t>Caution</w:t>
            </w:r>
          </w:p>
        </w:tc>
        <w:tc>
          <w:tcPr>
            <w:tcW w:w="2232" w:type="dxa"/>
            <w:tcBorders>
              <w:top w:val="single" w:sz="8" w:space="0" w:color="D39B2F"/>
              <w:left w:val="single" w:sz="8" w:space="0" w:color="D39B2F"/>
              <w:bottom w:val="single" w:sz="8" w:space="0" w:color="D39B2F"/>
              <w:right w:val="single" w:sz="8" w:space="0" w:color="D39B2F"/>
            </w:tcBorders>
            <w:shd w:val="clear" w:color="auto" w:fill="FFF4E5"/>
            <w:tcMar>
              <w:top w:w="80" w:type="dxa"/>
              <w:left w:w="110" w:type="dxa"/>
              <w:bottom w:w="80" w:type="dxa"/>
              <w:right w:w="110" w:type="dxa"/>
            </w:tcMar>
            <w:vAlign w:val="center"/>
          </w:tcPr>
          <w:p ns2:paraId="7678EF97" ns2:textId="77777777" w:rsidR="009A010E" w:rsidRDefault="00663E38">
            <w:pPr>
              <w:keepLines/>
              <w:spacing w:after="0" w:line="254" w:lineRule="auto"/>
            </w:pPr>
            <w:r>
              <w:rPr>
                <w:rFonts w:cs="Calibri"/>
                <w:b/>
                <w:sz w:val="19"/>
              </w:rPr>
              <w:t>Raw accuracy</w:t>
            </w:r>
          </w:p>
        </w:tc>
        <w:tc>
          <w:tcPr>
            <w:tcW w:w="5904" w:type="dxa"/>
            <w:tcBorders>
              <w:top w:val="single" w:sz="8" w:space="0" w:color="D39B2F"/>
              <w:left w:val="single" w:sz="8" w:space="0" w:color="D39B2F"/>
              <w:bottom w:val="single" w:sz="8" w:space="0" w:color="D39B2F"/>
              <w:right w:val="single" w:sz="8" w:space="0" w:color="D39B2F"/>
            </w:tcBorders>
            <w:shd w:val="clear" w:color="auto" w:fill="FFF4E5"/>
            <w:tcMar>
              <w:top w:w="80" w:type="dxa"/>
              <w:left w:w="110" w:type="dxa"/>
              <w:bottom w:w="80" w:type="dxa"/>
              <w:right w:w="110" w:type="dxa"/>
            </w:tcMar>
            <w:vAlign w:val="center"/>
          </w:tcPr>
          <w:p ns2:paraId="188C623A" ns2:textId="77777777" w:rsidR="009A010E" w:rsidRDefault="00663E38">
            <w:pPr>
              <w:keepLines/>
              <w:spacing w:after="0" w:line="254" w:lineRule="auto"/>
            </w:pPr>
            <w:r>
              <w:rPr>
                <w:rFonts w:cs="Calibri"/>
                <w:sz w:val="19"/>
              </w:rPr>
              <w:t>Raw event-outcome or all-prediction accuracy can be misleading when the exit class dominates or abstention is allowed. Side, meta, decision, and economics metrics should be read together.</w:t>
            </w:r>
          </w:p>
        </w:tc>
      </w:tr>
    </w:tbl>
    <w:p ns2:paraId="2A882D8C" ns2:textId="77777777" w:rsidR="009A010E" w:rsidRDefault="00663E38">
      <w:pPr>
        <w:pStyle w:val="Heading1"/>
        <w:pBdr>
          <w:bottom w:val="single" w:sz="8" w:space="2" w:color="D9E2F3"/>
        </w:pBdr>
      </w:pPr>
      <w:r>
        <w:t>10. Why the model should work in theory</w:t>
      </w:r>
    </w:p>
    <w:p ns2:paraId="45481186" ns2:textId="77777777" w:rsidR="009A010E" w:rsidRDefault="00663E38">
      <w:r>
        <w:t>The theoretical motivation of the project comes from combining several reasonable ideas rather than assuming one perfect model. First, intraday price data may contain short-lived but real structure related to momentum, reversal, volatility clustering, liquidity changes, and time-of-day effects. Second, event-bar sampling can reduce the amount of redundant low-information data seen during quiet periods. Third, technical indicators and cyclical time features can summarize market state in a compact and model-friendly way.</w:t>
      </w:r>
    </w:p>
    <w:p ns2:paraId="78D52E53" ns2:textId="77777777" w:rsidR="009A010E" w:rsidRDefault="00663E38">
      <w:r>
        <w:t>Fourth, the triple-barrier labeling scheme aligns the target with a bounded trading problem rather than with an abstract next-step direction target. Fifth, the side-plus-meta setup separates direction estimation from trade acceptance, which is important because not every weak side probability should become a position. Finally, walk-forward cross-validation across time-based folds provides at least a partial defense against mistaking one favorable market regime for a robust trading edge.</w:t>
      </w:r>
    </w:p>
    <w:p ns2:paraId="255F0E88" ns2:textId="77777777" w:rsidR="009A010E" w:rsidRDefault="00663E38">
      <w:r>
        <w:t>Taken together, the project should work in theory because it attempts to compute market-state features from the richer minute-level history, select event timestamps that reduce redundant low-information rows, learn a directional side model from actionable events, and use a meta-label filter to translate predictions into selective, economically meaningful decisions under explicit risk and time constraints.</w:t>
      </w:r>
    </w:p>
    <w:p ns2:paraId="4ABD2BEE" ns2:textId="77777777" w:rsidR="009A010E" w:rsidRDefault="00663E38">
      <w:pPr>
        <w:pStyle w:val="Heading1"/>
        <w:pBdr>
          <w:bottom w:val="single" w:sz="8" w:space="2" w:color="D9E2F3"/>
        </w:pBdr>
      </w:pPr>
      <w:r>
        <w:t>11. How a student should interpret results</w:t>
      </w:r>
    </w:p>
    <w:p ns2:paraId="564B2FF6" ns2:textId="77777777" w:rsidR="009A010E" w:rsidRDefault="00663E38">
      <w:r>
        <w:t xml:space="preserve">A common mistake in financial ML is to look only at accuracy. In this project, accuracy is necessary but not sufficient. A model can classify sides reasonably well and still fail economically if it trades too often, abstains from too many good opportunities, acts on too many time-exit outcomes, or produces profits too small to survive transaction costs.</w:t>
      </w:r>
      <w:r>
        <w:lastRenderedPageBreak/>
        <w:t/>
      </w:r>
    </w:p>
    <w:p ns2:paraId="1D7BDCCA" ns2:textId="77777777" w:rsidR="009A010E" w:rsidRDefault="00663E38">
      <w:pPr>
        <w:spacing w:before="40"/>
      </w:pPr>
      <w:r>
        <w:t>For example, if test side F1 improves but Sharpe ratio stays negative, the model may be learning some direction while the meta decision rule or transaction-cost setting is still too loose. If abstained prediction rate is very high and trade signal rate is very low, the meta layer may be too conservative. If profitable transaction percentage is above 50 percent but annual net P and L is poor, the average winning trade may simply be too small relative to the average losing trade and transaction costs.</w:t>
      </w:r>
    </w:p>
    <w:p ns2:paraId="33D204DB" ns2:textId="77777777" w:rsidR="009A010E" w:rsidRDefault="00663E38">
      <w:pPr>
        <w:spacing w:before="40"/>
      </w:pPr>
      <w:r>
        <w:t>Another important point is that test metrics matter more than validation metrics when discussing final performance. Validation is used for model selection; test is the closest available estimate of how the approach generalizes to unseen periods.</w:t>
      </w:r>
    </w:p>
    <w:p ns2:paraId="1B110660" ns2:textId="77777777" w:rsidR="009A010E" w:rsidRDefault="00663E38">
      <w:pPr>
        <w:pStyle w:val="Heading1"/>
        <w:pBdr>
          <w:bottom w:val="single" w:sz="8" w:space="2" w:color="D9E2F3"/>
        </w:pBdr>
      </w:pPr>
      <w:r>
        <w:t>12. Current default configuration snapshot</w:t>
      </w:r>
    </w:p>
    <w:p ns2:paraId="772E48EB" ns2:textId="77777777" w:rsidR="009A010E" w:rsidRDefault="00663E38">
      <w:r>
        <w:t>The snapshot below describes the prepared experiment currently referenced by the repository default pointer. It is useful as a concrete example, but students should remember that these values can change if a different prepared experiment or CV manifest is selected.</w:t>
      </w:r>
    </w:p>
    <w:p ns2:paraId="45B05A7A" ns2:textId="77777777" w:rsidR="009A010E" w:rsidRDefault="00663E38">
      <w:pPr>
        <w:pStyle w:val="KvantTableCaption"/>
      </w:pPr>
      <w:r>
        <w:t>Table 3. Current default configuration</w:t>
      </w:r>
    </w:p>
    <w:tbl>
      <w:tblPr>
        <w:tblStyle w:val="TableGrid"/>
        <w:tblW w:w="0" w:type="auto"/>
        <w:jc w:val="center"/>
        <w:tblLayout w:type="fixed"/>
        <w:tblLook w:val="04A0" w:firstRow="1" w:lastRow="0" w:firstColumn="1" w:lastColumn="0" w:noHBand="0" w:noVBand="1"/>
      </w:tblPr>
      <w:tblGrid>
        <w:gridCol w:w="3384"/>
        <w:gridCol w:w="5976"/>
      </w:tblGrid>
      <w:tr w:rsidR="009A010E" ns2:paraId="35740D93" ns2:textId="77777777">
        <w:trPr>
          <w:cantSplit/>
          <w:tblHeader/>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198BE4F2" ns2:textId="77777777" w:rsidR="009A010E" w:rsidRDefault="00663E38">
            <w:pPr>
              <w:keepLines/>
              <w:spacing w:after="0" w:line="254" w:lineRule="auto"/>
            </w:pPr>
            <w:r>
              <w:rPr>
                <w:rFonts w:cs="Calibri"/>
                <w:b/>
                <w:color w:val="FFFFFF"/>
                <w:sz w:val="20"/>
              </w:rPr>
              <w:t>Setting</w:t>
            </w:r>
          </w:p>
        </w:tc>
        <w:tc>
          <w:tcPr>
            <w:tcW w:w="5976"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26DADD99" ns2:textId="77777777" w:rsidR="009A010E" w:rsidRDefault="00663E38">
            <w:pPr>
              <w:keepLines/>
              <w:spacing w:after="0" w:line="254" w:lineRule="auto"/>
            </w:pPr>
            <w:r>
              <w:rPr>
                <w:rFonts w:cs="Calibri"/>
                <w:b/>
                <w:color w:val="FFFFFF"/>
                <w:sz w:val="20"/>
              </w:rPr>
              <w:t>Value</w:t>
            </w:r>
          </w:p>
        </w:tc>
      </w:tr>
      <w:tr w:rsidR="009A010E" ns2:paraId="29F60602"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403995D2" ns2:textId="77777777" w:rsidR="009A010E" w:rsidRDefault="00663E38">
            <w:pPr>
              <w:keepLines/>
              <w:spacing w:after="0" w:line="254" w:lineRule="auto"/>
            </w:pPr>
            <w:r>
              <w:rPr>
                <w:rFonts w:cs="Calibri"/>
                <w:b/>
                <w:color w:val="44546A"/>
                <w:sz w:val="20"/>
              </w:rPr>
              <w:t>Current default CV manifest</w:t>
            </w:r>
          </w:p>
        </w:tc>
        <w:tc>
          <w:tcPr>
            <w:tcW w:w="597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C3575D2" ns2:textId="77777777" w:rsidR="009A010E" w:rsidRDefault="00663E38">
            <w:pPr>
              <w:keepLines/>
              <w:spacing w:after="0" w:line="254" w:lineRule="auto"/>
            </w:pPr>
            <w:r>
              <w:rPr>
                <w:rFonts w:cs="Calibri"/>
                <w:sz w:val="20"/>
              </w:rPr>
              <w:t>sb_L_12_w180_h1.5_TBPD30_cv_manifest.json</w:t>
            </w:r>
          </w:p>
        </w:tc>
      </w:tr>
      <w:tr w:rsidR="009A010E" ns2:paraId="6114B0B4"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E5132FF" ns2:textId="77777777" w:rsidR="009A010E" w:rsidRDefault="00663E38">
            <w:pPr>
              <w:keepLines/>
              <w:spacing w:after="0" w:line="254" w:lineRule="auto"/>
            </w:pPr>
            <w:r>
              <w:rPr>
                <w:rFonts w:cs="Calibri"/>
                <w:b/>
                <w:color w:val="44546A"/>
                <w:sz w:val="20"/>
              </w:rPr>
              <w:t>Prepared experiment label</w:t>
            </w:r>
          </w:p>
        </w:tc>
        <w:tc>
          <w:tcPr>
            <w:tcW w:w="597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6C1E4A49" ns2:textId="77777777" w:rsidR="009A010E" w:rsidRDefault="00663E38">
            <w:pPr>
              <w:keepLines/>
              <w:spacing w:after="0" w:line="254" w:lineRule="auto"/>
            </w:pPr>
            <w:r>
              <w:rPr>
                <w:rFonts w:cs="Calibri"/>
                <w:sz w:val="20"/>
              </w:rPr>
              <w:t>sb_L_12_w180_h1.5_TBPD30</w:t>
            </w:r>
          </w:p>
        </w:tc>
      </w:tr>
      <w:tr w:rsidR="009A010E" ns2:paraId="6FA10F0C"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1CBCFAA" ns2:textId="77777777" w:rsidR="009A010E" w:rsidRDefault="00663E38">
            <w:pPr>
              <w:keepLines/>
              <w:spacing w:after="0" w:line="254" w:lineRule="auto"/>
            </w:pPr>
            <w:r>
              <w:rPr>
                <w:rFonts w:cs="Calibri"/>
                <w:b/>
                <w:color w:val="44546A"/>
                <w:sz w:val="20"/>
              </w:rPr>
              <w:t>Number of folds</w:t>
            </w:r>
          </w:p>
        </w:tc>
        <w:tc>
          <w:tcPr>
            <w:tcW w:w="597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2EAAAA3" ns2:textId="77777777" w:rsidR="009A010E" w:rsidRDefault="00663E38">
            <w:pPr>
              <w:keepLines/>
              <w:spacing w:after="0" w:line="254" w:lineRule="auto"/>
              <w:jc w:val="center"/>
            </w:pPr>
            <w:r>
              <w:rPr>
                <w:rFonts w:cs="Calibri"/>
                <w:b/>
                <w:sz w:val="20"/>
              </w:rPr>
              <w:t>5</w:t>
            </w:r>
          </w:p>
        </w:tc>
      </w:tr>
      <w:tr w:rsidR="009A010E" ns2:paraId="79CE28D5"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0CB256A" ns2:textId="77777777" w:rsidR="009A010E" w:rsidRDefault="00663E38">
            <w:pPr>
              <w:keepLines/>
              <w:spacing w:after="0" w:line="254" w:lineRule="auto"/>
            </w:pPr>
            <w:r>
              <w:rPr>
                <w:rFonts w:cs="Calibri"/>
                <w:b/>
                <w:color w:val="44546A"/>
                <w:sz w:val="20"/>
              </w:rPr>
              <w:t>Number of tickers</w:t>
            </w:r>
          </w:p>
        </w:tc>
        <w:tc>
          <w:tcPr>
            <w:tcW w:w="597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C671644" ns2:textId="77777777" w:rsidR="009A010E" w:rsidRDefault="00663E38">
            <w:pPr>
              <w:keepLines/>
              <w:spacing w:after="0" w:line="254" w:lineRule="auto"/>
              <w:jc w:val="center"/>
            </w:pPr>
            <w:r>
              <w:rPr>
                <w:rFonts w:cs="Calibri"/>
                <w:b/>
                <w:sz w:val="20"/>
              </w:rPr>
              <w:t>20</w:t>
            </w:r>
          </w:p>
        </w:tc>
      </w:tr>
      <w:tr w:rsidR="009A010E" ns2:paraId="49EEE5A7"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501766D" ns2:textId="77777777" w:rsidR="009A010E" w:rsidRDefault="00663E38">
            <w:pPr>
              <w:keepLines/>
              <w:spacing w:after="0" w:line="254" w:lineRule="auto"/>
            </w:pPr>
            <w:r>
              <w:rPr>
                <w:rFonts w:cs="Calibri"/>
                <w:b/>
                <w:color w:val="44546A"/>
                <w:sz w:val="20"/>
              </w:rPr>
              <w:t>Lookback window L</w:t>
            </w:r>
          </w:p>
        </w:tc>
        <w:tc>
          <w:tcPr>
            <w:tcW w:w="597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542927F6" ns2:textId="77777777" w:rsidR="009A010E" w:rsidRDefault="00663E38">
            <w:pPr>
              <w:keepLines/>
              <w:spacing w:after="0" w:line="254" w:lineRule="auto"/>
              <w:jc w:val="center"/>
            </w:pPr>
            <w:r>
              <w:rPr>
                <w:rFonts w:cs="Calibri"/>
                <w:b/>
                <w:sz w:val="20"/>
              </w:rPr>
              <w:t>12</w:t>
            </w:r>
          </w:p>
        </w:tc>
      </w:tr>
      <w:tr w:rsidR="009A010E" ns2:paraId="6DF67809"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6CED16F9" ns2:textId="77777777" w:rsidR="009A010E" w:rsidRDefault="00663E38">
            <w:pPr>
              <w:keepLines/>
              <w:spacing w:after="0" w:line="254" w:lineRule="auto"/>
            </w:pPr>
            <w:r>
              <w:rPr>
                <w:rFonts w:cs="Calibri"/>
                <w:b/>
                <w:color w:val="44546A"/>
                <w:sz w:val="20"/>
              </w:rPr>
              <w:t>Number of selected features</w:t>
            </w:r>
          </w:p>
        </w:tc>
        <w:tc>
          <w:tcPr>
            <w:tcW w:w="597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E975075" ns2:textId="77777777" w:rsidR="009A010E" w:rsidRDefault="00663E38">
            <w:pPr>
              <w:keepLines/>
              <w:spacing w:after="0" w:line="254" w:lineRule="auto"/>
              <w:jc w:val="center"/>
            </w:pPr>
            <w:r>
              <w:rPr>
                <w:rFonts w:cs="Calibri"/>
                <w:b/>
                <w:sz w:val="20"/>
              </w:rPr>
              <w:t>16</w:t>
            </w:r>
          </w:p>
        </w:tc>
      </w:tr>
      <w:tr w:rsidR="009A010E" ns2:paraId="5E87C678"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2367E1D0" ns2:textId="77777777" w:rsidR="009A010E" w:rsidRDefault="00663E38">
            <w:pPr>
              <w:keepLines/>
              <w:spacing w:after="0" w:line="254" w:lineRule="auto"/>
            </w:pPr>
            <w:r>
              <w:rPr>
                <w:rFonts w:cs="Calibri"/>
                <w:b/>
                <w:color w:val="44546A"/>
                <w:sz w:val="20"/>
              </w:rPr>
              <w:t>Sampler</w:t>
            </w:r>
          </w:p>
        </w:tc>
        <w:tc>
          <w:tcPr>
            <w:tcW w:w="597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634EBBCE" ns2:textId="77777777" w:rsidR="009A010E" w:rsidRDefault="00663E38">
            <w:pPr>
              <w:keepLines/>
              <w:spacing w:after="0" w:line="254" w:lineRule="auto"/>
              <w:jc w:val="center"/>
            </w:pPr>
            <w:r>
              <w:rPr>
                <w:rFonts w:cs="Calibri"/>
                <w:sz w:val="20"/>
              </w:rPr>
              <w:t>cusum_tuned</w:t>
            </w:r>
          </w:p>
        </w:tc>
      </w:tr>
      <w:tr w:rsidR="009A010E" ns2:paraId="44EE6D51"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9D5D45F" ns2:textId="77777777" w:rsidR="009A010E" w:rsidRDefault="00663E38">
            <w:pPr>
              <w:keepLines/>
              <w:spacing w:after="0" w:line="254" w:lineRule="auto"/>
            </w:pPr>
            <w:r>
              <w:rPr>
                <w:rFonts w:cs="Calibri"/>
                <w:b/>
                <w:color w:val="44546A"/>
                <w:sz w:val="20"/>
              </w:rPr>
              <w:t>Target sampled bars per day</w:t>
            </w:r>
          </w:p>
        </w:tc>
        <w:tc>
          <w:tcPr>
            <w:tcW w:w="597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B40EDC5" ns2:textId="77777777" w:rsidR="009A010E" w:rsidRDefault="00663E38">
            <w:pPr>
              <w:keepLines/>
              <w:spacing w:after="0" w:line="254" w:lineRule="auto"/>
              <w:jc w:val="center"/>
            </w:pPr>
            <w:r>
              <w:rPr>
                <w:rFonts w:cs="Calibri"/>
                <w:b/>
                <w:sz w:val="20"/>
              </w:rPr>
              <w:t>30</w:t>
            </w:r>
          </w:p>
        </w:tc>
      </w:tr>
      <w:tr w:rsidR="009A010E" ns2:paraId="328077A0"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09E49299" ns2:textId="77777777" w:rsidR="009A010E" w:rsidRDefault="00663E38">
            <w:pPr>
              <w:keepLines/>
              <w:spacing w:after="0" w:line="254" w:lineRule="auto"/>
            </w:pPr>
            <w:r>
              <w:rPr>
                <w:rFonts w:cs="Calibri"/>
                <w:b/>
                <w:color w:val="44546A"/>
                <w:sz w:val="20"/>
              </w:rPr>
              <w:t>Labeler width (minutes)</w:t>
            </w:r>
          </w:p>
        </w:tc>
        <w:tc>
          <w:tcPr>
            <w:tcW w:w="597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20D8A6B7" ns2:textId="77777777" w:rsidR="009A010E" w:rsidRDefault="00663E38">
            <w:pPr>
              <w:keepLines/>
              <w:spacing w:after="0" w:line="254" w:lineRule="auto"/>
              <w:jc w:val="center"/>
            </w:pPr>
            <w:r>
              <w:rPr>
                <w:rFonts w:cs="Calibri"/>
                <w:b/>
                <w:sz w:val="20"/>
              </w:rPr>
              <w:t>180</w:t>
            </w:r>
          </w:p>
        </w:tc>
      </w:tr>
      <w:tr w:rsidR="009A010E" ns2:paraId="6EFA338A"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0579F0FF" ns2:textId="77777777" w:rsidR="009A010E" w:rsidRDefault="00663E38">
            <w:pPr>
              <w:keepLines/>
              <w:spacing w:after="0" w:line="254" w:lineRule="auto"/>
            </w:pPr>
            <w:r>
              <w:rPr>
                <w:rFonts w:cs="Calibri"/>
                <w:b/>
                <w:color w:val="44546A"/>
                <w:sz w:val="20"/>
              </w:rPr>
              <w:t>Labeler barrier height</w:t>
            </w:r>
          </w:p>
        </w:tc>
        <w:tc>
          <w:tcPr>
            <w:tcW w:w="597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21F1F22" ns2:textId="77777777" w:rsidR="009A010E" w:rsidRDefault="00663E38">
            <w:pPr>
              <w:keepLines/>
              <w:spacing w:after="0" w:line="254" w:lineRule="auto"/>
              <w:jc w:val="center"/>
            </w:pPr>
            <w:r>
              <w:rPr>
                <w:rFonts w:cs="Calibri"/>
                <w:b/>
                <w:sz w:val="20"/>
              </w:rPr>
              <w:t>0.015</w:t>
            </w:r>
          </w:p>
        </w:tc>
      </w:tr>
      <w:tr w:rsidR="009A010E" ns2:paraId="5572A918"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0F982D52" ns2:textId="77777777" w:rsidR="009A010E" w:rsidRDefault="00663E38">
            <w:pPr>
              <w:keepLines/>
              <w:spacing w:after="0" w:line="254" w:lineRule="auto"/>
            </w:pPr>
            <w:r>
              <w:rPr>
                <w:rFonts w:cs="Calibri"/>
                <w:b/>
                <w:color w:val="44546A"/>
                <w:sz w:val="20"/>
              </w:rPr>
              <w:t>Drop time-exit label</w:t>
            </w:r>
          </w:p>
        </w:tc>
        <w:tc>
          <w:tcPr>
            <w:tcW w:w="5976"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5C0F63C0" ns2:textId="77777777" w:rsidR="009A010E" w:rsidRDefault="00663E38">
            <w:pPr>
              <w:keepLines/>
              <w:spacing w:after="0" w:line="254" w:lineRule="auto"/>
              <w:jc w:val="center"/>
            </w:pPr>
            <w:r>
              <w:rPr>
                <w:rFonts w:cs="Calibri"/>
                <w:b/>
                <w:sz w:val="20"/>
              </w:rPr>
              <w:t>False</w:t>
            </w:r>
          </w:p>
        </w:tc>
      </w:tr>
      <w:tr w:rsidR="009A010E" ns2:paraId="682686A1" ns2:textId="77777777">
        <w:trPr>
          <w:cantSplit/>
          <w:jc w:val="center"/>
        </w:trPr>
        <w:tc>
          <w:tcPr>
            <w:tcW w:w="3384"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2ACDF096" ns2:textId="77777777" w:rsidR="009A010E" w:rsidRDefault="00663E38">
            <w:pPr>
              <w:keepLines/>
              <w:spacing w:after="0" w:line="254" w:lineRule="auto"/>
            </w:pPr>
            <w:r>
              <w:rPr>
                <w:rFonts w:cs="Calibri"/>
                <w:b/>
                <w:color w:val="44546A"/>
                <w:sz w:val="20"/>
              </w:rPr>
              <w:t>Stored label semantics</w:t>
            </w:r>
          </w:p>
        </w:tc>
        <w:tc>
          <w:tcPr>
            <w:tcW w:w="5976"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9936F6D" ns2:textId="77777777" w:rsidR="009A010E" w:rsidRDefault="00663E38">
            <w:pPr>
              <w:keepLines/>
              <w:spacing w:after="0" w:line="254" w:lineRule="auto"/>
              <w:jc w:val="center"/>
            </w:pPr>
            <w:r>
              <w:rPr>
                <w:rFonts w:cs="Calibri"/>
                <w:sz w:val="20"/>
              </w:rPr>
              <w:t>0=down, 1=exit, 2=up</w:t>
            </w:r>
          </w:p>
        </w:tc>
      </w:tr>
    </w:tbl>
    <w:p ns2:paraId="2907CD1E" ns2:textId="77777777" w:rsidR="009A010E" w:rsidRDefault="00663E38">
      <w:r>
        <w:t>The current default prepared experiment is the non-droptexit event-outcome family, uses 20 US equity tickers, keeps three raw event labels, selects 16 engineered features for the side task, applies a tuned CUSUM sampler targeting 30 event bars per day, and labels trades with a 180-minute / 1.5 percent triple-barrier setup.</w:t>
      </w:r>
    </w:p>
    <w:p ns2:paraId="2B54D0B1" ns2:textId="77777777" w:rsidR="009A010E" w:rsidRDefault="00663E38">
      <w:r>
        <w:t>This snapshot is useful because it gives a concrete reference point for discussing results. The training stage is currently primary_side, but the stored prepared artifact remains event_outcome so that side labels, meta labels, abstentions, and economic outcomes can all be derived consistently downstream.</w:t>
      </w:r>
    </w:p>
    <w:p ns2:paraId="6FD5BE70" ns2:textId="77777777" w:rsidR="00C944CC" w:rsidRDefault="00C944CC">
      <w:pPr>
        <w:pStyle w:val="Heading1"/>
        <w:pBdr>
          <w:bottom w:val="single" w:sz="8" w:space="2" w:color="D9E2F3"/>
        </w:pBdr>
      </w:pPr>
    </w:p>
    <w:p ns2:paraId="6FD6D324" ns2:textId="58E1F736" w:rsidR="009A010E" w:rsidRDefault="00663E38">
      <w:pPr>
        <w:pStyle w:val="Heading1"/>
        <w:pBdr>
          <w:bottom w:val="single" w:sz="8" w:space="2" w:color="D9E2F3"/>
        </w:pBdr>
      </w:pPr>
      <w:r>
        <w:t>13. Main limitations and research considerations</w:t>
      </w:r>
    </w:p>
    <w:p ns2:paraId="1F6EF8CD" ns2:textId="77777777" w:rsidR="009A010E" w:rsidRDefault="00663E38">
      <w:r>
        <w:t>The project is strong as a research framework, but it also has limitations. Financial time series are non-stationary, so a pattern that worked in one period may disappear later. Labels depend on barrier settings and holding periods, so different choices can materially change the task. Transaction costs can destroy a weak edge. The event-outcome label space can be dominated by time exits, which makes raw accuracy a poor proxy for directional trading quality. Finally, good machine-learning metrics do not guarantee profitable execution.</w:t>
      </w:r>
    </w:p>
    <w:p ns2:paraId="7F4B9986" ns2:textId="77777777" w:rsidR="009A010E" w:rsidRDefault="00663E38">
      <w:r>
        <w:t>These limitations do not make the project weak; they make it realistic. In fact, part of the value of Kvant is that it gives a structured environment for investigating exactly these trade-offs.</w:t>
      </w:r>
    </w:p>
    <w:p ns2:paraId="124DADB5" ns2:textId="77777777" w:rsidR="009A010E" w:rsidRDefault="00663E38">
      <w:pPr>
        <w:pStyle w:val="Heading1"/>
        <w:pBdr>
          <w:bottom w:val="single" w:sz="8" w:space="2" w:color="D9E2F3"/>
        </w:pBdr>
      </w:pPr>
      <w:r>
        <w:t>Appendix: key implementation anchors</w:t>
      </w:r>
    </w:p>
    <w:p ns2:paraId="490DAE54" ns2:textId="77777777" w:rsidR="009A010E" w:rsidRDefault="00663E38">
      <w:pPr>
        <w:pStyle w:val="KvantTableCaption"/>
      </w:pPr>
      <w:r>
        <w:t>Table 4. Representative implementation anchors</w:t>
      </w:r>
    </w:p>
    <w:tbl>
      <w:tblPr>
        <w:tblStyle w:val="TableGrid"/>
        <w:tblW w:w="0" w:type="auto"/>
        <w:jc w:val="center"/>
        <w:tblLayout w:type="fixed"/>
        <w:tblLook w:val="04A0" w:firstRow="1" w:lastRow="0" w:firstColumn="1" w:lastColumn="0" w:noHBand="0" w:noVBand="1"/>
      </w:tblPr>
      <w:tblGrid>
        <w:gridCol w:w="3528"/>
        <w:gridCol w:w="5832"/>
      </w:tblGrid>
      <w:tr w:rsidR="009A010E" ns2:paraId="06F9766F" ns2:textId="77777777">
        <w:trPr>
          <w:cantSplit/>
          <w:tblHeader/>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2CE5A17C" ns2:textId="77777777" w:rsidR="009A010E" w:rsidRDefault="00663E38">
            <w:pPr>
              <w:keepLines/>
              <w:spacing w:after="0" w:line="254" w:lineRule="auto"/>
            </w:pPr>
            <w:r>
              <w:rPr>
                <w:rFonts w:cs="Calibri"/>
                <w:b/>
                <w:color w:val="FFFFFF"/>
                <w:sz w:val="20"/>
              </w:rPr>
              <w:t>Component</w:t>
            </w:r>
          </w:p>
        </w:tc>
        <w:tc>
          <w:tcPr>
            <w:tcW w:w="5832" w:type="dxa"/>
            <w:tcBorders>
              <w:top w:val="single" w:sz="4" w:space="0" w:color="C9D2DF"/>
              <w:left w:val="single" w:sz="4" w:space="0" w:color="C9D2DF"/>
              <w:bottom w:val="single" w:sz="4" w:space="0" w:color="C9D2DF"/>
              <w:right w:val="single" w:sz="4" w:space="0" w:color="C9D2DF"/>
            </w:tcBorders>
            <w:shd w:val="clear" w:color="auto" w:fill="1F4E79"/>
            <w:tcMar>
              <w:top w:w="80" w:type="dxa"/>
              <w:left w:w="110" w:type="dxa"/>
              <w:bottom w:w="80" w:type="dxa"/>
              <w:right w:w="110" w:type="dxa"/>
            </w:tcMar>
            <w:vAlign w:val="center"/>
          </w:tcPr>
          <w:p ns2:paraId="0070EB24" ns2:textId="77777777" w:rsidR="009A010E" w:rsidRDefault="00663E38">
            <w:pPr>
              <w:keepLines/>
              <w:spacing w:after="0" w:line="254" w:lineRule="auto"/>
            </w:pPr>
            <w:r>
              <w:rPr>
                <w:rFonts w:cs="Calibri"/>
                <w:b/>
                <w:color w:val="FFFFFF"/>
                <w:sz w:val="20"/>
              </w:rPr>
              <w:t>Representative implementation file</w:t>
            </w:r>
          </w:p>
        </w:tc>
      </w:tr>
      <w:tr w:rsidR="009A010E" ns2:paraId="60BE0A7B"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2B413633" ns2:textId="77777777" w:rsidR="009A010E" w:rsidRDefault="00663E38">
            <w:pPr>
              <w:keepLines/>
              <w:spacing w:after="0" w:line="254" w:lineRule="auto"/>
            </w:pPr>
            <w:r>
              <w:rPr>
                <w:rFonts w:cs="Calibri"/>
                <w:b/>
                <w:color w:val="44546A"/>
                <w:sz w:val="19"/>
              </w:rPr>
              <w:t>Preparation entrypoint</w:t>
            </w:r>
          </w:p>
        </w:tc>
        <w:tc>
          <w:tcPr>
            <w:tcW w:w="58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FC91881" ns2:textId="77777777" w:rsidR="009A010E" w:rsidRDefault="00663E38">
            <w:pPr>
              <w:keepLines/>
              <w:spacing w:after="0" w:line="254" w:lineRule="auto"/>
            </w:pPr>
            <w:r>
              <w:rPr>
                <w:rFonts w:ascii="Consolas" w:hAnsi="Consolas" w:cs="Consolas"/>
                <w:sz w:val="18"/>
              </w:rPr>
              <w:t>src/kvant/ml_prepare_data/prepare_experiment.py</w:t>
            </w:r>
          </w:p>
        </w:tc>
      </w:tr>
      <w:tr w:rsidR="009A010E" ns2:paraId="38BC94EC"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5A4EB6B" ns2:textId="77777777" w:rsidR="009A010E" w:rsidRDefault="00663E38">
            <w:pPr>
              <w:keepLines/>
              <w:spacing w:after="0" w:line="254" w:lineRule="auto"/>
            </w:pPr>
            <w:r>
              <w:rPr>
                <w:rFonts w:cs="Calibri"/>
                <w:b/>
                <w:color w:val="44546A"/>
                <w:sz w:val="19"/>
              </w:rPr>
              <w:t>Feature engineering and selection</w:t>
            </w:r>
          </w:p>
        </w:tc>
        <w:tc>
          <w:tcPr>
            <w:tcW w:w="58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52E866CC" ns2:textId="77777777" w:rsidR="009A010E" w:rsidRDefault="00663E38">
            <w:pPr>
              <w:keepLines/>
              <w:spacing w:after="0" w:line="254" w:lineRule="auto"/>
            </w:pPr>
            <w:r>
              <w:rPr>
                <w:rFonts w:ascii="Consolas" w:hAnsi="Consolas" w:cs="Consolas"/>
                <w:sz w:val="18"/>
              </w:rPr>
              <w:t>src/kvant/ml_prepare_data/features/feature_engineering.py and feature_selection.py</w:t>
            </w:r>
          </w:p>
        </w:tc>
      </w:tr>
      <w:tr w:rsidR="009A010E" ns2:paraId="3BBB3E58"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5AA0265" ns2:textId="77777777" w:rsidR="009A010E" w:rsidRDefault="00663E38">
            <w:pPr>
              <w:keepLines/>
              <w:spacing w:after="0" w:line="254" w:lineRule="auto"/>
            </w:pPr>
            <w:r>
              <w:rPr>
                <w:rFonts w:cs="Calibri"/>
                <w:b/>
                <w:color w:val="44546A"/>
                <w:sz w:val="19"/>
              </w:rPr>
              <w:t>Sampler</w:t>
            </w:r>
          </w:p>
        </w:tc>
        <w:tc>
          <w:tcPr>
            <w:tcW w:w="58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562A9C4E" ns2:textId="77777777" w:rsidR="009A010E" w:rsidRDefault="00663E38">
            <w:pPr>
              <w:keepLines/>
              <w:spacing w:after="0" w:line="254" w:lineRule="auto"/>
            </w:pPr>
            <w:r>
              <w:rPr>
                <w:rFonts w:ascii="Consolas" w:hAnsi="Consolas" w:cs="Consolas"/>
                <w:sz w:val="18"/>
              </w:rPr>
              <w:t>src/kvant/ml_prepare_data/samplers/sampler_cumsum.py</w:t>
            </w:r>
          </w:p>
        </w:tc>
      </w:tr>
      <w:tr w:rsidR="009A010E" ns2:paraId="6DBD9894"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9537FED" ns2:textId="77777777" w:rsidR="009A010E" w:rsidRDefault="00663E38">
            <w:pPr>
              <w:keepLines/>
              <w:spacing w:after="0" w:line="254" w:lineRule="auto"/>
            </w:pPr>
            <w:r>
              <w:rPr>
                <w:rFonts w:cs="Calibri"/>
                <w:b/>
                <w:color w:val="44546A"/>
                <w:sz w:val="19"/>
              </w:rPr>
              <w:t>Triple-barrier labeling</w:t>
            </w:r>
          </w:p>
        </w:tc>
        <w:tc>
          <w:tcPr>
            <w:tcW w:w="58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335F654A" ns2:textId="77777777" w:rsidR="009A010E" w:rsidRDefault="00663E38">
            <w:pPr>
              <w:keepLines/>
              <w:spacing w:after="0" w:line="254" w:lineRule="auto"/>
            </w:pPr>
            <w:r>
              <w:rPr>
                <w:rFonts w:ascii="Consolas" w:hAnsi="Consolas" w:cs="Consolas"/>
                <w:sz w:val="18"/>
              </w:rPr>
              <w:t>src/kvant/ml_prepare_data/labelling/tripple_bar.py and src/kvant/labels.py</w:t>
            </w:r>
          </w:p>
        </w:tc>
      </w:tr>
      <w:tr w:rsidR="009A010E" ns2:paraId="0656B37B"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1D9357A9" ns2:textId="77777777" w:rsidR="009A010E" w:rsidRDefault="00663E38">
            <w:pPr>
              <w:keepLines/>
              <w:spacing w:after="0" w:line="254" w:lineRule="auto"/>
            </w:pPr>
            <w:r>
              <w:rPr>
                <w:rFonts w:cs="Calibri"/>
                <w:b/>
                <w:color w:val="44546A"/>
                <w:sz w:val="19"/>
              </w:rPr>
              <w:t>Training entrypoint</w:t>
            </w:r>
          </w:p>
        </w:tc>
        <w:tc>
          <w:tcPr>
            <w:tcW w:w="58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896A578" ns2:textId="77777777" w:rsidR="009A010E" w:rsidRDefault="00663E38">
            <w:pPr>
              <w:keepLines/>
              <w:spacing w:after="0" w:line="254" w:lineRule="auto"/>
            </w:pPr>
            <w:r>
              <w:rPr>
                <w:rFonts w:ascii="Consolas" w:hAnsi="Consolas" w:cs="Consolas"/>
                <w:sz w:val="18"/>
              </w:rPr>
              <w:t>src/kvant/ml_framework/scripts/train_experiment.py</w:t>
            </w:r>
          </w:p>
        </w:tc>
      </w:tr>
      <w:tr w:rsidR="009A010E" ns2:paraId="3FF79078"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473022B7" ns2:textId="77777777" w:rsidR="009A010E" w:rsidRDefault="00663E38">
            <w:pPr>
              <w:keepLines/>
              <w:spacing w:after="0" w:line="254" w:lineRule="auto"/>
            </w:pPr>
            <w:r>
              <w:rPr>
                <w:rFonts w:cs="Calibri"/>
                <w:b/>
                <w:color w:val="44546A"/>
                <w:sz w:val="19"/>
              </w:rPr>
              <w:t>Models</w:t>
            </w:r>
          </w:p>
        </w:tc>
        <w:tc>
          <w:tcPr>
            <w:tcW w:w="58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1CB0A6B1" ns2:textId="77777777" w:rsidR="009A010E" w:rsidRDefault="00663E38">
            <w:pPr>
              <w:keepLines/>
              <w:spacing w:after="0" w:line="254" w:lineRule="auto"/>
            </w:pPr>
            <w:r>
              <w:rPr>
                <w:rFonts w:ascii="Consolas" w:hAnsi="Consolas" w:cs="Consolas"/>
                <w:sz w:val="18"/>
              </w:rPr>
              <w:t>src/kvant/ml_framework/models/conv1d.py and resnet_lstm.py</w:t>
            </w:r>
          </w:p>
        </w:tc>
      </w:tr>
      <w:tr w:rsidR="009A010E" ns2:paraId="33AFB202"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176E1FF7" ns2:textId="77777777" w:rsidR="009A010E" w:rsidRDefault="00663E38">
            <w:pPr>
              <w:keepLines/>
              <w:spacing w:after="0" w:line="254" w:lineRule="auto"/>
            </w:pPr>
            <w:r>
              <w:rPr>
                <w:rFonts w:cs="Calibri"/>
                <w:b/>
                <w:color w:val="44546A"/>
                <w:sz w:val="19"/>
              </w:rPr>
              <w:t>Evaluator and decision policy</w:t>
            </w:r>
          </w:p>
        </w:tc>
        <w:tc>
          <w:tcPr>
            <w:tcW w:w="58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76CD0E6F" ns2:textId="77777777" w:rsidR="009A010E" w:rsidRDefault="00663E38">
            <w:pPr>
              <w:keepLines/>
              <w:spacing w:after="0" w:line="254" w:lineRule="auto"/>
            </w:pPr>
            <w:r>
              <w:rPr>
                <w:rFonts w:ascii="Consolas" w:hAnsi="Consolas" w:cs="Consolas"/>
                <w:sz w:val="18"/>
              </w:rPr>
              <w:t>src/kvant/ml_framework/train/evaluator.py and decision_policy.py</w:t>
            </w:r>
          </w:p>
        </w:tc>
      </w:tr>
      <w:tr w:rsidR="009A010E" ns2:paraId="6D1B0CBE"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64CCFF7" ns2:textId="77777777" w:rsidR="009A010E" w:rsidRDefault="00663E38">
            <w:pPr>
              <w:keepLines/>
              <w:spacing w:after="0" w:line="254" w:lineRule="auto"/>
            </w:pPr>
            <w:r>
              <w:rPr>
                <w:rFonts w:cs="Calibri"/>
                <w:b/>
                <w:color w:val="44546A"/>
                <w:sz w:val="19"/>
              </w:rPr>
              <w:t>Trading metrics</w:t>
            </w:r>
          </w:p>
        </w:tc>
        <w:tc>
          <w:tcPr>
            <w:tcW w:w="5832" w:type="dxa"/>
            <w:tcBorders>
              <w:top w:val="single" w:sz="4" w:space="0" w:color="C9D2DF"/>
              <w:left w:val="single" w:sz="4" w:space="0" w:color="C9D2DF"/>
              <w:bottom w:val="single" w:sz="4" w:space="0" w:color="C9D2DF"/>
              <w:right w:val="single" w:sz="4" w:space="0" w:color="C9D2DF"/>
            </w:tcBorders>
            <w:shd w:val="clear" w:color="auto" w:fill="F4F8FC"/>
            <w:tcMar>
              <w:top w:w="80" w:type="dxa"/>
              <w:left w:w="110" w:type="dxa"/>
              <w:bottom w:w="80" w:type="dxa"/>
              <w:right w:w="110" w:type="dxa"/>
            </w:tcMar>
            <w:vAlign w:val="center"/>
          </w:tcPr>
          <w:p ns2:paraId="7BD31D61" ns2:textId="77777777" w:rsidR="009A010E" w:rsidRDefault="00663E38">
            <w:pPr>
              <w:keepLines/>
              <w:spacing w:after="0" w:line="254" w:lineRule="auto"/>
            </w:pPr>
            <w:r>
              <w:rPr>
                <w:rFonts w:ascii="Consolas" w:hAnsi="Consolas" w:cs="Consolas"/>
                <w:sz w:val="18"/>
              </w:rPr>
              <w:t>src/kvant/ml_framework/train/trading_metrics.py</w:t>
            </w:r>
          </w:p>
        </w:tc>
      </w:tr>
      <w:tr w:rsidR="009A010E" ns2:paraId="10E15A29" ns2:textId="77777777">
        <w:trPr>
          <w:cantSplit/>
          <w:jc w:val="center"/>
        </w:trPr>
        <w:tc>
          <w:tcPr>
            <w:tcW w:w="3528"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41C4D4A0" ns2:textId="77777777" w:rsidR="009A010E" w:rsidRDefault="00663E38">
            <w:pPr>
              <w:keepLines/>
              <w:spacing w:after="0" w:line="254" w:lineRule="auto"/>
            </w:pPr>
            <w:r>
              <w:rPr>
                <w:rFonts w:cs="Calibri"/>
                <w:b/>
                <w:color w:val="44546A"/>
                <w:sz w:val="19"/>
              </w:rPr>
              <w:t>Backtest metrics</w:t>
            </w:r>
          </w:p>
        </w:tc>
        <w:tc>
          <w:tcPr>
            <w:tcW w:w="5832" w:type="dxa"/>
            <w:tcBorders>
              <w:top w:val="single" w:sz="4" w:space="0" w:color="C9D2DF"/>
              <w:left w:val="single" w:sz="4" w:space="0" w:color="C9D2DF"/>
              <w:bottom w:val="single" w:sz="4" w:space="0" w:color="C9D2DF"/>
              <w:right w:val="single" w:sz="4" w:space="0" w:color="C9D2DF"/>
            </w:tcBorders>
            <w:shd w:val="clear" w:color="auto" w:fill="FFFFFF"/>
            <w:tcMar>
              <w:top w:w="80" w:type="dxa"/>
              <w:left w:w="110" w:type="dxa"/>
              <w:bottom w:w="80" w:type="dxa"/>
              <w:right w:w="110" w:type="dxa"/>
            </w:tcMar>
            <w:vAlign w:val="center"/>
          </w:tcPr>
          <w:p ns2:paraId="371DE4DA" ns2:textId="77777777" w:rsidR="009A010E" w:rsidRDefault="00663E38">
            <w:pPr>
              <w:keepLines/>
              <w:spacing w:after="0" w:line="254" w:lineRule="auto"/>
            </w:pPr>
            <w:r>
              <w:rPr>
                <w:rFonts w:ascii="Consolas" w:hAnsi="Consolas" w:cs="Consolas"/>
                <w:sz w:val="18"/>
              </w:rPr>
              <w:t>src/kvant/ml_framework/train/backtest.py</w:t>
            </w:r>
          </w:p>
        </w:tc>
      </w:tr>
    </w:tbl>
    <w:p ns2:paraId="304C9E01" ns2:textId="77777777" w:rsidR="009A010E" w:rsidRDefault="00663E38">
      <w:pPr>
        <w:pStyle w:val="Heading1"/>
        <w:pBdr>
          <w:bottom w:val="single" w:sz="8" w:space="2" w:color="D9E2F3"/>
        </w:pBdr>
      </w:pPr>
      <w:r>
        <w:t>14. Short conclusion</w:t>
      </w:r>
    </w:p>
    <w:p ns2:paraId="06564E4E" ns2:textId="77777777" w:rsidR="009A010E" w:rsidRDefault="00663E38">
      <w:r>
        <w:t>Kvant is best seen as an applied financial machine learning framework rather than just a single model. Its central idea is to transform minute-level US equity data into event-driven samples by computing features on the raw minute history, sampling those features at CUSUM event timestamps, preserving raw triple-barrier outcomes, training a primary side model, using meta-labeling to decide whether to act, and evaluating the resulting strategy with both classification and economic metrics.</w:t>
      </w:r>
    </w:p>
    <w:sectPr w:rsidR="009A010E" w:rsidSect="00034616">
      <w:headerReference w:type="default" ns3:id="rId10"/>
      <w:footerReference w:type="default" ns3:id="rId11"/>
      <w:pgSz w:w="11906" w:h="16838"/>
      <w:pgMar w:top="1191" w:right="1134" w:bottom="1134" w:left="1134"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A05C6" w14:textId="77777777" w:rsidR="00F80BBE" w:rsidRDefault="00F80BBE">
      <w:pPr>
        <w:spacing w:after="0" w:line="240" w:lineRule="auto"/>
      </w:pPr>
      <w:r>
        <w:separator/>
      </w:r>
    </w:p>
  </w:endnote>
  <w:endnote w:type="continuationSeparator" w:id="0">
    <w:p w14:paraId="4DCBCD38" w14:textId="77777777" w:rsidR="00F80BBE" w:rsidRDefault="00F80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CEB1B" w14:textId="77777777" w:rsidR="009A010E" w:rsidRDefault="009A01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2A1AE" w14:textId="77777777" w:rsidR="009A010E" w:rsidRDefault="009A010E">
    <w:pPr>
      <w:pStyle w:val="Footer"/>
    </w:pPr>
  </w:p>
  <w:tbl>
    <w:tblPr>
      <w:tblW w:w="0" w:type="auto"/>
      <w:jc w:val="center"/>
      <w:tblLayout w:type="fixed"/>
      <w:tblLook w:val="04A0" w:firstRow="1" w:lastRow="0" w:firstColumn="1" w:lastColumn="0" w:noHBand="0" w:noVBand="1"/>
    </w:tblPr>
    <w:tblGrid>
      <w:gridCol w:w="3662"/>
      <w:gridCol w:w="2313"/>
      <w:gridCol w:w="3662"/>
    </w:tblGrid>
    <w:tr w:rsidR="009A010E" w14:paraId="44EAE60B" w14:textId="77777777">
      <w:trPr>
        <w:jc w:val="center"/>
      </w:trPr>
      <w:tc>
        <w:tcPr>
          <w:tcW w:w="3662" w:type="dxa"/>
          <w:tcMar>
            <w:top w:w="40" w:type="dxa"/>
            <w:left w:w="0" w:type="dxa"/>
            <w:bottom w:w="40" w:type="dxa"/>
            <w:right w:w="0" w:type="dxa"/>
          </w:tcMar>
        </w:tcPr>
        <w:p w14:paraId="20117A76" w14:textId="77777777" w:rsidR="009A010E" w:rsidRDefault="00663E38">
          <w:pPr>
            <w:spacing w:after="0" w:line="240" w:lineRule="auto"/>
          </w:pPr>
          <w:r>
            <w:rPr>
              <w:rFonts w:cs="Calibri"/>
              <w:color w:val="6B7280"/>
              <w:sz w:val="17"/>
            </w:rPr>
            <w:t>Generated 20 April 2026</w:t>
          </w:r>
        </w:p>
      </w:tc>
      <w:tc>
        <w:tcPr>
          <w:tcW w:w="2313" w:type="dxa"/>
          <w:tcMar>
            <w:top w:w="40" w:type="dxa"/>
            <w:left w:w="0" w:type="dxa"/>
            <w:bottom w:w="40" w:type="dxa"/>
            <w:right w:w="0" w:type="dxa"/>
          </w:tcMar>
        </w:tcPr>
        <w:p w14:paraId="5993CA39" w14:textId="77777777" w:rsidR="009A010E" w:rsidRDefault="00663E38">
          <w:pPr>
            <w:spacing w:after="0" w:line="240" w:lineRule="auto"/>
            <w:jc w:val="center"/>
          </w:pPr>
          <w:r>
            <w:rPr>
              <w:rFonts w:cs="Calibri"/>
              <w:color w:val="6B7280"/>
              <w:sz w:val="17"/>
            </w:rPr>
            <w:t xml:space="preserve">Page </w:t>
          </w:r>
          <w:r>
            <w:fldChar w:fldCharType="begin"/>
          </w:r>
          <w:r>
            <w:instrText>PAGE</w:instrText>
          </w:r>
          <w:r>
            <w:fldChar w:fldCharType="separate"/>
          </w:r>
          <w:r>
            <w:t>1</w:t>
          </w:r>
          <w:r>
            <w:fldChar w:fldCharType="end"/>
          </w:r>
        </w:p>
      </w:tc>
      <w:tc>
        <w:tcPr>
          <w:tcW w:w="3662" w:type="dxa"/>
          <w:tcMar>
            <w:top w:w="40" w:type="dxa"/>
            <w:left w:w="0" w:type="dxa"/>
            <w:bottom w:w="40" w:type="dxa"/>
            <w:right w:w="0" w:type="dxa"/>
          </w:tcMar>
        </w:tcPr>
        <w:p w14:paraId="15C1BFE1" w14:textId="77777777" w:rsidR="009A010E" w:rsidRDefault="00663E38">
          <w:pPr>
            <w:spacing w:after="0" w:line="240" w:lineRule="auto"/>
            <w:jc w:val="right"/>
          </w:pPr>
          <w:proofErr w:type="spellStart"/>
          <w:r>
            <w:rPr>
              <w:rFonts w:cs="Calibri"/>
              <w:color w:val="6B7280"/>
              <w:sz w:val="17"/>
            </w:rPr>
            <w:t>Kvant</w:t>
          </w:r>
          <w:proofErr w:type="spellEnd"/>
          <w:r>
            <w:rPr>
              <w:rFonts w:cs="Calibri"/>
              <w:color w:val="6B7280"/>
              <w:sz w:val="17"/>
            </w:rPr>
            <w:t xml:space="preserve"> research overview</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AA5A6" w14:textId="77777777" w:rsidR="00F80BBE" w:rsidRDefault="00F80BBE">
      <w:pPr>
        <w:spacing w:after="0" w:line="240" w:lineRule="auto"/>
      </w:pPr>
      <w:r>
        <w:separator/>
      </w:r>
    </w:p>
  </w:footnote>
  <w:footnote w:type="continuationSeparator" w:id="0">
    <w:p w14:paraId="0845887A" w14:textId="77777777" w:rsidR="00F80BBE" w:rsidRDefault="00F80B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2493A" w14:textId="77777777" w:rsidR="009A010E" w:rsidRDefault="009A01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2681A" w14:textId="77777777" w:rsidR="009A010E" w:rsidRDefault="00663E38">
    <w:pPr>
      <w:pStyle w:val="Header"/>
      <w:pBdr>
        <w:bottom w:val="single" w:sz="6" w:space="1" w:color="C9D2DF"/>
      </w:pBdr>
      <w:spacing w:after="60"/>
    </w:pPr>
    <w:proofErr w:type="spellStart"/>
    <w:r>
      <w:rPr>
        <w:rFonts w:cs="Calibri"/>
        <w:b/>
        <w:color w:val="44546A"/>
        <w:sz w:val="19"/>
      </w:rPr>
      <w:t>Kvant</w:t>
    </w:r>
    <w:proofErr w:type="spellEnd"/>
    <w:r>
      <w:rPr>
        <w:rFonts w:cs="Calibri"/>
        <w:b/>
        <w:color w:val="44546A"/>
        <w:sz w:val="19"/>
      </w:rPr>
      <w:t xml:space="preserve"> Project Description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7142504">
    <w:abstractNumId w:val="8"/>
  </w:num>
  <w:num w:numId="2" w16cid:durableId="1130249121">
    <w:abstractNumId w:val="6"/>
  </w:num>
  <w:num w:numId="3" w16cid:durableId="968169837">
    <w:abstractNumId w:val="5"/>
  </w:num>
  <w:num w:numId="4" w16cid:durableId="1275596899">
    <w:abstractNumId w:val="4"/>
  </w:num>
  <w:num w:numId="5" w16cid:durableId="1453594582">
    <w:abstractNumId w:val="7"/>
  </w:num>
  <w:num w:numId="6" w16cid:durableId="72242961">
    <w:abstractNumId w:val="3"/>
  </w:num>
  <w:num w:numId="7" w16cid:durableId="1086534560">
    <w:abstractNumId w:val="2"/>
  </w:num>
  <w:num w:numId="8" w16cid:durableId="949313315">
    <w:abstractNumId w:val="1"/>
  </w:num>
  <w:num w:numId="9" w16cid:durableId="736708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8C1"/>
    <w:rsid w:val="0029639D"/>
    <w:rsid w:val="00326F90"/>
    <w:rsid w:val="00663E38"/>
    <w:rsid w:val="009A010E"/>
    <w:rsid w:val="00AA1D8D"/>
    <w:rsid w:val="00B47730"/>
    <w:rsid w:val="00C944CC"/>
    <w:rsid w:val="00CB0664"/>
    <w:rsid w:val="00D71517"/>
    <w:rsid w:val="00F80BBE"/>
    <w:rsid w:val="00FA62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2A68F2"/>
  <w14:defaultImageDpi w14:val="300"/>
  <w15:docId w15:val="{175F072B-05C8-4B96-9094-D8B827884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4546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vantSubtitle">
    <w:name w:val="Kvant Subtitle"/>
    <w:basedOn w:val="Normal"/>
    <w:pPr>
      <w:spacing w:after="240" w:line="269" w:lineRule="auto"/>
    </w:pPr>
    <w:rPr>
      <w:color w:val="44546A"/>
      <w:sz w:val="30"/>
    </w:rPr>
  </w:style>
  <w:style w:type="paragraph" w:customStyle="1" w:styleId="KvantMetaLabel">
    <w:name w:val="Kvant Meta Label"/>
    <w:basedOn w:val="Normal"/>
    <w:pPr>
      <w:spacing w:after="20"/>
    </w:pPr>
    <w:rPr>
      <w:b/>
      <w:color w:val="6B7280"/>
      <w:sz w:val="17"/>
    </w:rPr>
  </w:style>
  <w:style w:type="paragraph" w:customStyle="1" w:styleId="KvantMetaValue">
    <w:name w:val="Kvant Meta Value"/>
    <w:basedOn w:val="Normal"/>
    <w:pPr>
      <w:spacing w:after="0"/>
    </w:pPr>
    <w:rPr>
      <w:b/>
      <w:sz w:val="21"/>
    </w:rPr>
  </w:style>
  <w:style w:type="paragraph" w:customStyle="1" w:styleId="KvantGlanceHeading">
    <w:name w:val="Kvant Glance Heading"/>
    <w:basedOn w:val="Normal"/>
    <w:pPr>
      <w:spacing w:before="120" w:after="100"/>
    </w:pPr>
    <w:rPr>
      <w:b/>
      <w:color w:val="1F4E79"/>
    </w:rPr>
  </w:style>
  <w:style w:type="paragraph" w:customStyle="1" w:styleId="KvantTableCaption">
    <w:name w:val="Kvant Table Caption"/>
    <w:basedOn w:val="Normal"/>
    <w:pPr>
      <w:keepNext/>
      <w:spacing w:before="120" w:after="80"/>
    </w:pPr>
    <w:rPr>
      <w:b/>
      <w:color w:val="44546A"/>
      <w:sz w:val="18"/>
    </w:rPr>
  </w:style>
  <w:style w:type="paragraph" w:customStyle="1" w:styleId="KvantNote">
    <w:name w:val="Kvant Note"/>
    <w:basedOn w:val="Normal"/>
    <w:rPr>
      <w:i/>
      <w:color w:val="44546A"/>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3268</Words>
  <Characters>18633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Kvant Project Description</dc:title>
  <dc:subject>Professional redesign of the Kvant project description</dc:subject>
  <dc:creator>OpenAI</dc:creator>
  <cp:keywords/>
  <dc:description>Reformatted for readability and professional presentation.</dc:description>
  <cp:lastModifiedBy>Magnus Høxbro Larsen</cp:lastModifiedBy>
  <cp:revision>3</cp:revision>
  <dcterms:created xsi:type="dcterms:W3CDTF">2013-12-23T23:15:00Z</dcterms:created>
  <dcterms:modified xsi:type="dcterms:W3CDTF">2026-04-21T07:26:00Z</dcterms:modified>
  <cp:category/>
</cp:coreProperties>
</file>