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E54DD5">
      <w:pPr>
        <w:pStyle w:val="Reporttitle"/>
      </w:pPr>
      <w:fldSimple w:instr=" TITLE  \* MERGEFORMAT ">
        <w:r w:rsidR="002C7453">
          <w:t>Skak</w:t>
        </w:r>
      </w:fldSimple>
    </w:p>
    <w:p w:rsidR="00270C36" w:rsidRPr="00771246" w:rsidRDefault="00E54DD5">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E54DD5">
      <w:pPr>
        <w:pStyle w:val="TOC1"/>
        <w:tabs>
          <w:tab w:val="right" w:leader="dot" w:pos="8210"/>
        </w:tabs>
        <w:rPr>
          <w:rFonts w:asciiTheme="minorHAnsi" w:eastAsiaTheme="minorEastAsia" w:hAnsiTheme="minorHAnsi" w:cstheme="minorBidi"/>
          <w:b w:val="0"/>
          <w:bCs w:val="0"/>
          <w:caps w:val="0"/>
          <w:noProof/>
          <w:sz w:val="22"/>
          <w:szCs w:val="22"/>
          <w:lang w:eastAsia="da-DK"/>
        </w:rPr>
      </w:pPr>
      <w:r w:rsidRPr="00E54DD5">
        <w:fldChar w:fldCharType="begin"/>
      </w:r>
      <w:r w:rsidR="00270C36" w:rsidRPr="00771246">
        <w:instrText xml:space="preserve"> TOC \o "1-3" \h \z \t "Report heading;1" </w:instrText>
      </w:r>
      <w:r w:rsidRPr="00E54DD5">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54DD5">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54DD5">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54DD5">
      <w:pPr>
        <w:pStyle w:val="TOC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E54DD5">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54DD5">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E54DD5">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E54DD5">
      <w:pPr>
        <w:pStyle w:val="TOC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E54DD5">
      <w:pPr>
        <w:pStyle w:val="TOC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E54DD5">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54DD5">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E54DD5">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54DD5">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54DD5">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54DD5">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54DD5">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E54DD5">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E54DD5">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Heading1"/>
      </w:pPr>
      <w:bookmarkStart w:id="2" w:name="_Toc198464107"/>
      <w:r w:rsidRPr="00771246">
        <w:t>Indledning</w:t>
      </w:r>
      <w:bookmarkEnd w:id="2"/>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3" w:name="_Projektstart"/>
      <w:bookmarkEnd w:id="3"/>
      <w:r>
        <w:t>optimerer søgningen i spil</w:t>
      </w:r>
      <w:r w:rsidR="000C5CA7">
        <w:t>træet</w:t>
      </w:r>
      <w:r w:rsidR="00456F6F">
        <w:t xml:space="preserve"> bedst</w:t>
      </w:r>
      <w:r w:rsidR="000C5CA7">
        <w:t>.</w:t>
      </w:r>
    </w:p>
    <w:p w:rsidR="00C26F8F" w:rsidRDefault="00C26F8F">
      <w:pPr>
        <w:pStyle w:val="Heading1"/>
      </w:pPr>
      <w:bookmarkStart w:id="4" w:name="_Toc198464108"/>
      <w:r>
        <w:t>Problemformulering</w:t>
      </w:r>
    </w:p>
    <w:p w:rsidR="00270C36" w:rsidRDefault="00193E0C">
      <w:pPr>
        <w:pStyle w:val="Heading1"/>
      </w:pPr>
      <w:r>
        <w:t>Teori</w:t>
      </w:r>
      <w:bookmarkEnd w:id="4"/>
    </w:p>
    <w:p w:rsidR="000370E1" w:rsidRPr="000370E1" w:rsidRDefault="00C26F8F" w:rsidP="000370E1">
      <w:pPr>
        <w:pStyle w:val="Heading2"/>
      </w:pPr>
      <w:r>
        <w:t>Spillet skak</w:t>
      </w:r>
    </w:p>
    <w:p w:rsidR="000370E1" w:rsidRDefault="00C26F8F" w:rsidP="000370E1">
      <w:pPr>
        <w:pStyle w:val="Heading2"/>
      </w:pPr>
      <w:r>
        <w:t>Minimax</w:t>
      </w:r>
    </w:p>
    <w:p w:rsidR="00AF09F2" w:rsidRDefault="00AF09F2" w:rsidP="00AF09F2">
      <w:pPr>
        <w:pStyle w:val="Normalindented"/>
      </w:pPr>
      <w:r>
        <w:t>MiniMax er en veludviklet algoritmet, hvis formål det er at bestemme et fordelagtigt ”træk” i et spil. Algoritmen er, som algoritmer når de er bedst, ekstremt generel og kræver kun, at spillet har et endeligt antal stadier</w:t>
      </w:r>
      <w:r w:rsidR="003F1C1F">
        <w:t xml:space="preserve"> og at der er to </w:t>
      </w:r>
      <w:commentRangeStart w:id="5"/>
      <w:r w:rsidR="003F1C1F">
        <w:t>spillere</w:t>
      </w:r>
      <w:commentRangeEnd w:id="5"/>
      <w:r w:rsidR="003F1C1F">
        <w:rPr>
          <w:rStyle w:val="CommentReference"/>
          <w:rFonts w:ascii="Verdana" w:hAnsi="Verdana"/>
        </w:rPr>
        <w:commentReference w:id="5"/>
      </w:r>
      <w:r>
        <w:t>.</w:t>
      </w:r>
    </w:p>
    <w:p w:rsidR="00AF09F2" w:rsidRDefault="00AF09F2" w:rsidP="00AF09F2">
      <w:pPr>
        <w:pStyle w:val="Normalindented"/>
      </w:pPr>
      <w:r>
        <w:t>MiniMax kan beskrives som, at den finder det træk, for hvilket modstanderes bedste modtræk, er det dårligste. Med andre ord antager MiniMax algoritmen at modstanderen altid vil lave sit bedste træk og sørger derfor at lave sit træk, sådan at modstanderen har færrest muligt gode muligheder.</w:t>
      </w:r>
    </w:p>
    <w:p w:rsidR="00AF09F2" w:rsidRDefault="00AF09F2" w:rsidP="00AF09F2">
      <w:pPr>
        <w:pStyle w:val="Normalindented"/>
      </w:pPr>
      <w:r>
        <w:lastRenderedPageBreak/>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fra alle stadier og denne process kan, afhængigt af spillet, være alt fra banal til umulig. Dette problem kan afhjælpes, som der beskrives </w:t>
      </w:r>
      <w:r w:rsidR="00834674">
        <w:t xml:space="preserve">i afsnit </w:t>
      </w:r>
      <w:r w:rsidR="00834674">
        <w:fldChar w:fldCharType="begin"/>
      </w:r>
      <w:r w:rsidR="00834674">
        <w:instrText xml:space="preserve"> REF _Ref198949901 \r \h </w:instrText>
      </w:r>
      <w:r w:rsidR="00834674">
        <w:fldChar w:fldCharType="separate"/>
      </w:r>
      <w:r w:rsidR="00834674">
        <w:t>3.5</w:t>
      </w:r>
      <w:r w:rsidR="00834674">
        <w:fldChar w:fldCharType="end"/>
      </w:r>
      <w:r>
        <w:t xml:space="preserve">, men vil altid </w:t>
      </w:r>
      <w:r w:rsidR="003F1C1F">
        <w:t>sætte grænser for de mere komplicerede spil, som skak.</w:t>
      </w:r>
    </w:p>
    <w:p w:rsidR="003F1C1F" w:rsidRPr="00AF09F2" w:rsidRDefault="003F1C1F" w:rsidP="003F1C1F">
      <w:pPr>
        <w:pStyle w:val="Normalindented"/>
      </w:pPr>
      <w:r>
        <w:t xml:space="preserve">Et andet element som indgår er den førnævnte evalueringsfunktion. Denne er ikke integral til MiniMax algoritmen, men spiller alligevel en altafgørende rolle for dennes funktionalitet. Denne beskrives nærmere i afsnit </w:t>
      </w:r>
      <w:r w:rsidR="00834674">
        <w:fldChar w:fldCharType="begin"/>
      </w:r>
      <w:r w:rsidR="00834674">
        <w:instrText xml:space="preserve"> REF _Ref198949913 \r \h </w:instrText>
      </w:r>
      <w:r w:rsidR="00834674">
        <w:fldChar w:fldCharType="separate"/>
      </w:r>
      <w:r w:rsidR="00834674">
        <w:t>3.4</w:t>
      </w:r>
      <w:r w:rsidR="00834674">
        <w:fldChar w:fldCharType="end"/>
      </w:r>
      <w:r w:rsidR="00834674">
        <w:t>.</w:t>
      </w:r>
    </w:p>
    <w:p w:rsidR="000370E1" w:rsidRDefault="000370E1" w:rsidP="000370E1">
      <w:pPr>
        <w:pStyle w:val="Heading2"/>
      </w:pPr>
      <w:r>
        <w:t>Udregning af træk</w:t>
      </w:r>
    </w:p>
    <w:p w:rsidR="000370E1" w:rsidRPr="000370E1" w:rsidRDefault="000370E1" w:rsidP="000370E1">
      <w:pPr>
        <w:pStyle w:val="Heading2"/>
      </w:pPr>
      <w:bookmarkStart w:id="6" w:name="_Ref198949913"/>
      <w:r>
        <w:t>Statisk evaluering</w:t>
      </w:r>
      <w:bookmarkEnd w:id="6"/>
    </w:p>
    <w:p w:rsidR="00C26F8F" w:rsidRDefault="00C26F8F" w:rsidP="00C26F8F">
      <w:pPr>
        <w:pStyle w:val="Heading2"/>
      </w:pPr>
      <w:bookmarkStart w:id="7" w:name="_Ref198949901"/>
      <w:r>
        <w:t>Alphabeta afskæring</w:t>
      </w:r>
      <w:bookmarkEnd w:id="7"/>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at ud af at det træ nødvendigvis vil være dårligere, end hvad vi allerede har afsøgt.</w:t>
      </w:r>
    </w:p>
    <w:p w:rsidR="008F33FB" w:rsidRDefault="001E0DE2" w:rsidP="005C021E">
      <w:pPr>
        <w:pStyle w:val="Normalindented"/>
      </w:pPr>
      <w:r>
        <w:rPr>
          <w:noProof/>
          <w:lang w:val="en-US"/>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43815</wp:posOffset>
            </wp:positionV>
            <wp:extent cx="2819400" cy="1550035"/>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8F33FB">
        <w:t xml:space="preserve">For eksempel ser vi her et 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w:t>
      </w:r>
      <w:r w:rsidR="008F33FB">
        <w:lastRenderedPageBreak/>
        <w:t>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forgreningsfaktoren i bedste fald reduceres til kvadratroden af det normale.</w:t>
      </w:r>
    </w:p>
    <w:p w:rsidR="000370E1" w:rsidRDefault="000370E1" w:rsidP="000370E1">
      <w:pPr>
        <w:pStyle w:val="Heading2"/>
      </w:pPr>
      <w:r>
        <w:t>Sortering af træk</w:t>
      </w:r>
    </w:p>
    <w:p w:rsidR="00D14EDB" w:rsidRDefault="00EF4688" w:rsidP="00D14EDB">
      <w:pPr>
        <w:pStyle w:val="Normalindented"/>
      </w:pPr>
      <w:r>
        <w:t>AlphaBeta pruning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F4688" w:rsidRDefault="00EF4688" w:rsidP="00D14EDB">
      <w:pPr>
        <w:pStyle w:val="Normalindented"/>
      </w:pPr>
      <w:r>
        <w:t>Istedet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EF4688" w:rsidRPr="00D14EDB" w:rsidRDefault="00EF4688" w:rsidP="00D14EDB">
      <w:pPr>
        <w:pStyle w:val="Normalindented"/>
      </w:pPr>
      <w:r>
        <w:t>Der er en række muligheder for, hvad der kunne være gode træk.</w:t>
      </w:r>
      <w:r w:rsidR="00132B0A">
        <w:t xml:space="preserve"> </w:t>
      </w:r>
      <w:commentRangeStart w:id="8"/>
      <w:r w:rsidR="00132B0A">
        <w:t xml:space="preserve">Vi bruger </w:t>
      </w:r>
      <w:r w:rsidR="005764D5">
        <w:t>tre tilfælde: Når man laver en rokade, når man forfremmer en bonde og når man kan tage en af modstanderens brikker.</w:t>
      </w:r>
      <w:commentRangeEnd w:id="8"/>
      <w:r w:rsidR="005764D5">
        <w:rPr>
          <w:rStyle w:val="CommentReference"/>
          <w:rFonts w:ascii="Verdana" w:hAnsi="Verdana"/>
        </w:rPr>
        <w:commentReference w:id="8"/>
      </w:r>
    </w:p>
    <w:p w:rsidR="000370E1" w:rsidRDefault="000370E1" w:rsidP="00834674">
      <w:pPr>
        <w:pStyle w:val="Heading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ét lag ned, dels fordi vi laver ”iterativ deepening”.</w:t>
      </w:r>
    </w:p>
    <w:p w:rsidR="00834674" w:rsidRDefault="00834674" w:rsidP="00834674">
      <w:pPr>
        <w:pStyle w:val="Normalindented"/>
      </w:pPr>
      <w:r>
        <w:t>Denne evaluering vil altid returnere det samme resultat for det samme stadie, med undtagelse af slutspillet, hvor kogens værdi kan variere. Derfor vil vi, bortset fra slutspillet, kunne genbruge den samme beregning for hver gang et spilstadie dukker op.</w:t>
      </w:r>
    </w:p>
    <w:p w:rsidR="00834674" w:rsidRDefault="00834674" w:rsidP="00834674">
      <w:pPr>
        <w:pStyle w:val="Normalindented"/>
      </w:pPr>
      <w:r>
        <w:t xml:space="preserve">Selve cachingen foregår helt traditionelt: En hash værdi for et board beregnes meget hurtigt. Ud fra denne slår vi op i et hash map, om værdien allerede er beregnet: Er den det, </w:t>
      </w:r>
      <w:r w:rsidR="00EA19FA">
        <w:t xml:space="preserve">returnerer vi den. Ellers beregnes den som normalt. I lille </w:t>
      </w:r>
      <w:r w:rsidR="00EA19FA">
        <w:lastRenderedPageBreak/>
        <w:t xml:space="preserve">ekstra optimering har vi opnået ved at lave vores eget hash map, som bruger vektore istedet for linkede lister til at lave seperate chaining. Det er ikke et map som er generelt praktisk, men til vores formål har det givet os et lille ydelses </w:t>
      </w:r>
      <w:commentRangeStart w:id="9"/>
      <w:r w:rsidR="00EA19FA">
        <w:t>boost</w:t>
      </w:r>
      <w:commentRangeEnd w:id="9"/>
      <w:r w:rsidR="00EA19FA">
        <w:rPr>
          <w:rStyle w:val="CommentReference"/>
          <w:rFonts w:ascii="Verdana" w:hAnsi="Verdana"/>
        </w:rPr>
        <w:commentReference w:id="9"/>
      </w:r>
      <w:r w:rsidR="00EA19FA">
        <w:t>.</w:t>
      </w:r>
    </w:p>
    <w:p w:rsidR="00EA19FA" w:rsidRPr="00834674" w:rsidRDefault="00EA19FA" w:rsidP="00834674">
      <w:pPr>
        <w:pStyle w:val="Normalindented"/>
      </w:pPr>
      <w:r>
        <w:t>Den egentlige udfordring i at cache værdier er at finde en unik nøgle (hash værdi) for hvert spilstadie.</w:t>
      </w:r>
      <w:r w:rsidR="00BA5DB0">
        <w:t xml:space="preserve"> Zobrist fandt i 1970 på den mulighed, at man lavede to sæt tilfældige værdier. Ud fra disse dannes to forskellige</w:t>
      </w:r>
      <w:r w:rsidR="00546108">
        <w:t xml:space="preserve"> hash nøgler for et board og begge skal passe.</w:t>
      </w:r>
    </w:p>
    <w:p w:rsidR="00C26F8F" w:rsidRDefault="00F259D5" w:rsidP="00C26F8F">
      <w:pPr>
        <w:pStyle w:val="Heading2"/>
      </w:pPr>
      <w:r>
        <w:t>Hashing og c</w:t>
      </w:r>
      <w:r w:rsidR="00C26F8F">
        <w:t>aching</w:t>
      </w:r>
    </w:p>
    <w:p w:rsidR="0040010B" w:rsidRPr="00771246" w:rsidRDefault="00C26F8F" w:rsidP="00F259D5">
      <w:pPr>
        <w:pStyle w:val="Heading2"/>
      </w:pPr>
      <w:r>
        <w:t>Yderligere optimering</w:t>
      </w:r>
      <w:r w:rsidR="00456F6F">
        <w:t>s</w:t>
      </w:r>
      <w:r w:rsidR="00F259D5">
        <w:t>muligheder</w:t>
      </w:r>
    </w:p>
    <w:p w:rsidR="00270C36" w:rsidRPr="00771246" w:rsidRDefault="00C6543C">
      <w:pPr>
        <w:pStyle w:val="Heading1"/>
      </w:pPr>
      <w:bookmarkStart w:id="10" w:name="_Toc198464111"/>
      <w:r>
        <w:t>Test</w:t>
      </w:r>
      <w:bookmarkEnd w:id="10"/>
    </w:p>
    <w:p w:rsidR="00C6543C" w:rsidRDefault="00C6543C" w:rsidP="00C6543C">
      <w:pPr>
        <w:pStyle w:val="Normalindented"/>
      </w:pPr>
      <w:r>
        <w:t xml:space="preserve">For at undersøge om og hvor godt vores forskellige forsøg på optimering af minimax </w:t>
      </w:r>
      <w:r w:rsidR="000370E1">
        <w:t>algoritmen har virket</w:t>
      </w:r>
      <w:r>
        <w:t>.</w:t>
      </w:r>
      <w:r w:rsidR="000370E1">
        <w:t xml:space="preserve"> For at gøre dette </w:t>
      </w:r>
      <w:r>
        <w:t>agter</w:t>
      </w:r>
      <w:r w:rsidR="000370E1">
        <w:t xml:space="preserve"> vi</w:t>
      </w:r>
      <w:r>
        <w:t xml:space="preserve"> at teste hvor mange ply (halvture) det er realistisk at afsøge med de forskellige konfigurationer. For at gøre dette vil vi se på hvor lang tid en række standard opstillinger tager at udregne et træk for. For at undersøge afskæringen af stier når alphabeta anvendes vil vi tjekke hvor mange træk der bliver evalueret.</w:t>
      </w:r>
    </w:p>
    <w:p w:rsidR="00C6543C" w:rsidRDefault="00C6543C" w:rsidP="00C6543C">
      <w:pPr>
        <w:pStyle w:val="Normalindented"/>
      </w:pPr>
    </w:p>
    <w:p w:rsidR="00C6543C" w:rsidRDefault="00C6543C" w:rsidP="00C6543C">
      <w:pPr>
        <w:pStyle w:val="Normalindented"/>
      </w:pPr>
      <w:r>
        <w:t>Ved hjælp af preprocessering af vores kode skaber vi de forskellige konfigurationer. De ting vi kan pille ved er:</w:t>
      </w:r>
    </w:p>
    <w:p w:rsidR="00C6543C" w:rsidRDefault="00C6543C" w:rsidP="00C6543C">
      <w:pPr>
        <w:pStyle w:val="Normalindented"/>
        <w:numPr>
          <w:ilvl w:val="0"/>
          <w:numId w:val="35"/>
        </w:numPr>
      </w:pPr>
      <w:r>
        <w:t>Hvor vidt der skal bruges minimax eller alphabeta.</w:t>
      </w:r>
    </w:p>
    <w:p w:rsidR="00C6543C" w:rsidRDefault="00C6543C" w:rsidP="00C6543C">
      <w:pPr>
        <w:pStyle w:val="Normalindented"/>
        <w:numPr>
          <w:ilvl w:val="0"/>
          <w:numId w:val="35"/>
        </w:numPr>
      </w:pPr>
      <w:r>
        <w:t>Om alphabetaen skal bruge iterativ afsøgning.</w:t>
      </w:r>
    </w:p>
    <w:p w:rsidR="00C6543C" w:rsidRDefault="00C6543C" w:rsidP="00C6543C">
      <w:pPr>
        <w:pStyle w:val="Normalindented"/>
        <w:numPr>
          <w:ilvl w:val="0"/>
          <w:numId w:val="35"/>
        </w:numPr>
      </w:pPr>
      <w:r>
        <w:t>Om der skal anvendes caching af statiske evalueringer.</w:t>
      </w:r>
    </w:p>
    <w:p w:rsidR="00C6543C" w:rsidRDefault="00C6543C" w:rsidP="00C6543C">
      <w:pPr>
        <w:pStyle w:val="Normalindented"/>
        <w:numPr>
          <w:ilvl w:val="0"/>
          <w:numId w:val="35"/>
        </w:numPr>
      </w:pPr>
      <w:r>
        <w:t>Om caching sker i vektore eller lists (giver færre deletes og news på heapen).</w:t>
      </w:r>
    </w:p>
    <w:p w:rsidR="00C6543C" w:rsidRDefault="00C6543C" w:rsidP="00C6543C">
      <w:pPr>
        <w:pStyle w:val="Normalindented"/>
        <w:numPr>
          <w:ilvl w:val="0"/>
          <w:numId w:val="35"/>
        </w:numPr>
      </w:pPr>
      <w:r>
        <w:t>Når der afsøges iterativt kan træk sorteres efter deres sidste statiske evaluering, dette kan slås til og fra. Lige nu bruges selectionsort (ikke effektivt men nemt).</w:t>
      </w:r>
    </w:p>
    <w:p w:rsidR="00C6543C" w:rsidRDefault="00C6543C" w:rsidP="00C6543C">
      <w:pPr>
        <w:pStyle w:val="Normalindented"/>
        <w:numPr>
          <w:ilvl w:val="0"/>
          <w:numId w:val="35"/>
        </w:numPr>
      </w:pPr>
      <w:r>
        <w:t>Hvor dybt der maksimalt må søges i spiltræet.</w:t>
      </w:r>
    </w:p>
    <w:p w:rsidR="00C6543C" w:rsidRDefault="00C6543C" w:rsidP="00C6543C">
      <w:pPr>
        <w:pStyle w:val="Normalindented"/>
        <w:numPr>
          <w:ilvl w:val="0"/>
          <w:numId w:val="35"/>
        </w:numPr>
      </w:pPr>
      <w:r>
        <w:t>Hvor lang tid udregningen af et træk må tage i millisekunder.</w:t>
      </w:r>
    </w:p>
    <w:p w:rsidR="00C6543C" w:rsidRDefault="00C6543C" w:rsidP="00C6543C">
      <w:pPr>
        <w:pStyle w:val="Normalindented"/>
        <w:numPr>
          <w:ilvl w:val="0"/>
          <w:numId w:val="35"/>
        </w:numPr>
      </w:pPr>
      <w:r>
        <w:lastRenderedPageBreak/>
        <w:t>Om spillet kun skal genere tilladte træk, altså træk der ikke bringer kongen i fare.</w:t>
      </w:r>
    </w:p>
    <w:p w:rsidR="00C6543C" w:rsidRDefault="00C6543C" w:rsidP="00C6543C">
      <w:pPr>
        <w:pStyle w:val="Normalindented"/>
        <w:numPr>
          <w:ilvl w:val="0"/>
          <w:numId w:val="35"/>
        </w:numPr>
      </w:pPr>
      <w:r>
        <w:t>Om der skal generes en-passant træk.</w:t>
      </w:r>
    </w:p>
    <w:p w:rsidR="00C6543C" w:rsidRDefault="00C6543C" w:rsidP="00C6543C">
      <w:pPr>
        <w:pStyle w:val="Normalindented"/>
        <w:numPr>
          <w:ilvl w:val="0"/>
          <w:numId w:val="35"/>
        </w:numPr>
      </w:pPr>
      <w:r>
        <w:t xml:space="preserve">Om træk skal evalueres i en bestemt rækkefølge. </w:t>
      </w:r>
    </w:p>
    <w:p w:rsidR="00C6543C" w:rsidRDefault="00C6543C" w:rsidP="00C6543C">
      <w:pPr>
        <w:pStyle w:val="Normalindented"/>
        <w:numPr>
          <w:ilvl w:val="0"/>
          <w:numId w:val="35"/>
        </w:numPr>
      </w:pPr>
      <w:r>
        <w:t>Størrelsen af cachen og hvornår den cleares.</w:t>
      </w:r>
    </w:p>
    <w:p w:rsidR="00C6543C" w:rsidRDefault="00C6543C" w:rsidP="00C6543C">
      <w:pPr>
        <w:pStyle w:val="Normalindented"/>
      </w:pPr>
    </w:p>
    <w:p w:rsidR="00270C36" w:rsidRPr="00771246" w:rsidRDefault="00C6543C" w:rsidP="00C6543C">
      <w:pPr>
        <w:pStyle w:val="Normalindented"/>
      </w:pPr>
      <w:r>
        <w:t xml:space="preserve">Da minimax uden alphabeta altid afsøger til bunds i spiltræet er det ikke relevant at se på hvordan specifikke sorteringer hjælper på denne. </w:t>
      </w:r>
    </w:p>
    <w:p w:rsidR="00270C36" w:rsidRPr="00771246" w:rsidRDefault="00270C36">
      <w:pPr>
        <w:pStyle w:val="Heading1"/>
      </w:pPr>
      <w:bookmarkStart w:id="11" w:name="_Toc198464112"/>
      <w:r w:rsidRPr="00771246">
        <w:t>Konklusion</w:t>
      </w:r>
      <w:bookmarkEnd w:id="11"/>
    </w:p>
    <w:p w:rsidR="00270C36" w:rsidRPr="00771246" w:rsidRDefault="00270C36">
      <w:pPr>
        <w:pStyle w:val="Heading2"/>
      </w:pPr>
      <w:bookmarkStart w:id="12" w:name="_Toc198464113"/>
      <w:r w:rsidRPr="00771246">
        <w:t>Den produktorienterede del</w:t>
      </w:r>
      <w:bookmarkEnd w:id="12"/>
    </w:p>
    <w:p w:rsidR="00270C36" w:rsidRPr="00771246" w:rsidRDefault="00270C36" w:rsidP="002C7453">
      <w:pPr>
        <w:pStyle w:val="Heading2"/>
      </w:pPr>
      <w:bookmarkStart w:id="13" w:name="_Toc198464114"/>
      <w:r w:rsidRPr="00771246">
        <w:t>Den procesorienterede del</w:t>
      </w:r>
      <w:bookmarkEnd w:id="13"/>
    </w:p>
    <w:p w:rsidR="00270C36" w:rsidRDefault="00270C36">
      <w:pPr>
        <w:pStyle w:val="Reportheading"/>
      </w:pPr>
      <w:bookmarkStart w:id="14" w:name="_Toc198464115"/>
      <w:r w:rsidRPr="00771246">
        <w:t>Litteraturfortegnelse</w:t>
      </w:r>
      <w:bookmarkEnd w:id="14"/>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15" w:name="_Toc198464116"/>
      <w:r w:rsidRPr="00771246">
        <w:t>Ordforklaring</w:t>
      </w:r>
      <w:bookmarkEnd w:id="15"/>
    </w:p>
    <w:p w:rsidR="00270C36" w:rsidRPr="00771246" w:rsidRDefault="00270C36">
      <w:pPr>
        <w:pStyle w:val="Normalindented"/>
      </w:pPr>
      <w:r w:rsidRPr="00771246">
        <w:t>...</w:t>
      </w:r>
    </w:p>
    <w:p w:rsidR="00270C36" w:rsidRPr="00771246" w:rsidRDefault="00270C36">
      <w:pPr>
        <w:pStyle w:val="Reportheading"/>
      </w:pPr>
      <w:r w:rsidRPr="00771246">
        <w:br w:type="page"/>
      </w:r>
      <w:bookmarkStart w:id="16" w:name="_Toc198464117"/>
      <w:r w:rsidRPr="00771246">
        <w:lastRenderedPageBreak/>
        <w:t>Bilag</w:t>
      </w:r>
      <w:bookmarkEnd w:id="16"/>
    </w:p>
    <w:p w:rsidR="00270C36" w:rsidRDefault="00270C36" w:rsidP="0011461F">
      <w:pPr>
        <w:pStyle w:val="Appendicesheading1"/>
      </w:pPr>
      <w:bookmarkStart w:id="17" w:name="_Toc1355843"/>
      <w:bookmarkStart w:id="18" w:name="_Toc198464118"/>
      <w:r w:rsidRPr="00771246">
        <w:t>Projektoplæg</w:t>
      </w:r>
      <w:bookmarkEnd w:id="17"/>
      <w:bookmarkEnd w:id="18"/>
    </w:p>
    <w:p w:rsidR="0011461F" w:rsidRPr="0011461F" w:rsidRDefault="0011461F" w:rsidP="0011461F">
      <w:pPr>
        <w:pStyle w:val="Normalindented"/>
      </w:pPr>
      <w:r>
        <w:t>...</w:t>
      </w:r>
    </w:p>
    <w:p w:rsidR="0011461F" w:rsidRDefault="0011461F" w:rsidP="0011461F">
      <w:pPr>
        <w:pStyle w:val="Appendicesheading1"/>
      </w:pPr>
      <w:bookmarkStart w:id="19" w:name="_Toc198464119"/>
      <w:r w:rsidRPr="00771246">
        <w:t>Detaljeret tidsplan</w:t>
      </w:r>
      <w:bookmarkEnd w:id="19"/>
    </w:p>
    <w:p w:rsidR="0011461F" w:rsidRPr="0011461F" w:rsidRDefault="0011461F" w:rsidP="0011461F">
      <w:pPr>
        <w:pStyle w:val="Normalindented"/>
      </w:pPr>
      <w:r>
        <w:t>...</w:t>
      </w:r>
    </w:p>
    <w:p w:rsidR="00270C36" w:rsidRPr="00771246" w:rsidRDefault="00270C36">
      <w:pPr>
        <w:pStyle w:val="Appendicesheading1"/>
      </w:pPr>
      <w:bookmarkStart w:id="20" w:name="_Toc198464120"/>
      <w:r w:rsidRPr="00771246">
        <w:t>Beregning af ... (eksempel på bilag)</w:t>
      </w:r>
      <w:bookmarkEnd w:id="20"/>
    </w:p>
    <w:p w:rsidR="00270C36" w:rsidRPr="00771246" w:rsidRDefault="00270C36">
      <w:pPr>
        <w:pStyle w:val="Normalindented"/>
      </w:pPr>
      <w:r w:rsidRPr="00771246">
        <w:t>...</w:t>
      </w:r>
    </w:p>
    <w:p w:rsidR="00270C36" w:rsidRPr="00771246" w:rsidRDefault="00270C36">
      <w:pPr>
        <w:pStyle w:val="Appendicesheading1"/>
      </w:pPr>
      <w:bookmarkStart w:id="21" w:name="_Toc198464121"/>
      <w:r w:rsidRPr="00771246">
        <w:t>Måleopstilling (eksempel på bilag)</w:t>
      </w:r>
      <w:bookmarkEnd w:id="21"/>
    </w:p>
    <w:p w:rsidR="003D63DB" w:rsidRPr="00771246" w:rsidRDefault="00270C36" w:rsidP="003D63DB">
      <w:pPr>
        <w:pStyle w:val="Normalindented"/>
      </w:pPr>
      <w:r w:rsidRPr="00771246">
        <w:t>...</w:t>
      </w:r>
    </w:p>
    <w:p w:rsidR="003D63DB" w:rsidRPr="00771246" w:rsidRDefault="003D63DB" w:rsidP="003D63DB">
      <w:pPr>
        <w:pStyle w:val="Appendicesheading1"/>
      </w:pPr>
      <w:bookmarkStart w:id="22" w:name="_Toc198464122"/>
      <w:r w:rsidRPr="00771246">
        <w:t>Dokumentation af processen (eksempel på bilag)</w:t>
      </w:r>
      <w:bookmarkEnd w:id="22"/>
    </w:p>
    <w:sectPr w:rsidR="003D63DB" w:rsidRPr="00771246" w:rsidSect="00050085">
      <w:headerReference w:type="default" r:id="rId13"/>
      <w:footerReference w:type="default" r:id="rId14"/>
      <w:headerReference w:type="first" r:id="rId15"/>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Magnus Hemmer Pihl" w:date="2008-05-19T08:30:00Z" w:initials="MHP">
    <w:p w:rsidR="003F1C1F" w:rsidRDefault="003F1C1F">
      <w:pPr>
        <w:pStyle w:val="CommentText"/>
      </w:pPr>
      <w:r>
        <w:rPr>
          <w:rStyle w:val="CommentReference"/>
        </w:rPr>
        <w:annotationRef/>
      </w:r>
      <w:r>
        <w:t>Passer det? Jeg er ikke helt sikker.</w:t>
      </w:r>
    </w:p>
  </w:comment>
  <w:comment w:id="8" w:author="Magnus Hemmer Pihl" w:date="2008-05-19T11:17:00Z" w:initials="MHP">
    <w:p w:rsidR="005764D5" w:rsidRDefault="005764D5">
      <w:pPr>
        <w:pStyle w:val="CommentText"/>
      </w:pPr>
      <w:r>
        <w:rPr>
          <w:rStyle w:val="CommentReference"/>
        </w:rPr>
        <w:annotationRef/>
      </w:r>
      <w:r>
        <w:t>Opdater hvis vi udvider det.</w:t>
      </w:r>
    </w:p>
  </w:comment>
  <w:comment w:id="9" w:author="Magnus Hemmer Pihl" w:date="2008-05-19T08:55:00Z" w:initials="MHP">
    <w:p w:rsidR="00EA19FA" w:rsidRDefault="00EA19FA">
      <w:pPr>
        <w:pStyle w:val="CommentText"/>
      </w:pPr>
      <w:r>
        <w:rPr>
          <w:rStyle w:val="CommentReference"/>
        </w:rPr>
        <w:annotationRef/>
      </w:r>
      <w:r>
        <w:t>Har det det? Tjek grafer.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316" w:rsidRDefault="00613316">
      <w:r>
        <w:separator/>
      </w:r>
    </w:p>
  </w:endnote>
  <w:endnote w:type="continuationSeparator" w:id="1">
    <w:p w:rsidR="00613316" w:rsidRDefault="006133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E54DD5" w:rsidP="00F75EEF">
          <w:pPr>
            <w:pStyle w:val="Footer"/>
            <w:jc w:val="right"/>
          </w:pPr>
          <w:r>
            <w:rPr>
              <w:rStyle w:val="PageNumber"/>
            </w:rPr>
            <w:fldChar w:fldCharType="begin"/>
          </w:r>
          <w:r w:rsidR="00110D8F">
            <w:rPr>
              <w:rStyle w:val="PageNumber"/>
            </w:rPr>
            <w:instrText xml:space="preserve"> PAGE </w:instrText>
          </w:r>
          <w:r>
            <w:rPr>
              <w:rStyle w:val="PageNumber"/>
            </w:rPr>
            <w:fldChar w:fldCharType="separate"/>
          </w:r>
          <w:r w:rsidR="005764D5">
            <w:rPr>
              <w:rStyle w:val="PageNumber"/>
              <w:noProof/>
            </w:rPr>
            <w:t>4</w:t>
          </w:r>
          <w:r>
            <w:rPr>
              <w:rStyle w:val="PageNumber"/>
            </w:rPr>
            <w:fldChar w:fldCharType="end"/>
          </w:r>
        </w:p>
      </w:tc>
    </w:tr>
  </w:tbl>
  <w:p w:rsidR="00110D8F" w:rsidRDefault="00110D8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316" w:rsidRDefault="00613316">
      <w:r>
        <w:separator/>
      </w:r>
    </w:p>
  </w:footnote>
  <w:footnote w:type="continuationSeparator" w:id="1">
    <w:p w:rsidR="00613316" w:rsidRDefault="006133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E54DD5">
          <w:pPr>
            <w:pStyle w:val="Header"/>
          </w:pPr>
          <w:r>
            <w:fldChar w:fldCharType="begin"/>
          </w:r>
          <w:r w:rsidR="00110D8F">
            <w:rPr>
              <w:lang w:val="en-US"/>
            </w:rPr>
            <w:instrText xml:space="preserve"> DATE \@ "dd-MM-yyyy" </w:instrText>
          </w:r>
          <w:r>
            <w:fldChar w:fldCharType="separate"/>
          </w:r>
          <w:r w:rsidR="00AF09F2">
            <w:rPr>
              <w:noProof/>
              <w:lang w:val="en-US"/>
            </w:rPr>
            <w:t>19-05-2008</w:t>
          </w:r>
          <w:r>
            <w:fldChar w:fldCharType="end"/>
          </w:r>
        </w:p>
        <w:p w:rsidR="00110D8F" w:rsidRDefault="00110D8F">
          <w:pPr>
            <w:pStyle w:val="Header"/>
          </w:pPr>
        </w:p>
        <w:p w:rsidR="00110D8F" w:rsidRPr="00363A3D" w:rsidRDefault="00E54DD5">
          <w:pPr>
            <w:pStyle w:val="Header"/>
            <w:rPr>
              <w:b/>
            </w:rPr>
          </w:pPr>
          <w:fldSimple w:instr=" TITLE  \* MERGEFORMAT ">
            <w:r w:rsidR="00110D8F" w:rsidRPr="007557A0">
              <w:rPr>
                <w:b/>
              </w:rPr>
              <w:t>Rapport titel</w:t>
            </w:r>
          </w:fldSimple>
        </w:p>
      </w:tc>
      <w:tc>
        <w:tcPr>
          <w:tcW w:w="851" w:type="dxa"/>
        </w:tcPr>
        <w:p w:rsidR="00110D8F" w:rsidRDefault="00110D8F">
          <w:pPr>
            <w:pStyle w:val="Header"/>
            <w:jc w:val="right"/>
          </w:pPr>
          <w:r>
            <w:rPr>
              <w:noProof/>
              <w:lang w:val="en-US"/>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E54DD5" w:rsidP="004D0613">
          <w:pPr>
            <w:pStyle w:val="Header"/>
          </w:pPr>
          <w:r>
            <w:fldChar w:fldCharType="begin"/>
          </w:r>
          <w:r w:rsidR="00110D8F">
            <w:rPr>
              <w:lang w:val="en-US"/>
            </w:rPr>
            <w:instrText xml:space="preserve"> DATE \@ "dd-MM-yyyy" </w:instrText>
          </w:r>
          <w:r>
            <w:fldChar w:fldCharType="separate"/>
          </w:r>
          <w:r w:rsidR="00AF09F2">
            <w:rPr>
              <w:noProof/>
              <w:lang w:val="en-US"/>
            </w:rPr>
            <w:t>19-05-2008</w:t>
          </w:r>
          <w:r>
            <w:fldChar w:fldCharType="end"/>
          </w:r>
        </w:p>
        <w:p w:rsidR="00110D8F" w:rsidRDefault="00110D8F" w:rsidP="004D0613">
          <w:pPr>
            <w:pStyle w:val="Header"/>
          </w:pPr>
        </w:p>
        <w:p w:rsidR="00110D8F" w:rsidRPr="00882ADC" w:rsidRDefault="00E54DD5" w:rsidP="004D0613">
          <w:pPr>
            <w:pStyle w:val="Header"/>
            <w:rPr>
              <w:b/>
            </w:rPr>
          </w:pPr>
          <w:fldSimple w:instr=" TITLE  \* MERGEFORMAT ">
            <w:r w:rsidR="00110D8F" w:rsidRPr="00321D0C">
              <w:rPr>
                <w:b/>
              </w:rPr>
              <w:t>Bogstavsgenkender</w:t>
            </w:r>
          </w:fldSimple>
        </w:p>
      </w:tc>
      <w:tc>
        <w:tcPr>
          <w:tcW w:w="3118" w:type="dxa"/>
        </w:tcPr>
        <w:p w:rsidR="00110D8F" w:rsidRPr="00F75EEF" w:rsidRDefault="00E54DD5" w:rsidP="004D0613">
          <w:pPr>
            <w:pStyle w:val="Header"/>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E54DD5" w:rsidP="004D0613">
          <w:pPr>
            <w:pStyle w:val="Header"/>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Header"/>
            <w:ind w:rightChars="-54" w:right="-108"/>
            <w:jc w:val="right"/>
          </w:pPr>
          <w:r>
            <w:rPr>
              <w:noProof/>
              <w:lang w:val="en-US"/>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D2000EC"/>
    <w:lvl w:ilvl="0">
      <w:start w:val="1"/>
      <w:numFmt w:val="decimal"/>
      <w:lvlText w:val="%1."/>
      <w:lvlJc w:val="left"/>
      <w:pPr>
        <w:tabs>
          <w:tab w:val="num" w:pos="1492"/>
        </w:tabs>
        <w:ind w:left="1492" w:hanging="360"/>
      </w:pPr>
    </w:lvl>
  </w:abstractNum>
  <w:abstractNum w:abstractNumId="1">
    <w:nsid w:val="FFFFFF7D"/>
    <w:multiLevelType w:val="singleLevel"/>
    <w:tmpl w:val="5344B9EE"/>
    <w:lvl w:ilvl="0">
      <w:start w:val="1"/>
      <w:numFmt w:val="decimal"/>
      <w:lvlText w:val="%1."/>
      <w:lvlJc w:val="left"/>
      <w:pPr>
        <w:tabs>
          <w:tab w:val="num" w:pos="1209"/>
        </w:tabs>
        <w:ind w:left="1209" w:hanging="360"/>
      </w:pPr>
    </w:lvl>
  </w:abstractNum>
  <w:abstractNum w:abstractNumId="2">
    <w:nsid w:val="FFFFFF7E"/>
    <w:multiLevelType w:val="singleLevel"/>
    <w:tmpl w:val="E4369C44"/>
    <w:lvl w:ilvl="0">
      <w:start w:val="1"/>
      <w:numFmt w:val="decimal"/>
      <w:lvlText w:val="%1."/>
      <w:lvlJc w:val="left"/>
      <w:pPr>
        <w:tabs>
          <w:tab w:val="num" w:pos="926"/>
        </w:tabs>
        <w:ind w:left="926" w:hanging="360"/>
      </w:pPr>
    </w:lvl>
  </w:abstractNum>
  <w:abstractNum w:abstractNumId="3">
    <w:nsid w:val="FFFFFF7F"/>
    <w:multiLevelType w:val="singleLevel"/>
    <w:tmpl w:val="769239E2"/>
    <w:lvl w:ilvl="0">
      <w:start w:val="1"/>
      <w:numFmt w:val="decimal"/>
      <w:lvlText w:val="%1."/>
      <w:lvlJc w:val="left"/>
      <w:pPr>
        <w:tabs>
          <w:tab w:val="num" w:pos="643"/>
        </w:tabs>
        <w:ind w:left="643" w:hanging="360"/>
      </w:pPr>
    </w:lvl>
  </w:abstractNum>
  <w:abstractNum w:abstractNumId="4">
    <w:nsid w:val="FFFFFF80"/>
    <w:multiLevelType w:val="singleLevel"/>
    <w:tmpl w:val="37EA53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2C7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444B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5042E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A875C4"/>
    <w:lvl w:ilvl="0">
      <w:start w:val="1"/>
      <w:numFmt w:val="decimal"/>
      <w:lvlText w:val="%1."/>
      <w:lvlJc w:val="left"/>
      <w:pPr>
        <w:tabs>
          <w:tab w:val="num" w:pos="360"/>
        </w:tabs>
        <w:ind w:left="360" w:hanging="360"/>
      </w:pPr>
    </w:lvl>
  </w:abstractNum>
  <w:abstractNum w:abstractNumId="9">
    <w:nsid w:val="FFFFFF89"/>
    <w:multiLevelType w:val="singleLevel"/>
    <w:tmpl w:val="9C90F02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7DEC3444"/>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hint="default"/>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7">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1">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8"/>
  </w:num>
  <w:num w:numId="2">
    <w:abstractNumId w:val="20"/>
  </w:num>
  <w:num w:numId="3">
    <w:abstractNumId w:val="19"/>
  </w:num>
  <w:num w:numId="4">
    <w:abstractNumId w:val="11"/>
  </w:num>
  <w:num w:numId="5">
    <w:abstractNumId w:val="14"/>
  </w:num>
  <w:num w:numId="6">
    <w:abstractNumId w:val="10"/>
  </w:num>
  <w:num w:numId="7">
    <w:abstractNumId w:val="17"/>
  </w:num>
  <w:num w:numId="8">
    <w:abstractNumId w:val="22"/>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6"/>
  </w:num>
  <w:num w:numId="33">
    <w:abstractNumId w:val="21"/>
  </w:num>
  <w:num w:numId="34">
    <w:abstractNumId w:val="15"/>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F06A7"/>
    <w:rsid w:val="000F1CBE"/>
    <w:rsid w:val="000F3043"/>
    <w:rsid w:val="000F3321"/>
    <w:rsid w:val="000F42F3"/>
    <w:rsid w:val="000F64D6"/>
    <w:rsid w:val="00105932"/>
    <w:rsid w:val="00110D8F"/>
    <w:rsid w:val="00112043"/>
    <w:rsid w:val="00112562"/>
    <w:rsid w:val="0011461F"/>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580F"/>
    <w:rsid w:val="00880C46"/>
    <w:rsid w:val="00882ADC"/>
    <w:rsid w:val="00887125"/>
    <w:rsid w:val="00887F8E"/>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7E6C"/>
    <w:rsid w:val="00A0217F"/>
    <w:rsid w:val="00A129F2"/>
    <w:rsid w:val="00A23040"/>
    <w:rsid w:val="00A24DD9"/>
    <w:rsid w:val="00A31F61"/>
    <w:rsid w:val="00A43906"/>
    <w:rsid w:val="00A47AD0"/>
    <w:rsid w:val="00A53662"/>
    <w:rsid w:val="00A639E9"/>
    <w:rsid w:val="00A64154"/>
    <w:rsid w:val="00A7122B"/>
    <w:rsid w:val="00A74158"/>
    <w:rsid w:val="00A75684"/>
    <w:rsid w:val="00A772FB"/>
    <w:rsid w:val="00A922BC"/>
    <w:rsid w:val="00AB27E8"/>
    <w:rsid w:val="00AB3C62"/>
    <w:rsid w:val="00AF09F2"/>
    <w:rsid w:val="00AF1263"/>
    <w:rsid w:val="00AF56F8"/>
    <w:rsid w:val="00AF62DE"/>
    <w:rsid w:val="00B1618E"/>
    <w:rsid w:val="00B165A8"/>
    <w:rsid w:val="00B22CAA"/>
    <w:rsid w:val="00B34BE0"/>
    <w:rsid w:val="00B46AE5"/>
    <w:rsid w:val="00B474CF"/>
    <w:rsid w:val="00B52C2E"/>
    <w:rsid w:val="00B84327"/>
    <w:rsid w:val="00B92AAD"/>
    <w:rsid w:val="00BA09DB"/>
    <w:rsid w:val="00BA3F4A"/>
    <w:rsid w:val="00BA5DB0"/>
    <w:rsid w:val="00BA6900"/>
    <w:rsid w:val="00BD0A8D"/>
    <w:rsid w:val="00BD7E95"/>
    <w:rsid w:val="00BE016B"/>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E4C80"/>
    <w:rsid w:val="00CE7701"/>
    <w:rsid w:val="00D02292"/>
    <w:rsid w:val="00D04505"/>
    <w:rsid w:val="00D061E9"/>
    <w:rsid w:val="00D06F79"/>
    <w:rsid w:val="00D14291"/>
    <w:rsid w:val="00D14EDB"/>
    <w:rsid w:val="00D351CF"/>
    <w:rsid w:val="00D35720"/>
    <w:rsid w:val="00D46E49"/>
    <w:rsid w:val="00D6063A"/>
    <w:rsid w:val="00D61696"/>
    <w:rsid w:val="00D71365"/>
    <w:rsid w:val="00D8777D"/>
    <w:rsid w:val="00DA3996"/>
    <w:rsid w:val="00DA40F4"/>
    <w:rsid w:val="00DA6521"/>
    <w:rsid w:val="00DF0CE4"/>
    <w:rsid w:val="00E03DA1"/>
    <w:rsid w:val="00E057ED"/>
    <w:rsid w:val="00E1475F"/>
    <w:rsid w:val="00E150FE"/>
    <w:rsid w:val="00E27A46"/>
    <w:rsid w:val="00E4720E"/>
    <w:rsid w:val="00E543CC"/>
    <w:rsid w:val="00E54DD5"/>
    <w:rsid w:val="00E572A6"/>
    <w:rsid w:val="00E77EFE"/>
    <w:rsid w:val="00E81EFA"/>
    <w:rsid w:val="00E86A7E"/>
    <w:rsid w:val="00EA19FA"/>
    <w:rsid w:val="00EA4BA6"/>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7FA9"/>
    <w:rsid w:val="00FA0F31"/>
    <w:rsid w:val="00FA1841"/>
    <w:rsid w:val="00FC4041"/>
    <w:rsid w:val="00FE66DB"/>
    <w:rsid w:val="00FF0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pt>
    <dgm:pt modelId="{8D8300E2-EBC6-4649-A727-6A3DD8794009}" type="pres">
      <dgm:prSet presAssocID="{B94C8987-6A86-4665-971B-82FBB9E5C051}" presName="bgRectTx" presStyleLbl="bgShp" presStyleIdx="0" presStyleCnt="3">
        <dgm:presLayoutVars>
          <dgm:bulletEnabled val="1"/>
        </dgm:presLayoutVars>
      </dgm:prSet>
      <dgm:spPr/>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pt>
    <dgm:pt modelId="{24406991-1438-4CEF-AE54-48D6F17D8313}" type="pres">
      <dgm:prSet presAssocID="{43E448A5-E78C-4844-AABC-9007FBD72CD3}" presName="bgRectTx" presStyleLbl="bgShp" presStyleIdx="1" presStyleCnt="3">
        <dgm:presLayoutVars>
          <dgm:bulletEnabled val="1"/>
        </dgm:presLayoutVars>
      </dgm:prSet>
      <dgm:spPr/>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pt>
    <dgm:pt modelId="{80D66285-9665-4FF2-A346-E741331A94C3}" type="pres">
      <dgm:prSet presAssocID="{235FC0A0-7B07-4B55-A845-454B499E58D5}" presName="bgRectTx" presStyleLbl="bgShp" presStyleIdx="2" presStyleCnt="3">
        <dgm:presLayoutVars>
          <dgm:bulletEnabled val="1"/>
        </dgm:presLayoutVars>
      </dgm:prSet>
      <dgm:spPr/>
    </dgm:pt>
  </dgm:ptLst>
  <dgm:cxnLst>
    <dgm:cxn modelId="{1F2CF34E-9090-440E-A1DE-AC7FB8CB92BE}" type="presOf" srcId="{BE1576F6-0DE9-4E58-AC9B-EC5CE2A9F4C2}" destId="{2363E3E7-7EA3-47F9-A0B0-5326C281D1AC}" srcOrd="0" destOrd="0" presId="urn:microsoft.com/office/officeart/2005/8/layout/hierarchy6"/>
    <dgm:cxn modelId="{91F3746E-50CA-4DA8-AAF7-0669C3213FAE}" type="presOf" srcId="{235FC0A0-7B07-4B55-A845-454B499E58D5}" destId="{80D66285-9665-4FF2-A346-E741331A94C3}" srcOrd="1" destOrd="0" presId="urn:microsoft.com/office/officeart/2005/8/layout/hierarchy6"/>
    <dgm:cxn modelId="{DA96BECD-22E3-407C-B0F1-2EE4628789F2}" type="presOf" srcId="{AE538861-5FC3-4472-977C-7A30B35DC8CA}" destId="{82375BBD-A056-4319-9741-EE55A5F846CD}" srcOrd="0" destOrd="0" presId="urn:microsoft.com/office/officeart/2005/8/layout/hierarchy6"/>
    <dgm:cxn modelId="{7D4748C9-9311-4CCD-8164-B4DB4EC69D21}" type="presOf" srcId="{43E448A5-E78C-4844-AABC-9007FBD72CD3}" destId="{24406991-1438-4CEF-AE54-48D6F17D8313}" srcOrd="1"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2CE0AECB-DA6A-4DAA-9C35-4319FAB687DD}" type="presOf" srcId="{7A42D39F-9C30-45AC-94FB-0FBF27C47801}" destId="{9EB58A4E-4FA9-479F-99F9-70215C97D864}" srcOrd="0" destOrd="0" presId="urn:microsoft.com/office/officeart/2005/8/layout/hierarchy6"/>
    <dgm:cxn modelId="{2C901EDB-CC72-420E-9D8F-152769E82104}" type="presOf" srcId="{9FB3A607-3E66-433F-A378-FA82B414FF18}" destId="{7E19AD08-7F43-41A9-A808-83B1F927149B}"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38A7D859-4FBC-4976-B165-C32CDE059A25}" type="presOf" srcId="{D6C86AC5-F2BD-4F40-99C0-E54868DBA853}" destId="{86273A26-24CD-4D92-B482-37B93B4C3C95}"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11F77979-490E-4E09-9CAC-0F8721F31E58}" type="presOf" srcId="{235FC0A0-7B07-4B55-A845-454B499E58D5}" destId="{410004A3-0E80-4346-9ED7-A8565C48FED6}"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5F50ACBB-BAC1-49ED-8859-31180B64B4E7}" type="presOf" srcId="{07D243E8-C2F3-41E2-BD68-3B5D608898BE}" destId="{997FADDA-67F7-4BBA-9183-4B86B6B69D47}"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23760D1F-EC20-4D81-BE5B-9867EEDFDCBC}" type="presOf" srcId="{AE24CC57-BF85-4F09-9B10-9F05EF7326D6}" destId="{F8FB7507-2518-443B-9170-6A60B46F82DE}" srcOrd="0" destOrd="0" presId="urn:microsoft.com/office/officeart/2005/8/layout/hierarchy6"/>
    <dgm:cxn modelId="{4EFDE15A-4C38-4715-B435-018F078B56AC}" type="presOf" srcId="{2B265004-A05A-4501-AC12-3BA9F7A19D26}" destId="{D65CC2E7-62EC-456B-83FE-A408A35932F5}" srcOrd="0" destOrd="0" presId="urn:microsoft.com/office/officeart/2005/8/layout/hierarchy6"/>
    <dgm:cxn modelId="{8C869472-C537-46AF-B505-3DF2F9432C61}" type="presOf" srcId="{55800AE9-3E53-43F7-8CEC-7CA003DF1C37}" destId="{7CF41E0C-DDDE-4DD8-9A04-60D295D1A38E}" srcOrd="0" destOrd="0" presId="urn:microsoft.com/office/officeart/2005/8/layout/hierarchy6"/>
    <dgm:cxn modelId="{F06E2755-3113-4A89-91E2-977E2C65DECC}" type="presOf" srcId="{B94C8987-6A86-4665-971B-82FBB9E5C051}" destId="{8D8300E2-EBC6-4649-A727-6A3DD8794009}" srcOrd="1" destOrd="0" presId="urn:microsoft.com/office/officeart/2005/8/layout/hierarchy6"/>
    <dgm:cxn modelId="{83BA035D-FF7E-4382-80DD-6E3C354A53ED}" type="presOf" srcId="{23C15B70-8747-493B-9F39-DBCED847EF91}" destId="{A14AC472-AA8E-4723-AAFC-CD8AAA80A684}" srcOrd="0" destOrd="0" presId="urn:microsoft.com/office/officeart/2005/8/layout/hierarchy6"/>
    <dgm:cxn modelId="{7DF72FDD-0C44-4820-B71E-2E1039092B35}" type="presOf" srcId="{B94C8987-6A86-4665-971B-82FBB9E5C051}" destId="{F03AC43F-3DE4-454A-8485-E959BA098226}"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42235E96-E7C4-442C-8815-009BEF7D9464}" srcId="{AE24CC57-BF85-4F09-9B10-9F05EF7326D6}" destId="{235FC0A0-7B07-4B55-A845-454B499E58D5}" srcOrd="3" destOrd="0" parTransId="{6EBE6024-479E-4424-92E7-F610A6FA14B1}" sibTransId="{17FD27EA-7834-4F7F-9919-9A3BBAC7D954}"/>
    <dgm:cxn modelId="{2A601AB8-FB10-4143-B8AF-F5BD83EC9431}" type="presOf" srcId="{05FC00B3-A8D5-4499-90AC-BAA409E98C9D}" destId="{7F4E2739-D661-4416-A407-D58A69304BF7}"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489E2048-E510-44BF-AAB5-C74747EB1B37}" type="presOf" srcId="{BAF2E9FB-B421-4D36-BFB8-7E5D9C83A130}" destId="{63369185-237F-4072-A7A9-46B3062F5016}" srcOrd="0" destOrd="0" presId="urn:microsoft.com/office/officeart/2005/8/layout/hierarchy6"/>
    <dgm:cxn modelId="{E4E77D82-7268-44A5-BB5E-F8B0494F6B84}" type="presOf" srcId="{7BFFE11E-400B-4D6A-8110-2DD12A70C6A3}" destId="{695640E3-DEE3-46E6-AB4D-0E03C7B7C2CC}"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50153080-7209-40B9-9D6B-B751F63785D3}" type="presOf" srcId="{43E448A5-E78C-4844-AABC-9007FBD72CD3}" destId="{C754F50C-E791-4B3A-B236-39EF8A750195}" srcOrd="0" destOrd="0" presId="urn:microsoft.com/office/officeart/2005/8/layout/hierarchy6"/>
    <dgm:cxn modelId="{C64A5611-A470-49C4-8900-8D4AF1BA8078}" type="presOf" srcId="{061F34B4-EBA0-462F-BFEE-54A34B5FA01B}" destId="{373FFE6A-D1ED-41FD-852D-1B96C96B6024}" srcOrd="0" destOrd="0" presId="urn:microsoft.com/office/officeart/2005/8/layout/hierarchy6"/>
    <dgm:cxn modelId="{7D5A5D61-9D4B-42F0-95CE-021673AD9B42}" type="presParOf" srcId="{F8FB7507-2518-443B-9170-6A60B46F82DE}" destId="{DE5E76C5-BD8B-42AC-9929-11EDF4077ED8}" srcOrd="0" destOrd="0" presId="urn:microsoft.com/office/officeart/2005/8/layout/hierarchy6"/>
    <dgm:cxn modelId="{C34FCD14-F17A-4DC1-BB28-C64CB84EBE46}" type="presParOf" srcId="{DE5E76C5-BD8B-42AC-9929-11EDF4077ED8}" destId="{EE3B5412-0F24-4A8F-BCEC-1F44BD863CA3}" srcOrd="0" destOrd="0" presId="urn:microsoft.com/office/officeart/2005/8/layout/hierarchy6"/>
    <dgm:cxn modelId="{E23C803A-CF9D-45DD-8F8F-D194001D06B0}" type="presParOf" srcId="{DE5E76C5-BD8B-42AC-9929-11EDF4077ED8}" destId="{37273D51-2848-4099-8D47-FE11B7BF90D2}" srcOrd="1" destOrd="0" presId="urn:microsoft.com/office/officeart/2005/8/layout/hierarchy6"/>
    <dgm:cxn modelId="{B84947AE-FE8A-40D7-91E4-D7CD32C5120B}" type="presParOf" srcId="{37273D51-2848-4099-8D47-FE11B7BF90D2}" destId="{D66619ED-26D5-443E-B786-3EB42F7866D8}" srcOrd="0" destOrd="0" presId="urn:microsoft.com/office/officeart/2005/8/layout/hierarchy6"/>
    <dgm:cxn modelId="{CBFFA7E4-62F9-492C-A06A-B99F8729B479}" type="presParOf" srcId="{D66619ED-26D5-443E-B786-3EB42F7866D8}" destId="{2363E3E7-7EA3-47F9-A0B0-5326C281D1AC}" srcOrd="0" destOrd="0" presId="urn:microsoft.com/office/officeart/2005/8/layout/hierarchy6"/>
    <dgm:cxn modelId="{9084E256-D847-4277-BF84-D998A81BCF96}" type="presParOf" srcId="{D66619ED-26D5-443E-B786-3EB42F7866D8}" destId="{0B6407A3-0ED9-40B0-9635-DA52368D3B08}" srcOrd="1" destOrd="0" presId="urn:microsoft.com/office/officeart/2005/8/layout/hierarchy6"/>
    <dgm:cxn modelId="{0567EEB8-D5A2-4EEC-8327-DA420B958A04}" type="presParOf" srcId="{0B6407A3-0ED9-40B0-9635-DA52368D3B08}" destId="{A14AC472-AA8E-4723-AAFC-CD8AAA80A684}" srcOrd="0" destOrd="0" presId="urn:microsoft.com/office/officeart/2005/8/layout/hierarchy6"/>
    <dgm:cxn modelId="{3716008C-4907-4F83-BE54-F9F5B63B1D2E}" type="presParOf" srcId="{0B6407A3-0ED9-40B0-9635-DA52368D3B08}" destId="{EF1DBA95-7F44-4639-B6E9-C8516EB2B1C3}" srcOrd="1" destOrd="0" presId="urn:microsoft.com/office/officeart/2005/8/layout/hierarchy6"/>
    <dgm:cxn modelId="{EA6356C6-D897-4730-A81A-D9D124ECF96D}" type="presParOf" srcId="{EF1DBA95-7F44-4639-B6E9-C8516EB2B1C3}" destId="{695640E3-DEE3-46E6-AB4D-0E03C7B7C2CC}" srcOrd="0" destOrd="0" presId="urn:microsoft.com/office/officeart/2005/8/layout/hierarchy6"/>
    <dgm:cxn modelId="{5A1EB0FB-D2E3-4858-AAC2-68AFD2A3C5BE}" type="presParOf" srcId="{EF1DBA95-7F44-4639-B6E9-C8516EB2B1C3}" destId="{8EC891B3-8552-4781-BD63-74EB21690EC7}" srcOrd="1" destOrd="0" presId="urn:microsoft.com/office/officeart/2005/8/layout/hierarchy6"/>
    <dgm:cxn modelId="{DEA16B6A-3779-433F-999F-93D2D6DC6CF6}" type="presParOf" srcId="{8EC891B3-8552-4781-BD63-74EB21690EC7}" destId="{7E19AD08-7F43-41A9-A808-83B1F927149B}" srcOrd="0" destOrd="0" presId="urn:microsoft.com/office/officeart/2005/8/layout/hierarchy6"/>
    <dgm:cxn modelId="{9A25C393-BB58-408A-AA4B-3CDC4567AE4F}" type="presParOf" srcId="{8EC891B3-8552-4781-BD63-74EB21690EC7}" destId="{8ABDA3A6-85D2-4AC5-BC4B-6703FE11EAFE}" srcOrd="1" destOrd="0" presId="urn:microsoft.com/office/officeart/2005/8/layout/hierarchy6"/>
    <dgm:cxn modelId="{198F38DB-10F5-4750-8C82-7958721C64B2}" type="presParOf" srcId="{8ABDA3A6-85D2-4AC5-BC4B-6703FE11EAFE}" destId="{7CF41E0C-DDDE-4DD8-9A04-60D295D1A38E}" srcOrd="0" destOrd="0" presId="urn:microsoft.com/office/officeart/2005/8/layout/hierarchy6"/>
    <dgm:cxn modelId="{4272E3C3-80B2-4FA7-8749-C7C415D1F1F7}" type="presParOf" srcId="{8ABDA3A6-85D2-4AC5-BC4B-6703FE11EAFE}" destId="{85E34C33-84EF-412B-B9A3-C3E8D98FB0A8}" srcOrd="1" destOrd="0" presId="urn:microsoft.com/office/officeart/2005/8/layout/hierarchy6"/>
    <dgm:cxn modelId="{CD785267-EB57-4003-AFC7-7B9FBD63A3C1}" type="presParOf" srcId="{8EC891B3-8552-4781-BD63-74EB21690EC7}" destId="{997FADDA-67F7-4BBA-9183-4B86B6B69D47}" srcOrd="2" destOrd="0" presId="urn:microsoft.com/office/officeart/2005/8/layout/hierarchy6"/>
    <dgm:cxn modelId="{42FA7D0F-C150-4770-AD21-41B97C858434}" type="presParOf" srcId="{8EC891B3-8552-4781-BD63-74EB21690EC7}" destId="{F6EF4506-244A-4FA8-9838-A528113FB136}" srcOrd="3" destOrd="0" presId="urn:microsoft.com/office/officeart/2005/8/layout/hierarchy6"/>
    <dgm:cxn modelId="{01C646AA-FD21-43DA-945B-65E3C1AE3CA4}" type="presParOf" srcId="{F6EF4506-244A-4FA8-9838-A528113FB136}" destId="{82375BBD-A056-4319-9741-EE55A5F846CD}" srcOrd="0" destOrd="0" presId="urn:microsoft.com/office/officeart/2005/8/layout/hierarchy6"/>
    <dgm:cxn modelId="{B1FC50F9-CACD-45C4-BBFB-A400053D2000}" type="presParOf" srcId="{F6EF4506-244A-4FA8-9838-A528113FB136}" destId="{69F98DEA-0511-49B5-BEE4-90B6B5A1999E}" srcOrd="1" destOrd="0" presId="urn:microsoft.com/office/officeart/2005/8/layout/hierarchy6"/>
    <dgm:cxn modelId="{4D1F5D2D-4D91-4955-8FD9-FC23E8BD1B2B}" type="presParOf" srcId="{0B6407A3-0ED9-40B0-9635-DA52368D3B08}" destId="{7F4E2739-D661-4416-A407-D58A69304BF7}" srcOrd="2" destOrd="0" presId="urn:microsoft.com/office/officeart/2005/8/layout/hierarchy6"/>
    <dgm:cxn modelId="{E3CD4CE2-2B6A-4E89-B98C-EB3ACBFBC2FC}" type="presParOf" srcId="{0B6407A3-0ED9-40B0-9635-DA52368D3B08}" destId="{4D5E6363-FF52-4DCC-B91D-5997E1F464A2}" srcOrd="3" destOrd="0" presId="urn:microsoft.com/office/officeart/2005/8/layout/hierarchy6"/>
    <dgm:cxn modelId="{F3FEA972-9590-45D1-B46D-44C4E167A6F3}" type="presParOf" srcId="{4D5E6363-FF52-4DCC-B91D-5997E1F464A2}" destId="{63369185-237F-4072-A7A9-46B3062F5016}" srcOrd="0" destOrd="0" presId="urn:microsoft.com/office/officeart/2005/8/layout/hierarchy6"/>
    <dgm:cxn modelId="{2E7DE47C-4333-4667-90A2-867867F39E4C}" type="presParOf" srcId="{4D5E6363-FF52-4DCC-B91D-5997E1F464A2}" destId="{4E4E3FA7-9A1B-415E-A219-7369D72BFA8D}" srcOrd="1" destOrd="0" presId="urn:microsoft.com/office/officeart/2005/8/layout/hierarchy6"/>
    <dgm:cxn modelId="{79DBCE92-C232-41E6-BDCF-D4CA1B9AC192}" type="presParOf" srcId="{4E4E3FA7-9A1B-415E-A219-7369D72BFA8D}" destId="{D65CC2E7-62EC-456B-83FE-A408A35932F5}" srcOrd="0" destOrd="0" presId="urn:microsoft.com/office/officeart/2005/8/layout/hierarchy6"/>
    <dgm:cxn modelId="{904815C9-B0D9-4994-94D7-AFEBA7C6CAB4}" type="presParOf" srcId="{4E4E3FA7-9A1B-415E-A219-7369D72BFA8D}" destId="{4A762BEF-6367-4DE5-8F8C-BBABF627FA97}" srcOrd="1" destOrd="0" presId="urn:microsoft.com/office/officeart/2005/8/layout/hierarchy6"/>
    <dgm:cxn modelId="{A95E8D07-1970-4F0D-8424-293BEE3DE1E5}" type="presParOf" srcId="{4A762BEF-6367-4DE5-8F8C-BBABF627FA97}" destId="{9EB58A4E-4FA9-479F-99F9-70215C97D864}" srcOrd="0" destOrd="0" presId="urn:microsoft.com/office/officeart/2005/8/layout/hierarchy6"/>
    <dgm:cxn modelId="{50A0D00A-224D-4CEA-8CB7-5FB598909C70}" type="presParOf" srcId="{4A762BEF-6367-4DE5-8F8C-BBABF627FA97}" destId="{4451DC6C-AC6C-4A6E-89DC-D4AB5BE88711}" srcOrd="1" destOrd="0" presId="urn:microsoft.com/office/officeart/2005/8/layout/hierarchy6"/>
    <dgm:cxn modelId="{5105525D-7C30-40BF-8D90-CD7EB6FE320A}" type="presParOf" srcId="{4E4E3FA7-9A1B-415E-A219-7369D72BFA8D}" destId="{373FFE6A-D1ED-41FD-852D-1B96C96B6024}" srcOrd="2" destOrd="0" presId="urn:microsoft.com/office/officeart/2005/8/layout/hierarchy6"/>
    <dgm:cxn modelId="{EA3694B0-9CE7-4C27-9896-7A08323FE9D4}" type="presParOf" srcId="{4E4E3FA7-9A1B-415E-A219-7369D72BFA8D}" destId="{87B85974-6F72-4A29-97A3-CE76FF530D88}" srcOrd="3" destOrd="0" presId="urn:microsoft.com/office/officeart/2005/8/layout/hierarchy6"/>
    <dgm:cxn modelId="{BC9F9708-372D-4077-A1CD-7478F209F2A9}" type="presParOf" srcId="{87B85974-6F72-4A29-97A3-CE76FF530D88}" destId="{86273A26-24CD-4D92-B482-37B93B4C3C95}" srcOrd="0" destOrd="0" presId="urn:microsoft.com/office/officeart/2005/8/layout/hierarchy6"/>
    <dgm:cxn modelId="{593EB6F0-4B67-473A-97AF-E7F7D74765F9}" type="presParOf" srcId="{87B85974-6F72-4A29-97A3-CE76FF530D88}" destId="{0FE0D218-0E5E-4131-A36E-E022262AC270}" srcOrd="1" destOrd="0" presId="urn:microsoft.com/office/officeart/2005/8/layout/hierarchy6"/>
    <dgm:cxn modelId="{4F6F7030-E017-422B-BE2E-C70F6FE0956E}" type="presParOf" srcId="{F8FB7507-2518-443B-9170-6A60B46F82DE}" destId="{6F8C93D3-F5C4-4599-B3E1-F3E1DEB5CFF9}" srcOrd="1" destOrd="0" presId="urn:microsoft.com/office/officeart/2005/8/layout/hierarchy6"/>
    <dgm:cxn modelId="{F909FCDA-3F50-4DD6-8EA6-5BDD4C7BF6D4}" type="presParOf" srcId="{6F8C93D3-F5C4-4599-B3E1-F3E1DEB5CFF9}" destId="{1385CAC8-6DED-43A0-B38C-5804D22FCA9D}" srcOrd="0" destOrd="0" presId="urn:microsoft.com/office/officeart/2005/8/layout/hierarchy6"/>
    <dgm:cxn modelId="{0282D0F4-3FFA-40BC-9776-843AB7D5E9CE}" type="presParOf" srcId="{1385CAC8-6DED-43A0-B38C-5804D22FCA9D}" destId="{F03AC43F-3DE4-454A-8485-E959BA098226}" srcOrd="0" destOrd="0" presId="urn:microsoft.com/office/officeart/2005/8/layout/hierarchy6"/>
    <dgm:cxn modelId="{CB4E889B-7E36-4A3E-A821-FA5FCEFC8193}" type="presParOf" srcId="{1385CAC8-6DED-43A0-B38C-5804D22FCA9D}" destId="{8D8300E2-EBC6-4649-A727-6A3DD8794009}" srcOrd="1" destOrd="0" presId="urn:microsoft.com/office/officeart/2005/8/layout/hierarchy6"/>
    <dgm:cxn modelId="{820A5BE5-7F72-4571-B740-4914D8A2C841}" type="presParOf" srcId="{6F8C93D3-F5C4-4599-B3E1-F3E1DEB5CFF9}" destId="{BC3EC575-7675-499F-887C-8F37ED75DE92}" srcOrd="1" destOrd="0" presId="urn:microsoft.com/office/officeart/2005/8/layout/hierarchy6"/>
    <dgm:cxn modelId="{BE6C1FEC-5607-4C5F-B3B3-2294358C877C}" type="presParOf" srcId="{BC3EC575-7675-499F-887C-8F37ED75DE92}" destId="{2981EC70-0ED7-4F11-9772-DE73AEF1BDD4}" srcOrd="0" destOrd="0" presId="urn:microsoft.com/office/officeart/2005/8/layout/hierarchy6"/>
    <dgm:cxn modelId="{C8AD03BB-F53B-4FC0-A99D-9052708B1786}" type="presParOf" srcId="{6F8C93D3-F5C4-4599-B3E1-F3E1DEB5CFF9}" destId="{7432DEFE-093C-4852-9F58-A30C100402BD}" srcOrd="2" destOrd="0" presId="urn:microsoft.com/office/officeart/2005/8/layout/hierarchy6"/>
    <dgm:cxn modelId="{23E55C11-64F4-4563-A77D-43AA7360DC06}" type="presParOf" srcId="{7432DEFE-093C-4852-9F58-A30C100402BD}" destId="{C754F50C-E791-4B3A-B236-39EF8A750195}" srcOrd="0" destOrd="0" presId="urn:microsoft.com/office/officeart/2005/8/layout/hierarchy6"/>
    <dgm:cxn modelId="{F60CF629-D054-44CD-85EB-8705D918644C}" type="presParOf" srcId="{7432DEFE-093C-4852-9F58-A30C100402BD}" destId="{24406991-1438-4CEF-AE54-48D6F17D8313}" srcOrd="1" destOrd="0" presId="urn:microsoft.com/office/officeart/2005/8/layout/hierarchy6"/>
    <dgm:cxn modelId="{3C3DC06F-6284-48FD-A87C-167D3EF99949}" type="presParOf" srcId="{6F8C93D3-F5C4-4599-B3E1-F3E1DEB5CFF9}" destId="{448BA1D7-EDAE-45A4-96A8-94C34ECE4594}" srcOrd="3" destOrd="0" presId="urn:microsoft.com/office/officeart/2005/8/layout/hierarchy6"/>
    <dgm:cxn modelId="{CB13059E-FBC8-4758-87AC-F05227E63A84}" type="presParOf" srcId="{448BA1D7-EDAE-45A4-96A8-94C34ECE4594}" destId="{8DEB3136-BCF4-49DF-A90B-1A6B26163A44}" srcOrd="0" destOrd="0" presId="urn:microsoft.com/office/officeart/2005/8/layout/hierarchy6"/>
    <dgm:cxn modelId="{D1D72D5E-2210-4F67-90C9-2FFDD54FB7B2}" type="presParOf" srcId="{6F8C93D3-F5C4-4599-B3E1-F3E1DEB5CFF9}" destId="{AC2DF48C-53AA-4B0F-A853-C2356B77FD6F}" srcOrd="4" destOrd="0" presId="urn:microsoft.com/office/officeart/2005/8/layout/hierarchy6"/>
    <dgm:cxn modelId="{CC8A85F4-426E-4ACB-9C1E-6092CD542821}" type="presParOf" srcId="{AC2DF48C-53AA-4B0F-A853-C2356B77FD6F}" destId="{410004A3-0E80-4346-9ED7-A8565C48FED6}" srcOrd="0" destOrd="0" presId="urn:microsoft.com/office/officeart/2005/8/layout/hierarchy6"/>
    <dgm:cxn modelId="{9FF5E840-8DE8-4B24-BFA2-DE2EB222B8E8}" type="presParOf" srcId="{AC2DF48C-53AA-4B0F-A853-C2356B77FD6F}" destId="{80D66285-9665-4FF2-A346-E741331A94C3}"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9D4B9-8FE2-419E-BFD1-922F9939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246</TotalTime>
  <Pages>8</Pages>
  <Words>1384</Words>
  <Characters>7895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Bogstavsgenkender</vt:lpstr>
    </vt:vector>
  </TitlesOfParts>
  <Manager/>
  <Company>Ingeniørhøjskolen i København</Company>
  <LinksUpToDate>false</LinksUpToDate>
  <CharactersWithSpaces>9261</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 Hemmer Pihl</cp:lastModifiedBy>
  <cp:revision>16</cp:revision>
  <cp:lastPrinted>2003-01-24T05:57:00Z</cp:lastPrinted>
  <dcterms:created xsi:type="dcterms:W3CDTF">2008-05-13T15:19:00Z</dcterms:created>
  <dcterms:modified xsi:type="dcterms:W3CDTF">2008-05-19T09:17:00Z</dcterms:modified>
  <cp:category/>
</cp:coreProperties>
</file>