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200" w:before="800"/>
        <w:jc w:val="center"/>
      </w:pPr>
      <w:r>
        <w:rPr>
          <w:rFonts w:ascii="Arial" w:cs="Arial" w:eastAsia="Arial" w:hAnsi="Arial"/>
          <w:b/>
          <w:bCs/>
          <w:color w:val="1B4F72"/>
          <w:sz w:val="72"/>
          <w:szCs w:val="72"/>
        </w:rPr>
        <w:t xml:space="preserve">QUANTA</w:t>
      </w:r>
    </w:p>
    <w:p>
      <w:pPr>
        <w:spacing w:after="200" w:before="0"/>
        <w:jc w:val="center"/>
      </w:pPr>
      <w:r>
        <w:rPr>
          <w:rFonts w:ascii="Arial" w:cs="Arial" w:eastAsia="Arial" w:hAnsi="Arial"/>
          <w:i/>
          <w:iCs/>
          <w:color w:val="2E86C1"/>
          <w:sz w:val="28"/>
          <w:szCs w:val="28"/>
        </w:rPr>
        <w:t xml:space="preserve">Portable. Intelligent. Precise.</w:t>
      </w:r>
    </w:p>
    <w:p>
      <w:pPr>
        <w:spacing w:after="800" w:before="200"/>
        <w:jc w:val="center"/>
      </w:pPr>
      <w:r>
        <w:rPr>
          <w:rFonts w:ascii="Arial" w:cs="Arial" w:eastAsia="Arial" w:hAnsi="Arial"/>
          <w:color w:val="888888"/>
          <w:sz w:val="24"/>
          <w:szCs w:val="24"/>
        </w:rPr>
        <w:t xml:space="preserve">Business Case Document</w:t>
      </w:r>
    </w:p>
    <w:p>
      <w:pPr>
        <w:spacing w:after="100" w:before="100"/>
      </w:pPr>
      <w:r>
        <w:t xml:space="preserve"/>
      </w:r>
    </w:p>
    <w:p>
      <w:pPr>
        <w:spacing w:after="100" w:before="100"/>
      </w:pPr>
      <w:r>
        <w:t xml:space="preserve"/>
      </w:r>
    </w:p>
    <w:p>
      <w:pPr>
        <w:spacing w:after="100" w:before="100"/>
      </w:pPr>
      <w:r>
        <w:t xml:space="preserve"/>
      </w:r>
    </w:p>
    <w:p>
      <w:pPr>
        <w:pStyle w:val="Heading1"/>
        <w:pBdr>
          <w:bottom w:val="single" w:color="1B4F72" w:sz="6" w:space="1"/>
        </w:pBdr>
        <w:spacing w:after="200" w:before="400"/>
      </w:pPr>
      <w:r>
        <w:rPr>
          <w:rFonts w:ascii="Arial" w:cs="Arial" w:eastAsia="Arial" w:hAnsi="Arial"/>
          <w:b/>
          <w:bCs/>
          <w:color w:val="1B4F72"/>
          <w:sz w:val="32"/>
          <w:szCs w:val="32"/>
        </w:rPr>
        <w:t xml:space="preserve">1. Executive Summary</w:t>
      </w:r>
    </w:p>
    <w:p>
      <w:pPr>
        <w:spacing w:after="100" w:before="100"/>
      </w:pPr>
      <w:r>
        <w:rPr>
          <w:rFonts w:ascii="Arial" w:cs="Arial" w:eastAsia="Arial" w:hAnsi="Arial"/>
          <w:sz w:val="22"/>
          <w:szCs w:val="22"/>
        </w:rPr>
        <w:t xml:space="preserve">Quanta is a portable, intelligent personal QS platform built for Quantity Surveyors and Estimators who move between companies and projects. The platform standardises how estimators build, store and reuse their quantification knowledge — ensuring nothing gets missed, every number is traceable, and professional Bill of Quantities documents are generated with speed and confidence.</w:t>
      </w:r>
    </w:p>
    <w:p>
      <w:pPr>
        <w:spacing w:after="100" w:before="100"/>
      </w:pPr>
      <w:r>
        <w:t xml:space="preserve"/>
      </w:r>
    </w:p>
    <w:p>
      <w:pPr>
        <w:spacing w:after="100" w:before="100"/>
      </w:pPr>
      <w:r>
        <w:rPr>
          <w:rFonts w:ascii="Arial" w:cs="Arial" w:eastAsia="Arial" w:hAnsi="Arial"/>
          <w:sz w:val="22"/>
          <w:szCs w:val="22"/>
        </w:rPr>
        <w:t xml:space="preserve">The construction industry has a persistent problem: every estimator works differently, knowledge lives in personal Excel templates, and when an estimator moves companies, that knowledge walks out the door. Quanta solves this by giving every QS professional a personal, intelligent, AI-assisted platform that travels with them throughout their entire career.</w:t>
      </w:r>
    </w:p>
    <w:p>
      <w:pPr>
        <w:spacing w:after="100" w:before="100"/>
      </w:pPr>
      <w:r>
        <w:t xml:space="preserve"/>
      </w:r>
    </w:p>
    <w:p>
      <w:pPr>
        <w:pStyle w:val="Heading1"/>
        <w:pBdr>
          <w:bottom w:val="single" w:color="1B4F72" w:sz="6" w:space="1"/>
        </w:pBdr>
        <w:spacing w:after="200" w:before="400"/>
      </w:pPr>
      <w:r>
        <w:rPr>
          <w:rFonts w:ascii="Arial" w:cs="Arial" w:eastAsia="Arial" w:hAnsi="Arial"/>
          <w:b/>
          <w:bCs/>
          <w:color w:val="1B4F72"/>
          <w:sz w:val="32"/>
          <w:szCs w:val="32"/>
        </w:rPr>
        <w:t xml:space="preserve">2. Target Market &amp; Audience</w:t>
      </w:r>
    </w:p>
    <w:p>
      <w:pPr>
        <w:pStyle w:val="Heading2"/>
        <w:spacing w:after="150" w:before="300"/>
      </w:pPr>
      <w:r>
        <w:rPr>
          <w:rFonts w:ascii="Arial" w:cs="Arial" w:eastAsia="Arial" w:hAnsi="Arial"/>
          <w:b/>
          <w:bCs/>
          <w:color w:val="2E86C1"/>
          <w:sz w:val="26"/>
          <w:szCs w:val="26"/>
        </w:rPr>
        <w:t xml:space="preserve">Primary Audience</w:t>
      </w:r>
    </w:p>
    <w:p>
      <w:pPr>
        <w:pStyle w:val="ListParagraph"/>
        <w:numPr>
          <w:ilvl w:val="0"/>
          <w:numId w:val="2"/>
        </w:numPr>
        <w:spacing w:after="60" w:before="60"/>
      </w:pPr>
      <w:r>
        <w:rPr>
          <w:rFonts w:ascii="Arial" w:cs="Arial" w:eastAsia="Arial" w:hAnsi="Arial"/>
          <w:sz w:val="22"/>
          <w:szCs w:val="22"/>
        </w:rPr>
        <w:t xml:space="preserve">Freelance Quantity Surveyors</w:t>
      </w:r>
    </w:p>
    <w:p>
      <w:pPr>
        <w:pStyle w:val="ListParagraph"/>
        <w:numPr>
          <w:ilvl w:val="0"/>
          <w:numId w:val="2"/>
        </w:numPr>
        <w:spacing w:after="60" w:before="60"/>
      </w:pPr>
      <w:r>
        <w:rPr>
          <w:rFonts w:ascii="Arial" w:cs="Arial" w:eastAsia="Arial" w:hAnsi="Arial"/>
          <w:sz w:val="22"/>
          <w:szCs w:val="22"/>
        </w:rPr>
        <w:t xml:space="preserve">Independent Estimators</w:t>
      </w:r>
    </w:p>
    <w:p>
      <w:pPr>
        <w:pStyle w:val="ListParagraph"/>
        <w:numPr>
          <w:ilvl w:val="0"/>
          <w:numId w:val="2"/>
        </w:numPr>
        <w:spacing w:after="60" w:before="60"/>
      </w:pPr>
      <w:r>
        <w:rPr>
          <w:rFonts w:ascii="Arial" w:cs="Arial" w:eastAsia="Arial" w:hAnsi="Arial"/>
          <w:sz w:val="22"/>
          <w:szCs w:val="22"/>
        </w:rPr>
        <w:t xml:space="preserve">QS professionals moving between construction companies</w:t>
      </w:r>
    </w:p>
    <w:p>
      <w:pPr>
        <w:pStyle w:val="ListParagraph"/>
        <w:numPr>
          <w:ilvl w:val="0"/>
          <w:numId w:val="2"/>
        </w:numPr>
        <w:spacing w:after="60" w:before="60"/>
      </w:pPr>
      <w:r>
        <w:rPr>
          <w:rFonts w:ascii="Arial" w:cs="Arial" w:eastAsia="Arial" w:hAnsi="Arial"/>
          <w:sz w:val="22"/>
          <w:szCs w:val="22"/>
        </w:rPr>
        <w:t xml:space="preserve">Graduate QS professionals entering the industry</w:t>
      </w:r>
    </w:p>
    <w:p>
      <w:pPr>
        <w:spacing w:after="100" w:before="100"/>
      </w:pPr>
      <w:r>
        <w:t xml:space="preserve"/>
      </w:r>
    </w:p>
    <w:p>
      <w:pPr>
        <w:pStyle w:val="Heading2"/>
        <w:spacing w:after="150" w:before="300"/>
      </w:pPr>
      <w:r>
        <w:rPr>
          <w:rFonts w:ascii="Arial" w:cs="Arial" w:eastAsia="Arial" w:hAnsi="Arial"/>
          <w:b/>
          <w:bCs/>
          <w:color w:val="2E86C1"/>
          <w:sz w:val="26"/>
          <w:szCs w:val="26"/>
        </w:rPr>
        <w:t xml:space="preserve">Secondary Audience</w:t>
      </w:r>
    </w:p>
    <w:p>
      <w:pPr>
        <w:pStyle w:val="ListParagraph"/>
        <w:numPr>
          <w:ilvl w:val="0"/>
          <w:numId w:val="2"/>
        </w:numPr>
        <w:spacing w:after="60" w:before="60"/>
      </w:pPr>
      <w:r>
        <w:rPr>
          <w:rFonts w:ascii="Arial" w:cs="Arial" w:eastAsia="Arial" w:hAnsi="Arial"/>
          <w:sz w:val="22"/>
          <w:szCs w:val="22"/>
        </w:rPr>
        <w:t xml:space="preserve">Small to medium construction companies</w:t>
      </w:r>
    </w:p>
    <w:p>
      <w:pPr>
        <w:pStyle w:val="ListParagraph"/>
        <w:numPr>
          <w:ilvl w:val="0"/>
          <w:numId w:val="2"/>
        </w:numPr>
        <w:spacing w:after="60" w:before="60"/>
      </w:pPr>
      <w:r>
        <w:rPr>
          <w:rFonts w:ascii="Arial" w:cs="Arial" w:eastAsia="Arial" w:hAnsi="Arial"/>
          <w:sz w:val="22"/>
          <w:szCs w:val="22"/>
        </w:rPr>
        <w:t xml:space="preserve">Subcontractors who self-estimate</w:t>
      </w:r>
    </w:p>
    <w:p>
      <w:pPr>
        <w:pStyle w:val="ListParagraph"/>
        <w:numPr>
          <w:ilvl w:val="0"/>
          <w:numId w:val="2"/>
        </w:numPr>
        <w:spacing w:after="60" w:before="60"/>
      </w:pPr>
      <w:r>
        <w:rPr>
          <w:rFonts w:ascii="Arial" w:cs="Arial" w:eastAsia="Arial" w:hAnsi="Arial"/>
          <w:sz w:val="22"/>
          <w:szCs w:val="22"/>
        </w:rPr>
        <w:t xml:space="preserve">Construction project managers overseeing quantity takeoffs</w:t>
      </w:r>
    </w:p>
    <w:p>
      <w:pPr>
        <w:spacing w:after="100" w:before="100"/>
      </w:pPr>
      <w:r>
        <w:t xml:space="preserve"/>
      </w:r>
    </w:p>
    <w:p>
      <w:pPr>
        <w:pStyle w:val="Heading2"/>
        <w:spacing w:after="150" w:before="300"/>
      </w:pPr>
      <w:r>
        <w:rPr>
          <w:rFonts w:ascii="Arial" w:cs="Arial" w:eastAsia="Arial" w:hAnsi="Arial"/>
          <w:b/>
          <w:bCs/>
          <w:color w:val="2E86C1"/>
          <w:sz w:val="26"/>
          <w:szCs w:val="26"/>
        </w:rPr>
        <w:t xml:space="preserve">Geographic Focus</w:t>
      </w:r>
    </w:p>
    <w:p>
      <w:pPr>
        <w:pStyle w:val="ListParagraph"/>
        <w:numPr>
          <w:ilvl w:val="0"/>
          <w:numId w:val="2"/>
        </w:numPr>
        <w:spacing w:after="60" w:before="60"/>
      </w:pPr>
      <w:r>
        <w:rPr>
          <w:rFonts w:ascii="Arial" w:cs="Arial" w:eastAsia="Arial" w:hAnsi="Arial"/>
          <w:sz w:val="22"/>
          <w:szCs w:val="22"/>
        </w:rPr>
        <w:t xml:space="preserve">Australia — primary market (AIQS standard built in as foundation)</w:t>
      </w:r>
    </w:p>
    <w:p>
      <w:pPr>
        <w:pStyle w:val="ListParagraph"/>
        <w:numPr>
          <w:ilvl w:val="0"/>
          <w:numId w:val="2"/>
        </w:numPr>
        <w:spacing w:after="60" w:before="60"/>
      </w:pPr>
      <w:r>
        <w:rPr>
          <w:rFonts w:ascii="Arial" w:cs="Arial" w:eastAsia="Arial" w:hAnsi="Arial"/>
          <w:sz w:val="22"/>
          <w:szCs w:val="22"/>
        </w:rPr>
        <w:t xml:space="preserve">United Kingdom — secondary market (NRM2 standard)</w:t>
      </w:r>
    </w:p>
    <w:p>
      <w:pPr>
        <w:pStyle w:val="ListParagraph"/>
        <w:numPr>
          <w:ilvl w:val="0"/>
          <w:numId w:val="2"/>
        </w:numPr>
        <w:spacing w:after="60" w:before="60"/>
      </w:pPr>
      <w:r>
        <w:rPr>
          <w:rFonts w:ascii="Arial" w:cs="Arial" w:eastAsia="Arial" w:hAnsi="Arial"/>
          <w:sz w:val="22"/>
          <w:szCs w:val="22"/>
        </w:rPr>
        <w:t xml:space="preserve">South Africa — tertiary market (ASAQS standard)</w:t>
      </w:r>
    </w:p>
    <w:p>
      <w:pPr>
        <w:pStyle w:val="ListParagraph"/>
        <w:numPr>
          <w:ilvl w:val="0"/>
          <w:numId w:val="2"/>
        </w:numPr>
        <w:spacing w:after="60" w:before="60"/>
      </w:pPr>
      <w:r>
        <w:rPr>
          <w:rFonts w:ascii="Arial" w:cs="Arial" w:eastAsia="Arial" w:hAnsi="Arial"/>
          <w:sz w:val="22"/>
          <w:szCs w:val="22"/>
        </w:rPr>
        <w:t xml:space="preserve">New Zealand — tertiary market</w:t>
      </w:r>
    </w:p>
    <w:p>
      <w:pPr>
        <w:spacing w:after="100" w:before="100"/>
      </w:pPr>
      <w:r>
        <w:t xml:space="preserve"/>
      </w:r>
    </w:p>
    <w:p>
      <w:pPr>
        <w:pStyle w:val="Heading1"/>
        <w:pBdr>
          <w:bottom w:val="single" w:color="1B4F72" w:sz="6" w:space="1"/>
        </w:pBdr>
        <w:spacing w:after="200" w:before="400"/>
      </w:pPr>
      <w:r>
        <w:rPr>
          <w:rFonts w:ascii="Arial" w:cs="Arial" w:eastAsia="Arial" w:hAnsi="Arial"/>
          <w:b/>
          <w:bCs/>
          <w:color w:val="1B4F72"/>
          <w:sz w:val="32"/>
          <w:szCs w:val="32"/>
        </w:rPr>
        <w:t xml:space="preserve">3. The Problem</w:t>
      </w:r>
    </w:p>
    <w:p>
      <w:pPr>
        <w:pStyle w:val="Heading2"/>
        <w:spacing w:after="150" w:before="300"/>
      </w:pPr>
      <w:r>
        <w:rPr>
          <w:rFonts w:ascii="Arial" w:cs="Arial" w:eastAsia="Arial" w:hAnsi="Arial"/>
          <w:b/>
          <w:bCs/>
          <w:color w:val="2E86C1"/>
          <w:sz w:val="26"/>
          <w:szCs w:val="26"/>
        </w:rPr>
        <w:t xml:space="preserve">3.1 Knowledge is Not Portable</w:t>
      </w:r>
    </w:p>
    <w:p>
      <w:pPr>
        <w:spacing w:after="100" w:before="100"/>
      </w:pPr>
      <w:r>
        <w:rPr>
          <w:rFonts w:ascii="Arial" w:cs="Arial" w:eastAsia="Arial" w:hAnsi="Arial"/>
          <w:sz w:val="22"/>
          <w:szCs w:val="22"/>
        </w:rPr>
        <w:t xml:space="preserve">Every QS and Estimator builds their own Excel template over years of experience. This template is their personal knowledge base — their recipes, their methods, their way of working. When they move to a new company, that template either does not fit the new company's way of working, or does not exist at the new company at all. The estimator starts from scratch. Weeks are lost rebuilding what they already knew.</w:t>
      </w:r>
    </w:p>
    <w:p>
      <w:pPr>
        <w:spacing w:after="100" w:before="100"/>
      </w:pPr>
      <w:r>
        <w:t xml:space="preserve"/>
      </w:r>
    </w:p>
    <w:p>
      <w:pPr>
        <w:pStyle w:val="Heading2"/>
        <w:spacing w:after="150" w:before="300"/>
      </w:pPr>
      <w:r>
        <w:rPr>
          <w:rFonts w:ascii="Arial" w:cs="Arial" w:eastAsia="Arial" w:hAnsi="Arial"/>
          <w:b/>
          <w:bCs/>
          <w:color w:val="2E86C1"/>
          <w:sz w:val="26"/>
          <w:szCs w:val="26"/>
        </w:rPr>
        <w:t xml:space="preserve">3.2 No Standard Process</w:t>
      </w:r>
    </w:p>
    <w:p>
      <w:pPr>
        <w:spacing w:after="100" w:before="100"/>
      </w:pPr>
      <w:r>
        <w:rPr>
          <w:rFonts w:ascii="Arial" w:cs="Arial" w:eastAsia="Arial" w:hAnsi="Arial"/>
          <w:sz w:val="22"/>
          <w:szCs w:val="22"/>
        </w:rPr>
        <w:t xml:space="preserve">Every estimator does it differently. There is no consistent quantification method across a team. Numbers cannot be explained or traced. When a senior estimator leaves, their knowledge leaves with them. Junior staff have no foundation to build on.</w:t>
      </w:r>
    </w:p>
    <w:p>
      <w:pPr>
        <w:spacing w:after="100" w:before="100"/>
      </w:pPr>
      <w:r>
        <w:t xml:space="preserve"/>
      </w:r>
    </w:p>
    <w:p>
      <w:pPr>
        <w:pStyle w:val="Heading2"/>
        <w:spacing w:after="150" w:before="300"/>
      </w:pPr>
      <w:r>
        <w:rPr>
          <w:rFonts w:ascii="Arial" w:cs="Arial" w:eastAsia="Arial" w:hAnsi="Arial"/>
          <w:b/>
          <w:bCs/>
          <w:color w:val="2E86C1"/>
          <w:sz w:val="26"/>
          <w:szCs w:val="26"/>
        </w:rPr>
        <w:t xml:space="preserve">3.3 Items Get Missed</w:t>
      </w:r>
    </w:p>
    <w:p>
      <w:pPr>
        <w:spacing w:after="100" w:before="100"/>
      </w:pPr>
      <w:r>
        <w:rPr>
          <w:rFonts w:ascii="Arial" w:cs="Arial" w:eastAsia="Arial" w:hAnsi="Arial"/>
          <w:sz w:val="22"/>
          <w:szCs w:val="22"/>
        </w:rPr>
        <w:t xml:space="preserve">Relying on memory and experience alone is not enough. Items get missed. Under-ordering causes project delays. Variation orders are raised. Disputes follow. Reputation is damaged. All because there was no safety net to catch what was forgotten.</w:t>
      </w:r>
    </w:p>
    <w:p>
      <w:pPr>
        <w:spacing w:after="100" w:before="100"/>
      </w:pPr>
      <w:r>
        <w:t xml:space="preserve"/>
      </w:r>
    </w:p>
    <w:p>
      <w:pPr>
        <w:pStyle w:val="Heading2"/>
        <w:spacing w:after="150" w:before="300"/>
      </w:pPr>
      <w:r>
        <w:rPr>
          <w:rFonts w:ascii="Arial" w:cs="Arial" w:eastAsia="Arial" w:hAnsi="Arial"/>
          <w:b/>
          <w:bCs/>
          <w:color w:val="2E86C1"/>
          <w:sz w:val="26"/>
          <w:szCs w:val="26"/>
        </w:rPr>
        <w:t xml:space="preserve">3.4 Double Entry &amp; Manual Processes</w:t>
      </w:r>
    </w:p>
    <w:p>
      <w:pPr>
        <w:spacing w:after="100" w:before="100"/>
      </w:pPr>
      <w:r>
        <w:rPr>
          <w:rFonts w:ascii="Arial" w:cs="Arial" w:eastAsia="Arial" w:hAnsi="Arial"/>
          <w:sz w:val="22"/>
          <w:szCs w:val="22"/>
        </w:rPr>
        <w:t xml:space="preserve">Estimators measure in Excel, then manually punch the same numbers into a pricing system. Then save as PDF. Then attach to an email. Every step is manual. Every step is a chance for error. Every step wastes time.</w:t>
      </w:r>
    </w:p>
    <w:p>
      <w:pPr>
        <w:spacing w:after="100" w:before="100"/>
      </w:pPr>
      <w:r>
        <w:t xml:space="preserve"/>
      </w:r>
    </w:p>
    <w:p>
      <w:pPr>
        <w:pStyle w:val="Heading1"/>
        <w:pBdr>
          <w:bottom w:val="single" w:color="1B4F72" w:sz="6" w:space="1"/>
        </w:pBdr>
        <w:spacing w:after="200" w:before="400"/>
      </w:pPr>
      <w:r>
        <w:rPr>
          <w:rFonts w:ascii="Arial" w:cs="Arial" w:eastAsia="Arial" w:hAnsi="Arial"/>
          <w:b/>
          <w:bCs/>
          <w:color w:val="1B4F72"/>
          <w:sz w:val="32"/>
          <w:szCs w:val="32"/>
        </w:rPr>
        <w:t xml:space="preserve">4. The Cost of the Problem</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Affected Party</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Cost Incurred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Estimator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Weeks lost rebuilding templates at every new company</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Estimator</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Reputation damaged from missed items and incorrect quantities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Estimator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Stress and uncertainty when starting from scratch</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Company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Project delays from under-ordered materials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Company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Budget overruns from over-ordered materials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Company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Variation orders raised from missed items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Company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Legal disputes from unresolved quantity discrepancies</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Project</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Programme delays affecting client delivery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Project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Client dissatisfaction and loss of future work</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Industry</w:t>
            </w:r>
          </w:p>
        </w:tc>
        <w:tc>
          <w:tcPr>
            <w:tcW w:type="dxa" w:w="62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No standardised method creating systemic inefficiency</w:t>
            </w:r>
          </w:p>
        </w:tc>
      </w:tr>
    </w:tbl>
    <w:p>
      <w:pPr>
        <w:spacing w:after="100" w:before="100"/>
      </w:pPr>
      <w:r>
        <w:t xml:space="preserve"/>
      </w:r>
    </w:p>
    <w:p>
      <w:pPr>
        <w:pStyle w:val="Heading1"/>
        <w:pBdr>
          <w:bottom w:val="single" w:color="1B4F72" w:sz="6" w:space="1"/>
        </w:pBdr>
        <w:spacing w:after="200" w:before="400"/>
      </w:pPr>
      <w:r>
        <w:rPr>
          <w:rFonts w:ascii="Arial" w:cs="Arial" w:eastAsia="Arial" w:hAnsi="Arial"/>
          <w:b/>
          <w:bCs/>
          <w:color w:val="1B4F72"/>
          <w:sz w:val="32"/>
          <w:szCs w:val="32"/>
        </w:rPr>
        <w:t xml:space="preserve">5. The Solution — Quanta</w:t>
      </w:r>
    </w:p>
    <w:p>
      <w:pPr>
        <w:spacing w:after="100" w:before="100"/>
      </w:pPr>
      <w:r>
        <w:rPr>
          <w:rFonts w:ascii="Arial" w:cs="Arial" w:eastAsia="Arial" w:hAnsi="Arial"/>
          <w:sz w:val="22"/>
          <w:szCs w:val="22"/>
        </w:rPr>
        <w:t xml:space="preserve">Quanta is a portable, intelligent, AI-assisted personal QS platform. It gives every estimator a personal knowledge base that travels with them to every company they work for — standardising their process, protecting their recipes, guiding their takeoffs and ensuring nothing gets missed.</w:t>
      </w:r>
    </w:p>
    <w:p>
      <w:pPr>
        <w:spacing w:after="100" w:before="100"/>
      </w:pPr>
      <w:r>
        <w:t xml:space="preserve"/>
      </w:r>
    </w:p>
    <w:p>
      <w:pPr>
        <w:pStyle w:val="Heading2"/>
        <w:spacing w:after="150" w:before="300"/>
      </w:pPr>
      <w:r>
        <w:rPr>
          <w:rFonts w:ascii="Arial" w:cs="Arial" w:eastAsia="Arial" w:hAnsi="Arial"/>
          <w:b/>
          <w:bCs/>
          <w:color w:val="2E86C1"/>
          <w:sz w:val="26"/>
          <w:szCs w:val="26"/>
        </w:rPr>
        <w:t xml:space="preserve">5.1 Personal Recipe Library</w:t>
      </w:r>
    </w:p>
    <w:p>
      <w:pPr>
        <w:spacing w:after="100" w:before="100"/>
      </w:pPr>
      <w:r>
        <w:rPr>
          <w:rFonts w:ascii="Arial" w:cs="Arial" w:eastAsia="Arial" w:hAnsi="Arial"/>
          <w:sz w:val="22"/>
          <w:szCs w:val="22"/>
        </w:rPr>
        <w:t xml:space="preserve">John builds his recipe library once. Every recipe defines exactly how many materials, labour items and overheads go into one unit of work. This library belongs to John — it travels with him to every company he works for. It grows richer with every project he completes.</w:t>
      </w:r>
    </w:p>
    <w:p>
      <w:pPr>
        <w:spacing w:after="100" w:before="100"/>
      </w:pPr>
      <w:r>
        <w:t xml:space="preserve"/>
      </w:r>
    </w:p>
    <w:p>
      <w:pPr>
        <w:pStyle w:val="Heading2"/>
        <w:spacing w:after="150" w:before="300"/>
      </w:pPr>
      <w:r>
        <w:rPr>
          <w:rFonts w:ascii="Arial" w:cs="Arial" w:eastAsia="Arial" w:hAnsi="Arial"/>
          <w:b/>
          <w:bCs/>
          <w:color w:val="2E86C1"/>
          <w:sz w:val="26"/>
          <w:szCs w:val="26"/>
        </w:rPr>
        <w:t xml:space="preserve">5.2 Company Portfolios</w:t>
      </w:r>
    </w:p>
    <w:p>
      <w:pPr>
        <w:spacing w:after="100" w:before="100"/>
      </w:pPr>
      <w:r>
        <w:rPr>
          <w:rFonts w:ascii="Arial" w:cs="Arial" w:eastAsia="Arial" w:hAnsi="Arial"/>
          <w:sz w:val="22"/>
          <w:szCs w:val="22"/>
        </w:rPr>
        <w:t xml:space="preserve">When John starts at a new company, he creates a portfolio. He inherits his personal recipes and adjusts them to match the company's way of working — different materials, additional items, different trade codes. Setup takes days not weeks. After that, every project at that company is instant.</w:t>
      </w:r>
    </w:p>
    <w:p>
      <w:pPr>
        <w:spacing w:after="100" w:before="100"/>
      </w:pPr>
      <w:r>
        <w:t xml:space="preserve"/>
      </w:r>
    </w:p>
    <w:p>
      <w:pPr>
        <w:pStyle w:val="Heading2"/>
        <w:spacing w:after="150" w:before="300"/>
      </w:pPr>
      <w:r>
        <w:rPr>
          <w:rFonts w:ascii="Arial" w:cs="Arial" w:eastAsia="Arial" w:hAnsi="Arial"/>
          <w:b/>
          <w:bCs/>
          <w:color w:val="2E86C1"/>
          <w:sz w:val="26"/>
          <w:szCs w:val="26"/>
        </w:rPr>
        <w:t xml:space="preserve">5.3 Takeoff Engine</w:t>
      </w:r>
    </w:p>
    <w:p>
      <w:pPr>
        <w:spacing w:after="100" w:before="100"/>
      </w:pPr>
      <w:r>
        <w:rPr>
          <w:rFonts w:ascii="Arial" w:cs="Arial" w:eastAsia="Arial" w:hAnsi="Arial"/>
          <w:sz w:val="22"/>
          <w:szCs w:val="22"/>
        </w:rPr>
        <w:t xml:space="preserve">John inputs one measurement. Quanta calculates everything. Every material, every labour item, every overhead — all calculated automatically using the recipe. No manual calculation. No double entry. One number in, everything out.</w:t>
      </w:r>
    </w:p>
    <w:p>
      <w:pPr>
        <w:spacing w:after="100" w:before="100"/>
      </w:pPr>
      <w:r>
        <w:t xml:space="preserve"/>
      </w:r>
    </w:p>
    <w:p>
      <w:pPr>
        <w:pStyle w:val="Heading2"/>
        <w:spacing w:after="150" w:before="300"/>
      </w:pPr>
      <w:r>
        <w:rPr>
          <w:rFonts w:ascii="Arial" w:cs="Arial" w:eastAsia="Arial" w:hAnsi="Arial"/>
          <w:b/>
          <w:bCs/>
          <w:color w:val="2E86C1"/>
          <w:sz w:val="26"/>
          <w:szCs w:val="26"/>
        </w:rPr>
        <w:t xml:space="preserve">5.4 AI Assistant</w:t>
      </w:r>
    </w:p>
    <w:p>
      <w:pPr>
        <w:spacing w:after="100" w:before="100"/>
      </w:pPr>
      <w:r>
        <w:rPr>
          <w:rFonts w:ascii="Arial" w:cs="Arial" w:eastAsia="Arial" w:hAnsi="Arial"/>
          <w:sz w:val="22"/>
          <w:szCs w:val="22"/>
        </w:rPr>
        <w:t xml:space="preserve">Quanta's AI assistant reads company documents, policies and quantification methods. It answers questions about company policy, project data and construction standards. When John completes a section and hits confirm, the AI reviews his work and flags any missing items before he moves on.</w:t>
      </w:r>
    </w:p>
    <w:p>
      <w:pPr>
        <w:spacing w:after="100" w:before="100"/>
      </w:pPr>
      <w:r>
        <w:t xml:space="preserve"/>
      </w:r>
    </w:p>
    <w:p>
      <w:pPr>
        <w:pStyle w:val="Heading2"/>
        <w:spacing w:after="150" w:before="300"/>
      </w:pPr>
      <w:r>
        <w:rPr>
          <w:rFonts w:ascii="Arial" w:cs="Arial" w:eastAsia="Arial" w:hAnsi="Arial"/>
          <w:b/>
          <w:bCs/>
          <w:color w:val="2E86C1"/>
          <w:sz w:val="26"/>
          <w:szCs w:val="26"/>
        </w:rPr>
        <w:t xml:space="preserve">5.5 BOQ Export</w:t>
      </w:r>
    </w:p>
    <w:p>
      <w:pPr>
        <w:spacing w:after="100" w:before="100"/>
      </w:pPr>
      <w:r>
        <w:rPr>
          <w:rFonts w:ascii="Arial" w:cs="Arial" w:eastAsia="Arial" w:hAnsi="Arial"/>
          <w:sz w:val="22"/>
          <w:szCs w:val="22"/>
        </w:rPr>
        <w:t xml:space="preserve">When John finishes a takeoff, Quanta generates a clean, professional Bill of Quantities PDF — organised by trade code, no pricing, ready to submit to any company pricing system. One click. Professional output. Every time.</w:t>
      </w:r>
    </w:p>
    <w:p>
      <w:pPr>
        <w:spacing w:after="100" w:before="100"/>
      </w:pPr>
      <w:r>
        <w:t xml:space="preserve"/>
      </w:r>
    </w:p>
    <w:p>
      <w:pPr>
        <w:pStyle w:val="Heading1"/>
        <w:pBdr>
          <w:bottom w:val="single" w:color="1B4F72" w:sz="6" w:space="1"/>
        </w:pBdr>
        <w:spacing w:after="200" w:before="400"/>
      </w:pPr>
      <w:r>
        <w:rPr>
          <w:rFonts w:ascii="Arial" w:cs="Arial" w:eastAsia="Arial" w:hAnsi="Arial"/>
          <w:b/>
          <w:bCs/>
          <w:color w:val="1B4F72"/>
          <w:sz w:val="32"/>
          <w:szCs w:val="32"/>
        </w:rPr>
        <w:t xml:space="preserve">6. Life After Quanta</w:t>
      </w:r>
    </w:p>
    <w:p>
      <w:pPr>
        <w:pStyle w:val="Heading2"/>
        <w:spacing w:after="150" w:before="300"/>
      </w:pPr>
      <w:r>
        <w:rPr>
          <w:rFonts w:ascii="Arial" w:cs="Arial" w:eastAsia="Arial" w:hAnsi="Arial"/>
          <w:b/>
          <w:bCs/>
          <w:color w:val="2E86C1"/>
          <w:sz w:val="26"/>
          <w:szCs w:val="26"/>
        </w:rPr>
        <w:t xml:space="preserve">For the Estimator</w:t>
      </w:r>
    </w:p>
    <w:p>
      <w:pPr>
        <w:pStyle w:val="ListParagraph"/>
        <w:numPr>
          <w:ilvl w:val="0"/>
          <w:numId w:val="2"/>
        </w:numPr>
        <w:spacing w:after="60" w:before="60"/>
      </w:pPr>
      <w:r>
        <w:rPr>
          <w:rFonts w:ascii="Arial" w:cs="Arial" w:eastAsia="Arial" w:hAnsi="Arial"/>
          <w:sz w:val="22"/>
          <w:szCs w:val="22"/>
        </w:rPr>
        <w:t xml:space="preserve">Personal recipe library built once — used forever across every company</w:t>
      </w:r>
    </w:p>
    <w:p>
      <w:pPr>
        <w:pStyle w:val="ListParagraph"/>
        <w:numPr>
          <w:ilvl w:val="0"/>
          <w:numId w:val="2"/>
        </w:numPr>
        <w:spacing w:after="60" w:before="60"/>
      </w:pPr>
      <w:r>
        <w:rPr>
          <w:rFonts w:ascii="Arial" w:cs="Arial" w:eastAsia="Arial" w:hAnsi="Arial"/>
          <w:sz w:val="22"/>
          <w:szCs w:val="22"/>
        </w:rPr>
        <w:t xml:space="preserve">New company portfolio set up in days not weeks</w:t>
      </w:r>
    </w:p>
    <w:p>
      <w:pPr>
        <w:pStyle w:val="ListParagraph"/>
        <w:numPr>
          <w:ilvl w:val="0"/>
          <w:numId w:val="2"/>
        </w:numPr>
        <w:spacing w:after="60" w:before="60"/>
      </w:pPr>
      <w:r>
        <w:rPr>
          <w:rFonts w:ascii="Arial" w:cs="Arial" w:eastAsia="Arial" w:hAnsi="Arial"/>
          <w:sz w:val="22"/>
          <w:szCs w:val="22"/>
        </w:rPr>
        <w:t xml:space="preserve">Nothing missed — AI reviews every section before moving on</w:t>
      </w:r>
    </w:p>
    <w:p>
      <w:pPr>
        <w:pStyle w:val="ListParagraph"/>
        <w:numPr>
          <w:ilvl w:val="0"/>
          <w:numId w:val="2"/>
        </w:numPr>
        <w:spacing w:after="60" w:before="60"/>
      </w:pPr>
      <w:r>
        <w:rPr>
          <w:rFonts w:ascii="Arial" w:cs="Arial" w:eastAsia="Arial" w:hAnsi="Arial"/>
          <w:sz w:val="22"/>
          <w:szCs w:val="22"/>
        </w:rPr>
        <w:t xml:space="preserve">Every quantity traceable back to its measurement and recipe</w:t>
      </w:r>
    </w:p>
    <w:p>
      <w:pPr>
        <w:pStyle w:val="ListParagraph"/>
        <w:numPr>
          <w:ilvl w:val="0"/>
          <w:numId w:val="2"/>
        </w:numPr>
        <w:spacing w:after="60" w:before="60"/>
      </w:pPr>
      <w:r>
        <w:rPr>
          <w:rFonts w:ascii="Arial" w:cs="Arial" w:eastAsia="Arial" w:hAnsi="Arial"/>
          <w:sz w:val="22"/>
          <w:szCs w:val="22"/>
        </w:rPr>
        <w:t xml:space="preserve">Professional BOQ output generated in one click</w:t>
      </w:r>
    </w:p>
    <w:p>
      <w:pPr>
        <w:pStyle w:val="ListParagraph"/>
        <w:numPr>
          <w:ilvl w:val="0"/>
          <w:numId w:val="2"/>
        </w:numPr>
        <w:spacing w:after="60" w:before="60"/>
      </w:pPr>
      <w:r>
        <w:rPr>
          <w:rFonts w:ascii="Arial" w:cs="Arial" w:eastAsia="Arial" w:hAnsi="Arial"/>
          <w:sz w:val="22"/>
          <w:szCs w:val="22"/>
        </w:rPr>
        <w:t xml:space="preserve">Confidence in every submission — backed by data and AI review</w:t>
      </w:r>
    </w:p>
    <w:p>
      <w:pPr>
        <w:spacing w:after="100" w:before="100"/>
      </w:pPr>
      <w:r>
        <w:t xml:space="preserve"/>
      </w:r>
    </w:p>
    <w:p>
      <w:pPr>
        <w:pStyle w:val="Heading2"/>
        <w:spacing w:after="150" w:before="300"/>
      </w:pPr>
      <w:r>
        <w:rPr>
          <w:rFonts w:ascii="Arial" w:cs="Arial" w:eastAsia="Arial" w:hAnsi="Arial"/>
          <w:b/>
          <w:bCs/>
          <w:color w:val="2E86C1"/>
          <w:sz w:val="26"/>
          <w:szCs w:val="26"/>
        </w:rPr>
        <w:t xml:space="preserve">For the Company</w:t>
      </w:r>
    </w:p>
    <w:p>
      <w:pPr>
        <w:pStyle w:val="ListParagraph"/>
        <w:numPr>
          <w:ilvl w:val="0"/>
          <w:numId w:val="2"/>
        </w:numPr>
        <w:spacing w:after="60" w:before="60"/>
      </w:pPr>
      <w:r>
        <w:rPr>
          <w:rFonts w:ascii="Arial" w:cs="Arial" w:eastAsia="Arial" w:hAnsi="Arial"/>
          <w:sz w:val="22"/>
          <w:szCs w:val="22"/>
        </w:rPr>
        <w:t xml:space="preserve">Consistent quantities across all estimators on the team</w:t>
      </w:r>
    </w:p>
    <w:p>
      <w:pPr>
        <w:pStyle w:val="ListParagraph"/>
        <w:numPr>
          <w:ilvl w:val="0"/>
          <w:numId w:val="2"/>
        </w:numPr>
        <w:spacing w:after="60" w:before="60"/>
      </w:pPr>
      <w:r>
        <w:rPr>
          <w:rFonts w:ascii="Arial" w:cs="Arial" w:eastAsia="Arial" w:hAnsi="Arial"/>
          <w:sz w:val="22"/>
          <w:szCs w:val="22"/>
        </w:rPr>
        <w:t xml:space="preserve">Standardised quantification process company wide</w:t>
      </w:r>
    </w:p>
    <w:p>
      <w:pPr>
        <w:pStyle w:val="ListParagraph"/>
        <w:numPr>
          <w:ilvl w:val="0"/>
          <w:numId w:val="2"/>
        </w:numPr>
        <w:spacing w:after="60" w:before="60"/>
      </w:pPr>
      <w:r>
        <w:rPr>
          <w:rFonts w:ascii="Arial" w:cs="Arial" w:eastAsia="Arial" w:hAnsi="Arial"/>
          <w:sz w:val="22"/>
          <w:szCs w:val="22"/>
        </w:rPr>
        <w:t xml:space="preserve">Full audit trail on every number — who changed what and when</w:t>
      </w:r>
    </w:p>
    <w:p>
      <w:pPr>
        <w:pStyle w:val="ListParagraph"/>
        <w:numPr>
          <w:ilvl w:val="0"/>
          <w:numId w:val="2"/>
        </w:numPr>
        <w:spacing w:after="60" w:before="60"/>
      </w:pPr>
      <w:r>
        <w:rPr>
          <w:rFonts w:ascii="Arial" w:cs="Arial" w:eastAsia="Arial" w:hAnsi="Arial"/>
          <w:sz w:val="22"/>
          <w:szCs w:val="22"/>
        </w:rPr>
        <w:t xml:space="preserve">Fewer variation orders raised on site</w:t>
      </w:r>
    </w:p>
    <w:p>
      <w:pPr>
        <w:pStyle w:val="ListParagraph"/>
        <w:numPr>
          <w:ilvl w:val="0"/>
          <w:numId w:val="2"/>
        </w:numPr>
        <w:spacing w:after="60" w:before="60"/>
      </w:pPr>
      <w:r>
        <w:rPr>
          <w:rFonts w:ascii="Arial" w:cs="Arial" w:eastAsia="Arial" w:hAnsi="Arial"/>
          <w:sz w:val="22"/>
          <w:szCs w:val="22"/>
        </w:rPr>
        <w:t xml:space="preserve">Fewer disputes from quantity discrepancies</w:t>
      </w:r>
    </w:p>
    <w:p>
      <w:pPr>
        <w:pStyle w:val="ListParagraph"/>
        <w:numPr>
          <w:ilvl w:val="0"/>
          <w:numId w:val="2"/>
        </w:numPr>
        <w:spacing w:after="60" w:before="60"/>
      </w:pPr>
      <w:r>
        <w:rPr>
          <w:rFonts w:ascii="Arial" w:cs="Arial" w:eastAsia="Arial" w:hAnsi="Arial"/>
          <w:sz w:val="22"/>
          <w:szCs w:val="22"/>
        </w:rPr>
        <w:t xml:space="preserve">Projects delivered on budget and on programme</w:t>
      </w:r>
    </w:p>
    <w:p>
      <w:pPr>
        <w:spacing w:after="100" w:before="100"/>
      </w:pPr>
      <w:r>
        <w:t xml:space="preserve"/>
      </w:r>
    </w:p>
    <w:p>
      <w:pPr>
        <w:pStyle w:val="Heading2"/>
        <w:spacing w:after="150" w:before="300"/>
      </w:pPr>
      <w:r>
        <w:rPr>
          <w:rFonts w:ascii="Arial" w:cs="Arial" w:eastAsia="Arial" w:hAnsi="Arial"/>
          <w:b/>
          <w:bCs/>
          <w:color w:val="2E86C1"/>
          <w:sz w:val="26"/>
          <w:szCs w:val="26"/>
        </w:rPr>
        <w:t xml:space="preserve">For the Project</w:t>
      </w:r>
    </w:p>
    <w:p>
      <w:pPr>
        <w:pStyle w:val="ListParagraph"/>
        <w:numPr>
          <w:ilvl w:val="0"/>
          <w:numId w:val="2"/>
        </w:numPr>
        <w:spacing w:after="60" w:before="60"/>
      </w:pPr>
      <w:r>
        <w:rPr>
          <w:rFonts w:ascii="Arial" w:cs="Arial" w:eastAsia="Arial" w:hAnsi="Arial"/>
          <w:sz w:val="22"/>
          <w:szCs w:val="22"/>
        </w:rPr>
        <w:t xml:space="preserve">Right materials ordered first time — no delays from under-ordering</w:t>
      </w:r>
    </w:p>
    <w:p>
      <w:pPr>
        <w:pStyle w:val="ListParagraph"/>
        <w:numPr>
          <w:ilvl w:val="0"/>
          <w:numId w:val="2"/>
        </w:numPr>
        <w:spacing w:after="60" w:before="60"/>
      </w:pPr>
      <w:r>
        <w:rPr>
          <w:rFonts w:ascii="Arial" w:cs="Arial" w:eastAsia="Arial" w:hAnsi="Arial"/>
          <w:sz w:val="22"/>
          <w:szCs w:val="22"/>
        </w:rPr>
        <w:t xml:space="preserve">No budget waste from over-ordering</w:t>
      </w:r>
    </w:p>
    <w:p>
      <w:pPr>
        <w:pStyle w:val="ListParagraph"/>
        <w:numPr>
          <w:ilvl w:val="0"/>
          <w:numId w:val="2"/>
        </w:numPr>
        <w:spacing w:after="60" w:before="60"/>
      </w:pPr>
      <w:r>
        <w:rPr>
          <w:rFonts w:ascii="Arial" w:cs="Arial" w:eastAsia="Arial" w:hAnsi="Arial"/>
          <w:sz w:val="22"/>
          <w:szCs w:val="22"/>
        </w:rPr>
        <w:t xml:space="preserve">Client receives what they paid for</w:t>
      </w:r>
    </w:p>
    <w:p>
      <w:pPr>
        <w:pStyle w:val="ListParagraph"/>
        <w:numPr>
          <w:ilvl w:val="0"/>
          <w:numId w:val="2"/>
        </w:numPr>
        <w:spacing w:after="60" w:before="60"/>
      </w:pPr>
      <w:r>
        <w:rPr>
          <w:rFonts w:ascii="Arial" w:cs="Arial" w:eastAsia="Arial" w:hAnsi="Arial"/>
          <w:sz w:val="22"/>
          <w:szCs w:val="22"/>
        </w:rPr>
        <w:t xml:space="preserve">Programme protected from quantity related disruptions</w:t>
      </w:r>
    </w:p>
    <w:p>
      <w:pPr>
        <w:spacing w:after="100" w:before="100"/>
      </w:pPr>
      <w:r>
        <w:t xml:space="preserve"/>
      </w:r>
    </w:p>
    <w:p>
      <w:pPr>
        <w:pStyle w:val="Heading1"/>
        <w:pBdr>
          <w:bottom w:val="single" w:color="1B4F72" w:sz="6" w:space="1"/>
        </w:pBdr>
        <w:spacing w:after="200" w:before="400"/>
      </w:pPr>
      <w:r>
        <w:rPr>
          <w:rFonts w:ascii="Arial" w:cs="Arial" w:eastAsia="Arial" w:hAnsi="Arial"/>
          <w:b/>
          <w:bCs/>
          <w:color w:val="1B4F72"/>
          <w:sz w:val="32"/>
          <w:szCs w:val="32"/>
        </w:rPr>
        <w:t xml:space="preserve">7. Technology Stack</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Layer</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40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Frontend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React + Vite + Bun</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Modern, fast user interface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State Management</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Zustand + TanStack Query</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Global and server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Authentication</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AWS Cognito</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Secure user authentication</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API Layer</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AWS API Gateway</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Request routing and JWT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Backend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NestJS on AWS Lambda</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Serverless, scalable API</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Database</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AWS RDS PostgreSQL</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Structured data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Vector Search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pgvector</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 document search and retrieval</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File Storage</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AWS S3</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Drawings and document storage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 / LLM</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OpenAI GPT-4o</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AI assistant and document intelligence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Frontend Delivery</w:t>
            </w:r>
          </w:p>
        </w:tc>
        <w:tc>
          <w:tcPr>
            <w:tcW w:type="dxa" w:w="28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Vercel</w:t>
            </w:r>
          </w:p>
        </w:tc>
        <w:tc>
          <w:tcPr>
            <w:tcW w:type="dxa" w:w="408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2"/>
                <w:szCs w:val="22"/>
              </w:rPr>
              <w:t xml:space="preserve">Global CDN for React app</w:t>
            </w:r>
          </w:p>
        </w:tc>
      </w:tr>
    </w:tbl>
    <w:p>
      <w:pPr>
        <w:spacing w:after="100" w:before="100"/>
      </w:pPr>
      <w:r>
        <w:t xml:space="preserve"/>
      </w:r>
    </w:p>
    <w:p>
      <w:pPr>
        <w:pStyle w:val="Heading1"/>
        <w:pBdr>
          <w:bottom w:val="single" w:color="1B4F72" w:sz="6" w:space="1"/>
        </w:pBdr>
        <w:spacing w:after="200" w:before="400"/>
      </w:pPr>
      <w:r>
        <w:rPr>
          <w:rFonts w:ascii="Arial" w:cs="Arial" w:eastAsia="Arial" w:hAnsi="Arial"/>
          <w:b/>
          <w:bCs/>
          <w:color w:val="1B4F72"/>
          <w:sz w:val="32"/>
          <w:szCs w:val="32"/>
        </w:rPr>
        <w:t xml:space="preserve">8. Competitive Advantage</w:t>
      </w:r>
    </w:p>
    <w:p>
      <w:pPr>
        <w:pStyle w:val="ListParagraph"/>
        <w:numPr>
          <w:ilvl w:val="0"/>
          <w:numId w:val="2"/>
        </w:numPr>
        <w:spacing w:after="60" w:before="60"/>
      </w:pPr>
      <w:r>
        <w:rPr>
          <w:rFonts w:ascii="Arial" w:cs="Arial" w:eastAsia="Arial" w:hAnsi="Arial"/>
          <w:sz w:val="22"/>
          <w:szCs w:val="22"/>
        </w:rPr>
        <w:t xml:space="preserve">Portability — John's knowledge travels with him everywhere</w:t>
      </w:r>
    </w:p>
    <w:p>
      <w:pPr>
        <w:pStyle w:val="ListParagraph"/>
        <w:numPr>
          <w:ilvl w:val="0"/>
          <w:numId w:val="2"/>
        </w:numPr>
        <w:spacing w:after="60" w:before="60"/>
      </w:pPr>
      <w:r>
        <w:rPr>
          <w:rFonts w:ascii="Arial" w:cs="Arial" w:eastAsia="Arial" w:hAnsi="Arial"/>
          <w:sz w:val="22"/>
          <w:szCs w:val="22"/>
        </w:rPr>
        <w:t xml:space="preserve">AI Integration — company documents become searchable intelligence</w:t>
      </w:r>
    </w:p>
    <w:p>
      <w:pPr>
        <w:pStyle w:val="ListParagraph"/>
        <w:numPr>
          <w:ilvl w:val="0"/>
          <w:numId w:val="2"/>
        </w:numPr>
        <w:spacing w:after="60" w:before="60"/>
      </w:pPr>
      <w:r>
        <w:rPr>
          <w:rFonts w:ascii="Arial" w:cs="Arial" w:eastAsia="Arial" w:hAnsi="Arial"/>
          <w:sz w:val="22"/>
          <w:szCs w:val="22"/>
        </w:rPr>
        <w:t xml:space="preserve">Three layer trade code system — AIQS, personal and company</w:t>
      </w:r>
    </w:p>
    <w:p>
      <w:pPr>
        <w:pStyle w:val="ListParagraph"/>
        <w:numPr>
          <w:ilvl w:val="0"/>
          <w:numId w:val="2"/>
        </w:numPr>
        <w:spacing w:after="60" w:before="60"/>
      </w:pPr>
      <w:r>
        <w:rPr>
          <w:rFonts w:ascii="Arial" w:cs="Arial" w:eastAsia="Arial" w:hAnsi="Arial"/>
          <w:sz w:val="22"/>
          <w:szCs w:val="22"/>
        </w:rPr>
        <w:t xml:space="preserve">Recipe inheritance — never start from scratch again</w:t>
      </w:r>
    </w:p>
    <w:p>
      <w:pPr>
        <w:pStyle w:val="ListParagraph"/>
        <w:numPr>
          <w:ilvl w:val="0"/>
          <w:numId w:val="2"/>
        </w:numPr>
        <w:spacing w:after="60" w:before="60"/>
      </w:pPr>
      <w:r>
        <w:rPr>
          <w:rFonts w:ascii="Arial" w:cs="Arial" w:eastAsia="Arial" w:hAnsi="Arial"/>
          <w:sz w:val="22"/>
          <w:szCs w:val="22"/>
        </w:rPr>
        <w:t xml:space="preserve">AI review on submit — safety net that catches what memory misses</w:t>
      </w:r>
    </w:p>
    <w:p>
      <w:pPr>
        <w:pStyle w:val="ListParagraph"/>
        <w:numPr>
          <w:ilvl w:val="0"/>
          <w:numId w:val="2"/>
        </w:numPr>
        <w:spacing w:after="60" w:before="60"/>
      </w:pPr>
      <w:r>
        <w:rPr>
          <w:rFonts w:ascii="Arial" w:cs="Arial" w:eastAsia="Arial" w:hAnsi="Arial"/>
          <w:sz w:val="22"/>
          <w:szCs w:val="22"/>
        </w:rPr>
        <w:t xml:space="preserve">Full audit trail — every number is explainable and traceable</w:t>
      </w:r>
    </w:p>
    <w:p>
      <w:pPr>
        <w:pStyle w:val="ListParagraph"/>
        <w:numPr>
          <w:ilvl w:val="0"/>
          <w:numId w:val="2"/>
        </w:numPr>
        <w:spacing w:after="60" w:before="60"/>
      </w:pPr>
      <w:r>
        <w:rPr>
          <w:rFonts w:ascii="Arial" w:cs="Arial" w:eastAsia="Arial" w:hAnsi="Arial"/>
          <w:sz w:val="22"/>
          <w:szCs w:val="22"/>
        </w:rPr>
        <w:t xml:space="preserve">No pricing — quantities only, fits any company pricing system</w:t>
      </w:r>
    </w:p>
    <w:p>
      <w:pPr>
        <w:spacing w:after="100" w:before="100"/>
      </w:pPr>
      <w:r>
        <w:t xml:space="preserve"/>
      </w:r>
    </w:p>
    <w:p>
      <w:pPr>
        <w:pStyle w:val="Heading1"/>
        <w:pBdr>
          <w:bottom w:val="single" w:color="1B4F72" w:sz="6" w:space="1"/>
        </w:pBdr>
        <w:spacing w:after="200" w:before="400"/>
      </w:pPr>
      <w:r>
        <w:rPr>
          <w:rFonts w:ascii="Arial" w:cs="Arial" w:eastAsia="Arial" w:hAnsi="Arial"/>
          <w:b/>
          <w:bCs/>
          <w:color w:val="1B4F72"/>
          <w:sz w:val="32"/>
          <w:szCs w:val="32"/>
        </w:rPr>
        <w:t xml:space="preserve">9. Summary</w:t>
      </w:r>
    </w:p>
    <w:p>
      <w:pPr>
        <w:pBdr>
          <w:top w:val="single" w:color="CCCCCC" w:sz="1"/>
          <w:bottom w:val="single" w:color="CCCCCC" w:sz="1"/>
          <w:left w:val="single" w:color="1B4F72" w:sz="12"/>
          <w:right w:val="single" w:color="CCCCCC" w:sz="1"/>
        </w:pBdr>
        <w:shd w:fill="D6EAF8" w:val="clear"/>
        <w:spacing w:after="200" w:before="200"/>
      </w:pPr>
      <w:r>
        <w:rPr>
          <w:rFonts w:ascii="Arial" w:cs="Arial" w:eastAsia="Arial" w:hAnsi="Arial"/>
          <w:i/>
          <w:iCs/>
          <w:color w:val="1B4F72"/>
          <w:sz w:val="22"/>
          <w:szCs w:val="22"/>
        </w:rPr>
        <w:t xml:space="preserve">Quanta transforms the way Quantity Surveyors work. It takes their knowledge — built over years of experience — and makes it portable, intelligent and consistent. No more starting from scratch. No more missed items. No more unexplained numbers. Just clean, accurate, professional quantities every time.</w:t>
      </w:r>
    </w:p>
    <w:p>
      <w:pPr>
        <w:spacing w:after="100" w:before="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72" w:sz="6" w:space="1"/>
      </w:pBdr>
      <w:spacing w:before="200"/>
      <w:jc w:val="center"/>
    </w:pPr>
    <w:r>
      <w:rPr>
        <w:rFonts w:ascii="Arial" w:cs="Arial" w:eastAsia="Arial" w:hAnsi="Arial"/>
        <w:color w:val="888888"/>
        <w:sz w:val="18"/>
        <w:szCs w:val="18"/>
      </w:rPr>
      <w:t xml:space="preserve">Confidential  |  Quanta  |  2026  |  Page </w:t>
    </w:r>
    <w:r>
      <w:rPr>
        <w:rFonts w:ascii="Arial" w:cs="Arial" w:eastAsia="Arial" w:hAnsi="Arial"/>
        <w:color w:val="888888"/>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6" w:space="1"/>
      </w:pBdr>
      <w:spacing w:after="200" w:before="0"/>
      <w:jc w:val="right"/>
    </w:pPr>
    <w:r>
      <w:rPr>
        <w:rFonts w:ascii="Arial" w:cs="Arial" w:eastAsia="Arial" w:hAnsi="Arial"/>
        <w:color w:val="888888"/>
        <w:sz w:val="18"/>
        <w:szCs w:val="18"/>
      </w:rPr>
      <w:t xml:space="preserve">QUANTA  |  Business Case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2026-05-03T04:51:41.602Z</dcterms:created>
  <dcterms:modified xsi:type="dcterms:W3CDTF">2026-05-03T04:51:41.602Z</dcterms:modified>
</cp:coreProperties>
</file>

<file path=docProps/custom.xml><?xml version="1.0" encoding="utf-8"?>
<Properties xmlns="http://schemas.openxmlformats.org/officeDocument/2006/custom-properties" xmlns:vt="http://schemas.openxmlformats.org/officeDocument/2006/docPropsVTypes"/>
</file>