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699A2" w14:textId="4718459E" w:rsidR="00FE4B46" w:rsidRDefault="00FF31D0" w:rsidP="00FE4B46">
      <w:pPr>
        <w:pStyle w:val="Title"/>
        <w:rPr>
          <w:sz w:val="48"/>
          <w:szCs w:val="48"/>
        </w:rPr>
      </w:pPr>
      <w:r>
        <w:rPr>
          <w:sz w:val="48"/>
          <w:szCs w:val="48"/>
        </w:rPr>
        <w:t xml:space="preserve">Processing </w:t>
      </w:r>
      <w:r w:rsidR="00DD7B80">
        <w:rPr>
          <w:sz w:val="48"/>
          <w:szCs w:val="48"/>
        </w:rPr>
        <w:t>1</w:t>
      </w:r>
      <w:r>
        <w:rPr>
          <w:sz w:val="48"/>
          <w:szCs w:val="48"/>
        </w:rPr>
        <w:t>D Data Sets</w:t>
      </w:r>
      <w:r w:rsidR="00FE4B46" w:rsidRPr="00F67750">
        <w:rPr>
          <w:sz w:val="48"/>
          <w:szCs w:val="48"/>
        </w:rPr>
        <w:t xml:space="preserve"> </w:t>
      </w:r>
    </w:p>
    <w:p w14:paraId="6140CF85" w14:textId="77777777" w:rsidR="00FE4B46" w:rsidRDefault="00FE4B46" w:rsidP="00FE4B46"/>
    <w:p w14:paraId="0E661994" w14:textId="2DB84F2D" w:rsidR="00FE4B46" w:rsidRDefault="00FE4B46" w:rsidP="00FE4B46">
      <w:pPr>
        <w:jc w:val="both"/>
      </w:pPr>
      <w:r>
        <w:t xml:space="preserve">This document describes the </w:t>
      </w:r>
      <w:r w:rsidR="00FF31D0">
        <w:t xml:space="preserve">interface used to reprocess </w:t>
      </w:r>
      <w:r w:rsidR="00D22D0C">
        <w:t>1</w:t>
      </w:r>
      <w:r w:rsidR="00FF31D0">
        <w:t xml:space="preserve">D data which has been collected with SpinsolveExpert. This can </w:t>
      </w:r>
      <w:r w:rsidR="004E5C1F">
        <w:t>be displayed</w:t>
      </w:r>
      <w:r w:rsidR="00FF31D0">
        <w:t xml:space="preserve"> by pressing on the FT post-processing button for </w:t>
      </w:r>
      <w:r w:rsidR="00D22D0C">
        <w:t>1</w:t>
      </w:r>
      <w:r w:rsidR="00FF31D0">
        <w:t xml:space="preserve">D experiments. This displays </w:t>
      </w:r>
      <w:r w:rsidR="00D22D0C">
        <w:t>the following interface</w:t>
      </w:r>
      <w:r w:rsidR="00FF31D0">
        <w:t xml:space="preserve">. </w:t>
      </w:r>
    </w:p>
    <w:p w14:paraId="31BC7371" w14:textId="77777777" w:rsidR="00A26DD7" w:rsidRDefault="00A26DD7" w:rsidP="00FE4B46">
      <w:pPr>
        <w:jc w:val="both"/>
      </w:pPr>
    </w:p>
    <w:p w14:paraId="7DF00AB1" w14:textId="62FB80CB" w:rsidR="00FE4B46" w:rsidRDefault="00D22D0C" w:rsidP="00B20F85">
      <w:pPr>
        <w:jc w:val="center"/>
      </w:pPr>
      <w:r>
        <w:rPr>
          <w:noProof/>
        </w:rPr>
        <w:drawing>
          <wp:inline distT="0" distB="0" distL="0" distR="0" wp14:anchorId="6588D16C" wp14:editId="6FA9402C">
            <wp:extent cx="5676900" cy="3088648"/>
            <wp:effectExtent l="0" t="0" r="0" b="0"/>
            <wp:docPr id="12477163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716337" name="Picture 1" descr="A screenshot of a computer&#10;&#10;Description automatically generated"/>
                    <pic:cNvPicPr/>
                  </pic:nvPicPr>
                  <pic:blipFill>
                    <a:blip r:embed="rId8"/>
                    <a:stretch>
                      <a:fillRect/>
                    </a:stretch>
                  </pic:blipFill>
                  <pic:spPr>
                    <a:xfrm>
                      <a:off x="0" y="0"/>
                      <a:ext cx="5681497" cy="3091149"/>
                    </a:xfrm>
                    <a:prstGeom prst="rect">
                      <a:avLst/>
                    </a:prstGeom>
                  </pic:spPr>
                </pic:pic>
              </a:graphicData>
            </a:graphic>
          </wp:inline>
        </w:drawing>
      </w:r>
    </w:p>
    <w:p w14:paraId="5C659CCD" w14:textId="77777777" w:rsidR="00A26DD7" w:rsidRDefault="00A26DD7" w:rsidP="00FE4B46">
      <w:pPr>
        <w:jc w:val="both"/>
      </w:pPr>
    </w:p>
    <w:p w14:paraId="7CD736E3" w14:textId="25957411" w:rsidR="00FE4B46" w:rsidRDefault="00D22D0C" w:rsidP="00FE4B46">
      <w:pPr>
        <w:jc w:val="both"/>
      </w:pPr>
      <w:r>
        <w:t xml:space="preserve">Using this </w:t>
      </w:r>
      <w:proofErr w:type="gramStart"/>
      <w:r>
        <w:t>dialog</w:t>
      </w:r>
      <w:proofErr w:type="gramEnd"/>
      <w:r>
        <w:t xml:space="preserve"> we can reprocess the </w:t>
      </w:r>
      <w:r w:rsidR="00287E4F">
        <w:t xml:space="preserve">FID </w:t>
      </w:r>
      <w:r>
        <w:t xml:space="preserve">data </w:t>
      </w:r>
      <w:r w:rsidR="00287E4F">
        <w:t>setting</w:t>
      </w:r>
      <w:r>
        <w:t xml:space="preserve"> the zero fill, phasing, and apodization as well as applying a reference deconvolution and a baseline correction.</w:t>
      </w:r>
      <w:r w:rsidR="00FF31D0">
        <w:t xml:space="preserve"> Then the axes can be displayed in PPM or Hz.</w:t>
      </w:r>
    </w:p>
    <w:p w14:paraId="0DCCAE70" w14:textId="77777777" w:rsidR="00FF31D0" w:rsidRDefault="00FF31D0" w:rsidP="00FE4B46">
      <w:pPr>
        <w:jc w:val="both"/>
      </w:pPr>
    </w:p>
    <w:p w14:paraId="1B4D108F" w14:textId="0DA277BB" w:rsidR="00FF31D0" w:rsidRDefault="00FF31D0" w:rsidP="00FE4B46">
      <w:pPr>
        <w:jc w:val="both"/>
      </w:pPr>
      <w:r>
        <w:t xml:space="preserve">When the interface is first opened the various parameters are populated from the file </w:t>
      </w:r>
      <w:proofErr w:type="spellStart"/>
      <w:r>
        <w:t>proc.par</w:t>
      </w:r>
      <w:proofErr w:type="spellEnd"/>
      <w:r>
        <w:t xml:space="preserve"> which is generated when the experiment is run. (Using the procedure </w:t>
      </w:r>
      <w:proofErr w:type="spellStart"/>
      <w:r>
        <w:rPr>
          <w:rFonts w:ascii="Courier New" w:hAnsi="Courier New" w:cs="Courier New"/>
          <w:color w:val="000000"/>
          <w:sz w:val="20"/>
          <w:szCs w:val="20"/>
        </w:rPr>
        <w:t>saveProcPar</w:t>
      </w:r>
      <w:proofErr w:type="spellEnd"/>
      <w:r>
        <w:t>)</w:t>
      </w:r>
    </w:p>
    <w:p w14:paraId="760717F3" w14:textId="0EC89F6D" w:rsidR="00FF31D0" w:rsidRDefault="00FF31D0" w:rsidP="00FE4B46">
      <w:pPr>
        <w:jc w:val="both"/>
      </w:pPr>
      <w:r>
        <w:t>This ensures that, by default, pressing the Transform button should reproduce the saved spectrum.</w:t>
      </w:r>
      <w:r w:rsidR="005E6C12">
        <w:t xml:space="preserve"> Any changes to the processing done using the above interface will modify this file.</w:t>
      </w:r>
    </w:p>
    <w:p w14:paraId="52D65D29" w14:textId="77777777" w:rsidR="00FF31D0" w:rsidRDefault="00FF31D0" w:rsidP="00FE4B46">
      <w:pPr>
        <w:jc w:val="both"/>
      </w:pPr>
    </w:p>
    <w:p w14:paraId="7FCE9CAE" w14:textId="77777777" w:rsidR="005E6C12" w:rsidRDefault="00FF31D0" w:rsidP="00FE4B46">
      <w:pPr>
        <w:jc w:val="both"/>
      </w:pPr>
      <w:r>
        <w:t>A variety of apodization functions are provided and more can be generated using the filter interface accessible from the Filter</w:t>
      </w:r>
      <w:r w:rsidR="0048074E">
        <w:t>s</w:t>
      </w:r>
      <w:r>
        <w:t xml:space="preserve"> button or via the small button labelled ‘…’ in the </w:t>
      </w:r>
      <w:r w:rsidR="0048074E">
        <w:t>A</w:t>
      </w:r>
      <w:r>
        <w:t>podization section.</w:t>
      </w:r>
      <w:r w:rsidR="00D22D0C">
        <w:t xml:space="preserve"> </w:t>
      </w:r>
      <w:r w:rsidR="005E6C12">
        <w:t>Perhaps more usefully</w:t>
      </w:r>
      <w:r w:rsidR="00D22D0C">
        <w:t xml:space="preserve">, there is an option called exp:1. </w:t>
      </w:r>
    </w:p>
    <w:p w14:paraId="0A20A74B" w14:textId="77777777" w:rsidR="005E6C12" w:rsidRDefault="005E6C12" w:rsidP="00FE4B46">
      <w:pPr>
        <w:jc w:val="both"/>
      </w:pPr>
    </w:p>
    <w:p w14:paraId="37354BF8" w14:textId="6E0F4C57" w:rsidR="005E6C12" w:rsidRDefault="005E6C12" w:rsidP="005E6C12">
      <w:pPr>
        <w:jc w:val="center"/>
      </w:pPr>
      <w:r>
        <w:rPr>
          <w:noProof/>
        </w:rPr>
        <w:drawing>
          <wp:inline distT="0" distB="0" distL="0" distR="0" wp14:anchorId="09CBE67D" wp14:editId="0C4583BB">
            <wp:extent cx="2143125" cy="609600"/>
            <wp:effectExtent l="0" t="0" r="9525" b="0"/>
            <wp:docPr id="3806046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04623" name="Picture 1" descr="A screenshot of a computer&#10;&#10;Description automatically generated"/>
                    <pic:cNvPicPr/>
                  </pic:nvPicPr>
                  <pic:blipFill>
                    <a:blip r:embed="rId9"/>
                    <a:stretch>
                      <a:fillRect/>
                    </a:stretch>
                  </pic:blipFill>
                  <pic:spPr>
                    <a:xfrm>
                      <a:off x="0" y="0"/>
                      <a:ext cx="2143125" cy="609600"/>
                    </a:xfrm>
                    <a:prstGeom prst="rect">
                      <a:avLst/>
                    </a:prstGeom>
                  </pic:spPr>
                </pic:pic>
              </a:graphicData>
            </a:graphic>
          </wp:inline>
        </w:drawing>
      </w:r>
    </w:p>
    <w:p w14:paraId="0FF611A3" w14:textId="77777777" w:rsidR="005E6C12" w:rsidRDefault="005E6C12" w:rsidP="00FE4B46">
      <w:pPr>
        <w:jc w:val="both"/>
      </w:pPr>
    </w:p>
    <w:p w14:paraId="43273B03" w14:textId="12B0493B" w:rsidR="00FF31D0" w:rsidRDefault="00D22D0C" w:rsidP="00FE4B46">
      <w:pPr>
        <w:jc w:val="both"/>
      </w:pPr>
      <w:r>
        <w:t xml:space="preserve">This will apply </w:t>
      </w:r>
      <w:r w:rsidR="005E6C12">
        <w:t xml:space="preserve">an </w:t>
      </w:r>
      <w:r>
        <w:t>exponential broadening with a linewidth of 1 Hz. This latter value can be modified by changing the ‘1’ to some other number</w:t>
      </w:r>
      <w:r w:rsidR="00FF31D0">
        <w:t>.</w:t>
      </w:r>
    </w:p>
    <w:p w14:paraId="1A9D1231" w14:textId="21E29BF4" w:rsidR="00FF31D0" w:rsidRDefault="00FF31D0" w:rsidP="00FE4B46">
      <w:pPr>
        <w:jc w:val="both"/>
      </w:pPr>
    </w:p>
    <w:p w14:paraId="1A16B78C" w14:textId="77777777" w:rsidR="00287E4F" w:rsidRDefault="0048074E" w:rsidP="00FE4B46">
      <w:pPr>
        <w:jc w:val="both"/>
      </w:pPr>
      <w:r>
        <w:t>In the Fourier transform section is a Zero fill field (</w:t>
      </w:r>
      <w:proofErr w:type="spellStart"/>
      <w:r>
        <w:t>zf</w:t>
      </w:r>
      <w:proofErr w:type="spellEnd"/>
      <w:r>
        <w:t>).</w:t>
      </w:r>
    </w:p>
    <w:p w14:paraId="41680AEA" w14:textId="77777777" w:rsidR="00287E4F" w:rsidRDefault="00287E4F" w:rsidP="00FE4B46">
      <w:pPr>
        <w:jc w:val="both"/>
      </w:pPr>
    </w:p>
    <w:p w14:paraId="620F59F0" w14:textId="77777777" w:rsidR="00287E4F" w:rsidRDefault="00287E4F" w:rsidP="00287E4F">
      <w:pPr>
        <w:jc w:val="center"/>
      </w:pPr>
      <w:r>
        <w:rPr>
          <w:noProof/>
        </w:rPr>
        <w:drawing>
          <wp:inline distT="0" distB="0" distL="0" distR="0" wp14:anchorId="34CF24E5" wp14:editId="2C46E9C3">
            <wp:extent cx="1238250" cy="1152525"/>
            <wp:effectExtent l="0" t="0" r="0" b="9525"/>
            <wp:docPr id="17902561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1152525"/>
                    </a:xfrm>
                    <a:prstGeom prst="rect">
                      <a:avLst/>
                    </a:prstGeom>
                    <a:noFill/>
                    <a:ln>
                      <a:noFill/>
                    </a:ln>
                  </pic:spPr>
                </pic:pic>
              </a:graphicData>
            </a:graphic>
          </wp:inline>
        </w:drawing>
      </w:r>
    </w:p>
    <w:p w14:paraId="776BCB5D" w14:textId="77777777" w:rsidR="00287E4F" w:rsidRDefault="00287E4F" w:rsidP="00FE4B46">
      <w:pPr>
        <w:jc w:val="both"/>
      </w:pPr>
    </w:p>
    <w:p w14:paraId="0F47A4C0" w14:textId="61114C00" w:rsidR="0048074E" w:rsidRDefault="0048074E" w:rsidP="00FE4B46">
      <w:pPr>
        <w:jc w:val="both"/>
      </w:pPr>
      <w:r>
        <w:t xml:space="preserve">This will </w:t>
      </w:r>
      <w:r w:rsidR="00287E4F">
        <w:t>modify the</w:t>
      </w:r>
      <w:r>
        <w:t xml:space="preserve"> </w:t>
      </w:r>
      <w:r w:rsidR="00287E4F">
        <w:t>FID</w:t>
      </w:r>
      <w:r w:rsidR="00D22D0C">
        <w:t xml:space="preserve"> by a adding </w:t>
      </w:r>
      <w:proofErr w:type="gramStart"/>
      <w:r w:rsidR="00D22D0C">
        <w:t>a number of</w:t>
      </w:r>
      <w:proofErr w:type="gramEnd"/>
      <w:r w:rsidR="00D22D0C">
        <w:t xml:space="preserve"> zeroes</w:t>
      </w:r>
      <w:r w:rsidR="00287E4F">
        <w:t xml:space="preserve"> at the end of the FID to increase the</w:t>
      </w:r>
      <w:r w:rsidR="00D22D0C">
        <w:t xml:space="preserve"> </w:t>
      </w:r>
      <w:r>
        <w:t>data set</w:t>
      </w:r>
      <w:r w:rsidR="00287E4F">
        <w:t xml:space="preserve"> size</w:t>
      </w:r>
      <w:r>
        <w:t xml:space="preserve"> by the factor in this field. A zero</w:t>
      </w:r>
      <w:r w:rsidR="00287E4F">
        <w:t>-</w:t>
      </w:r>
      <w:r>
        <w:t>fill of 1 does nothing, a zero fill of 2 will double the size of the data by adding zeroes at the end, 3 will triple it and so on. Zero</w:t>
      </w:r>
      <w:r w:rsidR="00287E4F">
        <w:t>-</w:t>
      </w:r>
      <w:r>
        <w:t>fill</w:t>
      </w:r>
      <w:r w:rsidR="00287E4F">
        <w:t>ing</w:t>
      </w:r>
      <w:r>
        <w:t xml:space="preserve"> smooths the spectrum by interpolating between points and may give a small resolution improvement.</w:t>
      </w:r>
      <w:r w:rsidR="00C7763A">
        <w:t xml:space="preserve"> Be careful when applying this without apodization as it may result in ‘</w:t>
      </w:r>
      <w:proofErr w:type="spellStart"/>
      <w:r w:rsidR="00C7763A">
        <w:t>sinc</w:t>
      </w:r>
      <w:proofErr w:type="spellEnd"/>
      <w:r w:rsidR="00C7763A">
        <w:t xml:space="preserve"> wiggles’ in the spectrum if the FID data is not </w:t>
      </w:r>
      <w:r w:rsidR="00287E4F">
        <w:t xml:space="preserve">close to </w:t>
      </w:r>
      <w:r w:rsidR="00C7763A">
        <w:t>zero at the end of the fid.</w:t>
      </w:r>
    </w:p>
    <w:p w14:paraId="3C0D8270" w14:textId="77777777" w:rsidR="0048074E" w:rsidRDefault="0048074E" w:rsidP="00FE4B46">
      <w:pPr>
        <w:jc w:val="both"/>
      </w:pPr>
    </w:p>
    <w:p w14:paraId="02224B6F" w14:textId="77777777" w:rsidR="009D0B71" w:rsidRDefault="00D22D0C" w:rsidP="00FE4B46">
      <w:pPr>
        <w:jc w:val="both"/>
      </w:pPr>
      <w:r>
        <w:t xml:space="preserve">Another way to improve the resolution is reference deconvolution. </w:t>
      </w:r>
    </w:p>
    <w:p w14:paraId="439D840F" w14:textId="77777777" w:rsidR="009D0B71" w:rsidRDefault="009D0B71" w:rsidP="00FE4B46">
      <w:pPr>
        <w:jc w:val="both"/>
      </w:pPr>
    </w:p>
    <w:p w14:paraId="4DDE704C" w14:textId="77777777" w:rsidR="009D0B71" w:rsidRDefault="009D0B71" w:rsidP="009D0B71">
      <w:pPr>
        <w:jc w:val="center"/>
      </w:pPr>
      <w:r>
        <w:rPr>
          <w:noProof/>
        </w:rPr>
        <w:drawing>
          <wp:inline distT="0" distB="0" distL="0" distR="0" wp14:anchorId="7160D254" wp14:editId="6986FDA1">
            <wp:extent cx="1724025" cy="1371600"/>
            <wp:effectExtent l="0" t="0" r="9525" b="0"/>
            <wp:docPr id="2153199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19936" name="Picture 1" descr="A screenshot of a computer&#10;&#10;Description automatically generated"/>
                    <pic:cNvPicPr/>
                  </pic:nvPicPr>
                  <pic:blipFill>
                    <a:blip r:embed="rId11"/>
                    <a:stretch>
                      <a:fillRect/>
                    </a:stretch>
                  </pic:blipFill>
                  <pic:spPr>
                    <a:xfrm>
                      <a:off x="0" y="0"/>
                      <a:ext cx="1724025" cy="1371600"/>
                    </a:xfrm>
                    <a:prstGeom prst="rect">
                      <a:avLst/>
                    </a:prstGeom>
                  </pic:spPr>
                </pic:pic>
              </a:graphicData>
            </a:graphic>
          </wp:inline>
        </w:drawing>
      </w:r>
    </w:p>
    <w:p w14:paraId="41493B8D" w14:textId="77777777" w:rsidR="009D0B71" w:rsidRDefault="009D0B71" w:rsidP="009D0B71">
      <w:pPr>
        <w:jc w:val="center"/>
      </w:pPr>
    </w:p>
    <w:p w14:paraId="677F6F5F" w14:textId="709D04A4" w:rsidR="00D22D0C" w:rsidRDefault="00D22D0C" w:rsidP="00FE4B46">
      <w:pPr>
        <w:jc w:val="both"/>
      </w:pPr>
      <w:r>
        <w:t xml:space="preserve">This is done by collecting a </w:t>
      </w:r>
      <w:r w:rsidR="00287E4F">
        <w:t>high-resolution</w:t>
      </w:r>
      <w:r>
        <w:t xml:space="preserve"> spectrum</w:t>
      </w:r>
      <w:r w:rsidR="009D0B71">
        <w:t xml:space="preserve"> of the reference sample </w:t>
      </w:r>
      <w:r>
        <w:t xml:space="preserve">using the </w:t>
      </w:r>
      <w:proofErr w:type="spellStart"/>
      <w:r>
        <w:t>CheckShim</w:t>
      </w:r>
      <w:proofErr w:type="spellEnd"/>
      <w:r>
        <w:t xml:space="preserve"> experiment in the Setup menu. Note that the </w:t>
      </w:r>
      <w:proofErr w:type="spellStart"/>
      <w:r>
        <w:t>dwellTime</w:t>
      </w:r>
      <w:proofErr w:type="spellEnd"/>
      <w:r>
        <w:t xml:space="preserve"> used here (which defaults to 200 us) should be the same as the one used for the FID you are trying to deconvolve. This is because the deconvolution process divides the sample FID by the reference FID</w:t>
      </w:r>
      <w:r w:rsidR="009D0B71">
        <w:t>, and</w:t>
      </w:r>
      <w:r>
        <w:t xml:space="preserve"> so the times should match. You should always collect a reference FID soon after locking and calibrating to ensure you are working on resonance.</w:t>
      </w:r>
      <w:r w:rsidR="00287E4F">
        <w:t xml:space="preserve"> (</w:t>
      </w:r>
      <w:proofErr w:type="gramStart"/>
      <w:r w:rsidR="00287E4F">
        <w:t>Otherwise</w:t>
      </w:r>
      <w:proofErr w:type="gramEnd"/>
      <w:r w:rsidR="00287E4F">
        <w:t xml:space="preserve"> a divide by zero may occur).</w:t>
      </w:r>
    </w:p>
    <w:p w14:paraId="5D1FC572" w14:textId="77777777" w:rsidR="00D22D0C" w:rsidRDefault="00D22D0C" w:rsidP="00FE4B46">
      <w:pPr>
        <w:jc w:val="both"/>
      </w:pPr>
    </w:p>
    <w:p w14:paraId="765F91ED" w14:textId="57AA2347" w:rsidR="00D22D0C" w:rsidRDefault="00D22D0C" w:rsidP="00FE4B46">
      <w:pPr>
        <w:jc w:val="both"/>
      </w:pPr>
      <w:r>
        <w:t>Because of the division process</w:t>
      </w:r>
      <w:r w:rsidR="009D0B71">
        <w:t>,</w:t>
      </w:r>
      <w:r>
        <w:t xml:space="preserve"> noise at the end of the deconvolved FID will be enhanced. To preserve </w:t>
      </w:r>
      <w:proofErr w:type="gramStart"/>
      <w:r>
        <w:t>SNR</w:t>
      </w:r>
      <w:proofErr w:type="gramEnd"/>
      <w:r>
        <w:t xml:space="preserve"> you will need to add some additional line</w:t>
      </w:r>
      <w:r w:rsidR="00287E4F">
        <w:t>-</w:t>
      </w:r>
      <w:r>
        <w:t xml:space="preserve">broadening. You can </w:t>
      </w:r>
      <w:r w:rsidR="00287E4F">
        <w:t>select</w:t>
      </w:r>
      <w:r>
        <w:t xml:space="preserve"> the resultant </w:t>
      </w:r>
      <w:r w:rsidR="00287E4F">
        <w:t>line-shape</w:t>
      </w:r>
      <w:r>
        <w:t xml:space="preserve"> </w:t>
      </w:r>
      <w:r w:rsidR="00287E4F">
        <w:t>to be</w:t>
      </w:r>
      <w:r>
        <w:t xml:space="preserve"> Lorentzian or the slightly narrower Gaussian.</w:t>
      </w:r>
      <w:r w:rsidR="009D0B71">
        <w:t xml:space="preserve"> Note the improvement in resolution comes at the cost of a reduction in SNR.</w:t>
      </w:r>
    </w:p>
    <w:p w14:paraId="245B7AAB" w14:textId="77777777" w:rsidR="00D22D0C" w:rsidRDefault="00D22D0C" w:rsidP="00FE4B46">
      <w:pPr>
        <w:jc w:val="both"/>
      </w:pPr>
    </w:p>
    <w:p w14:paraId="75F2F54F" w14:textId="67D91DDA" w:rsidR="00D22D0C" w:rsidRDefault="00D22D0C" w:rsidP="00FE4B46">
      <w:pPr>
        <w:jc w:val="both"/>
      </w:pPr>
      <w:r>
        <w:t xml:space="preserve">Another way to collect a reference FID it to performing a </w:t>
      </w:r>
      <w:proofErr w:type="spellStart"/>
      <w:r w:rsidR="00287E4F">
        <w:t>S</w:t>
      </w:r>
      <w:r>
        <w:t>tandby</w:t>
      </w:r>
      <w:r w:rsidR="00287E4F">
        <w:t>S</w:t>
      </w:r>
      <w:r>
        <w:t>him</w:t>
      </w:r>
      <w:proofErr w:type="spellEnd"/>
      <w:r>
        <w:t xml:space="preserve"> with the Collect reference option selected.  </w:t>
      </w:r>
    </w:p>
    <w:p w14:paraId="68322F86" w14:textId="77777777" w:rsidR="00D22D0C" w:rsidRDefault="00D22D0C" w:rsidP="00FE4B46">
      <w:pPr>
        <w:jc w:val="both"/>
      </w:pPr>
    </w:p>
    <w:p w14:paraId="6716CA3F" w14:textId="7F4B0EBE" w:rsidR="009D0B71" w:rsidRDefault="009D0B71" w:rsidP="009D0B71">
      <w:pPr>
        <w:jc w:val="center"/>
      </w:pPr>
      <w:r>
        <w:rPr>
          <w:noProof/>
        </w:rPr>
        <w:drawing>
          <wp:inline distT="0" distB="0" distL="0" distR="0" wp14:anchorId="7D819D02" wp14:editId="1008F117">
            <wp:extent cx="2828925" cy="1571625"/>
            <wp:effectExtent l="0" t="0" r="9525" b="9525"/>
            <wp:docPr id="14855723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72382" name="Picture 1" descr="A screenshot of a computer&#10;&#10;Description automatically generated"/>
                    <pic:cNvPicPr/>
                  </pic:nvPicPr>
                  <pic:blipFill>
                    <a:blip r:embed="rId12"/>
                    <a:stretch>
                      <a:fillRect/>
                    </a:stretch>
                  </pic:blipFill>
                  <pic:spPr>
                    <a:xfrm>
                      <a:off x="0" y="0"/>
                      <a:ext cx="2828925" cy="1571625"/>
                    </a:xfrm>
                    <a:prstGeom prst="rect">
                      <a:avLst/>
                    </a:prstGeom>
                  </pic:spPr>
                </pic:pic>
              </a:graphicData>
            </a:graphic>
          </wp:inline>
        </w:drawing>
      </w:r>
    </w:p>
    <w:p w14:paraId="123B8278" w14:textId="77777777" w:rsidR="009D0B71" w:rsidRDefault="009D0B71" w:rsidP="00FE4B46">
      <w:pPr>
        <w:jc w:val="both"/>
      </w:pPr>
    </w:p>
    <w:p w14:paraId="17E0BF84" w14:textId="66DF23E7" w:rsidR="001B2B2B" w:rsidRDefault="00D22D0C" w:rsidP="00FE4B46">
      <w:pPr>
        <w:jc w:val="both"/>
      </w:pPr>
      <w:r>
        <w:t xml:space="preserve">Note that the reference FID is stored in computer memory and so is lost if Expert is closed. If you wish to use a saved spectrum then you can choose the ‘From file’ </w:t>
      </w:r>
      <w:r w:rsidR="00447C2E">
        <w:t>method</w:t>
      </w:r>
      <w:r>
        <w:t xml:space="preserve">. In this case use the ‘Select reference FID’ button and navigate to a </w:t>
      </w:r>
      <w:proofErr w:type="spellStart"/>
      <w:r>
        <w:t>CheckShim</w:t>
      </w:r>
      <w:proofErr w:type="spellEnd"/>
      <w:r>
        <w:t xml:space="preserve"> experiment folder and select the </w:t>
      </w:r>
      <w:r w:rsidR="007829BE">
        <w:t>fid</w:t>
      </w:r>
      <w:r>
        <w:t>.1d file.</w:t>
      </w:r>
    </w:p>
    <w:p w14:paraId="468A2C35" w14:textId="77777777" w:rsidR="007829BE" w:rsidRDefault="007829BE" w:rsidP="00FE4B46">
      <w:pPr>
        <w:jc w:val="both"/>
      </w:pPr>
    </w:p>
    <w:p w14:paraId="4342582A" w14:textId="666D18FA" w:rsidR="007829BE" w:rsidRDefault="007829BE" w:rsidP="007829BE">
      <w:pPr>
        <w:jc w:val="center"/>
      </w:pPr>
      <w:r>
        <w:rPr>
          <w:noProof/>
        </w:rPr>
        <w:drawing>
          <wp:inline distT="0" distB="0" distL="0" distR="0" wp14:anchorId="02640E95" wp14:editId="14C7AB69">
            <wp:extent cx="1695450" cy="742950"/>
            <wp:effectExtent l="0" t="0" r="0" b="0"/>
            <wp:docPr id="732034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03476" name="Picture 1" descr="A screenshot of a computer&#10;&#10;Description automatically generated"/>
                    <pic:cNvPicPr/>
                  </pic:nvPicPr>
                  <pic:blipFill>
                    <a:blip r:embed="rId13"/>
                    <a:stretch>
                      <a:fillRect/>
                    </a:stretch>
                  </pic:blipFill>
                  <pic:spPr>
                    <a:xfrm>
                      <a:off x="0" y="0"/>
                      <a:ext cx="1695450" cy="742950"/>
                    </a:xfrm>
                    <a:prstGeom prst="rect">
                      <a:avLst/>
                    </a:prstGeom>
                  </pic:spPr>
                </pic:pic>
              </a:graphicData>
            </a:graphic>
          </wp:inline>
        </w:drawing>
      </w:r>
    </w:p>
    <w:p w14:paraId="024B3C16" w14:textId="77777777" w:rsidR="00D22D0C" w:rsidRDefault="00D22D0C" w:rsidP="00FE4B46">
      <w:pPr>
        <w:jc w:val="both"/>
      </w:pPr>
    </w:p>
    <w:p w14:paraId="11E4D18B" w14:textId="77777777" w:rsidR="00D22D0C" w:rsidRDefault="00D22D0C" w:rsidP="00FE4B46">
      <w:pPr>
        <w:jc w:val="both"/>
      </w:pPr>
    </w:p>
    <w:p w14:paraId="6FBB0493" w14:textId="406790E2" w:rsidR="009D0B71" w:rsidRDefault="001B2B2B" w:rsidP="00FE4B46">
      <w:pPr>
        <w:jc w:val="both"/>
      </w:pPr>
      <w:r>
        <w:t xml:space="preserve">The last step for most experiments </w:t>
      </w:r>
      <w:r w:rsidR="00447C2E">
        <w:t>is</w:t>
      </w:r>
      <w:r>
        <w:t xml:space="preserve"> phasing. For magnitude mode experiments this simply means taking the magnitude of the final spectrum.  This is selected </w:t>
      </w:r>
      <w:r w:rsidR="00651F38">
        <w:t>using</w:t>
      </w:r>
      <w:r>
        <w:t xml:space="preserve"> the</w:t>
      </w:r>
      <w:r w:rsidR="009D0B71">
        <w:t xml:space="preserve"> P</w:t>
      </w:r>
      <w:r>
        <w:t xml:space="preserve">hasing method.  </w:t>
      </w:r>
    </w:p>
    <w:p w14:paraId="6EE31B62" w14:textId="77777777" w:rsidR="009D0B71" w:rsidRDefault="009D0B71" w:rsidP="00FE4B46">
      <w:pPr>
        <w:jc w:val="both"/>
      </w:pPr>
    </w:p>
    <w:p w14:paraId="76B40BAF" w14:textId="77777777" w:rsidR="009D0B71" w:rsidRDefault="009D0B71" w:rsidP="009D0B71">
      <w:pPr>
        <w:jc w:val="center"/>
      </w:pPr>
      <w:r>
        <w:rPr>
          <w:noProof/>
        </w:rPr>
        <w:drawing>
          <wp:inline distT="0" distB="0" distL="0" distR="0" wp14:anchorId="102A1B91" wp14:editId="60B8DF50">
            <wp:extent cx="2095500" cy="1381125"/>
            <wp:effectExtent l="0" t="0" r="0" b="9525"/>
            <wp:docPr id="54180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0" cy="1381125"/>
                    </a:xfrm>
                    <a:prstGeom prst="rect">
                      <a:avLst/>
                    </a:prstGeom>
                    <a:noFill/>
                    <a:ln>
                      <a:noFill/>
                    </a:ln>
                  </pic:spPr>
                </pic:pic>
              </a:graphicData>
            </a:graphic>
          </wp:inline>
        </w:drawing>
      </w:r>
    </w:p>
    <w:p w14:paraId="1DC3CE68" w14:textId="77777777" w:rsidR="009D0B71" w:rsidRDefault="009D0B71" w:rsidP="009D0B71">
      <w:pPr>
        <w:jc w:val="center"/>
      </w:pPr>
    </w:p>
    <w:p w14:paraId="610A34F6" w14:textId="5DF11CE1" w:rsidR="009D0B71" w:rsidRDefault="009D0B71" w:rsidP="009D0B71">
      <w:pPr>
        <w:jc w:val="both"/>
      </w:pPr>
      <w:r>
        <w:t xml:space="preserve">There are </w:t>
      </w:r>
      <w:proofErr w:type="gramStart"/>
      <w:r>
        <w:t>a number of</w:t>
      </w:r>
      <w:proofErr w:type="gramEnd"/>
      <w:r>
        <w:t xml:space="preserve"> </w:t>
      </w:r>
      <w:proofErr w:type="spellStart"/>
      <w:r>
        <w:t>autophasing</w:t>
      </w:r>
      <w:proofErr w:type="spellEnd"/>
      <w:r>
        <w:t xml:space="preserve"> options – select the one which works best – note that these only apply a p0 correction and are applied immediately when selected – you don’t need to press the </w:t>
      </w:r>
      <w:r w:rsidR="00447C2E">
        <w:t>T</w:t>
      </w:r>
      <w:r>
        <w:t xml:space="preserve">ransform button. </w:t>
      </w:r>
    </w:p>
    <w:p w14:paraId="4AD8F8FD" w14:textId="77777777" w:rsidR="009D0B71" w:rsidRDefault="009D0B71" w:rsidP="009D0B71">
      <w:pPr>
        <w:jc w:val="both"/>
      </w:pPr>
    </w:p>
    <w:p w14:paraId="0A639CF8" w14:textId="49594A90" w:rsidR="009D0B71" w:rsidRDefault="00447C2E" w:rsidP="009D0B71">
      <w:pPr>
        <w:jc w:val="both"/>
      </w:pPr>
      <w:r>
        <w:t>Alternatively,</w:t>
      </w:r>
      <w:r w:rsidR="009D0B71">
        <w:t xml:space="preserve"> you can select the fixed phase option. </w:t>
      </w:r>
    </w:p>
    <w:p w14:paraId="77251217" w14:textId="77777777" w:rsidR="009D0B71" w:rsidRDefault="009D0B71" w:rsidP="009D0B71">
      <w:pPr>
        <w:jc w:val="both"/>
      </w:pPr>
    </w:p>
    <w:p w14:paraId="62113587" w14:textId="77777777" w:rsidR="009D0B71" w:rsidRDefault="009D0B71" w:rsidP="009D0B71">
      <w:pPr>
        <w:jc w:val="center"/>
      </w:pPr>
      <w:r>
        <w:rPr>
          <w:noProof/>
        </w:rPr>
        <w:drawing>
          <wp:inline distT="0" distB="0" distL="0" distR="0" wp14:anchorId="77770D63" wp14:editId="493F5BBA">
            <wp:extent cx="2057400" cy="1495425"/>
            <wp:effectExtent l="0" t="0" r="0" b="9525"/>
            <wp:docPr id="10628388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838830" name="Picture 1" descr="A screenshot of a computer program&#10;&#10;Description automatically generated"/>
                    <pic:cNvPicPr/>
                  </pic:nvPicPr>
                  <pic:blipFill>
                    <a:blip r:embed="rId15"/>
                    <a:stretch>
                      <a:fillRect/>
                    </a:stretch>
                  </pic:blipFill>
                  <pic:spPr>
                    <a:xfrm>
                      <a:off x="0" y="0"/>
                      <a:ext cx="2057400" cy="1495425"/>
                    </a:xfrm>
                    <a:prstGeom prst="rect">
                      <a:avLst/>
                    </a:prstGeom>
                  </pic:spPr>
                </pic:pic>
              </a:graphicData>
            </a:graphic>
          </wp:inline>
        </w:drawing>
      </w:r>
    </w:p>
    <w:p w14:paraId="320918CB" w14:textId="77777777" w:rsidR="009D0B71" w:rsidRDefault="009D0B71" w:rsidP="009D0B71">
      <w:pPr>
        <w:jc w:val="both"/>
      </w:pPr>
    </w:p>
    <w:p w14:paraId="5F4EF090" w14:textId="323994A3" w:rsidR="009D0B71" w:rsidRDefault="009D0B71" w:rsidP="009D0B71">
      <w:pPr>
        <w:jc w:val="both"/>
      </w:pPr>
      <w:r>
        <w:t xml:space="preserve">In this case you have phasing values you can enter manually and adjust using the up-down controls (steps are +- 1 degree but with shift held down +- 10 degrees and alt +- 0.1 degrees. Or perhaps more conveniently </w:t>
      </w:r>
      <w:r w:rsidR="00447C2E">
        <w:t>use</w:t>
      </w:r>
      <w:r>
        <w:t xml:space="preserve"> the phase sliders which are displayed when the Phase button is pressed.</w:t>
      </w:r>
    </w:p>
    <w:p w14:paraId="19338B91" w14:textId="77777777" w:rsidR="009D0B71" w:rsidRDefault="009D0B71" w:rsidP="009D0B71">
      <w:pPr>
        <w:jc w:val="both"/>
      </w:pPr>
    </w:p>
    <w:p w14:paraId="21DFA1BC" w14:textId="0302CCB9" w:rsidR="009D0B71" w:rsidRDefault="009D0B71" w:rsidP="009D0B71">
      <w:pPr>
        <w:jc w:val="center"/>
      </w:pPr>
      <w:r>
        <w:rPr>
          <w:noProof/>
        </w:rPr>
        <w:drawing>
          <wp:inline distT="0" distB="0" distL="0" distR="0" wp14:anchorId="1D74956C" wp14:editId="0BBDC25B">
            <wp:extent cx="2990850" cy="1152525"/>
            <wp:effectExtent l="0" t="0" r="0" b="9525"/>
            <wp:docPr id="11713885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388547" name="Picture 1" descr="A screenshot of a computer&#10;&#10;Description automatically generated"/>
                    <pic:cNvPicPr/>
                  </pic:nvPicPr>
                  <pic:blipFill>
                    <a:blip r:embed="rId16"/>
                    <a:stretch>
                      <a:fillRect/>
                    </a:stretch>
                  </pic:blipFill>
                  <pic:spPr>
                    <a:xfrm>
                      <a:off x="0" y="0"/>
                      <a:ext cx="2990850" cy="1152525"/>
                    </a:xfrm>
                    <a:prstGeom prst="rect">
                      <a:avLst/>
                    </a:prstGeom>
                  </pic:spPr>
                </pic:pic>
              </a:graphicData>
            </a:graphic>
          </wp:inline>
        </w:drawing>
      </w:r>
    </w:p>
    <w:p w14:paraId="41F2EEBC" w14:textId="77777777" w:rsidR="009D0B71" w:rsidRDefault="009D0B71" w:rsidP="009D0B71">
      <w:pPr>
        <w:jc w:val="both"/>
      </w:pPr>
    </w:p>
    <w:p w14:paraId="6A68C683" w14:textId="3C739A2E" w:rsidR="00CD374A" w:rsidRDefault="009D0B71" w:rsidP="009D0B71">
      <w:pPr>
        <w:jc w:val="both"/>
      </w:pPr>
      <w:r>
        <w:t>The final</w:t>
      </w:r>
      <w:r w:rsidR="00CD374A">
        <w:t xml:space="preserve"> </w:t>
      </w:r>
      <w:r w:rsidR="00447C2E">
        <w:t>processing step</w:t>
      </w:r>
      <w:r>
        <w:t xml:space="preserve"> might also include a baseline correction</w:t>
      </w:r>
      <w:r w:rsidR="00CD374A">
        <w:t xml:space="preserve"> although if linear prediction has been used when collecting the data this should be minimal. There are two options; Offset and Segment. </w:t>
      </w:r>
    </w:p>
    <w:p w14:paraId="6B69326E" w14:textId="77777777" w:rsidR="00CD374A" w:rsidRDefault="00CD374A" w:rsidP="009D0B71">
      <w:pPr>
        <w:jc w:val="both"/>
      </w:pPr>
    </w:p>
    <w:p w14:paraId="02F53362" w14:textId="77777777" w:rsidR="00CD374A" w:rsidRDefault="00CD374A" w:rsidP="00CD374A">
      <w:pPr>
        <w:jc w:val="center"/>
      </w:pPr>
      <w:r>
        <w:rPr>
          <w:noProof/>
        </w:rPr>
        <w:drawing>
          <wp:inline distT="0" distB="0" distL="0" distR="0" wp14:anchorId="3BF6DF54" wp14:editId="13C0F5D8">
            <wp:extent cx="1819275" cy="1123950"/>
            <wp:effectExtent l="0" t="0" r="9525" b="0"/>
            <wp:docPr id="2751762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76203" name="Picture 1" descr="A screenshot of a computer&#10;&#10;Description automatically generated"/>
                    <pic:cNvPicPr/>
                  </pic:nvPicPr>
                  <pic:blipFill>
                    <a:blip r:embed="rId17"/>
                    <a:stretch>
                      <a:fillRect/>
                    </a:stretch>
                  </pic:blipFill>
                  <pic:spPr>
                    <a:xfrm>
                      <a:off x="0" y="0"/>
                      <a:ext cx="1819275" cy="1123950"/>
                    </a:xfrm>
                    <a:prstGeom prst="rect">
                      <a:avLst/>
                    </a:prstGeom>
                  </pic:spPr>
                </pic:pic>
              </a:graphicData>
            </a:graphic>
          </wp:inline>
        </w:drawing>
      </w:r>
    </w:p>
    <w:p w14:paraId="128DDEB4" w14:textId="77777777" w:rsidR="00447C2E" w:rsidRDefault="00447C2E" w:rsidP="00CD374A">
      <w:pPr>
        <w:jc w:val="center"/>
      </w:pPr>
    </w:p>
    <w:p w14:paraId="4064BE03" w14:textId="0ADF0EB7" w:rsidR="009D0B71" w:rsidRDefault="00CD374A" w:rsidP="009D0B71">
      <w:pPr>
        <w:jc w:val="both"/>
      </w:pPr>
      <w:r>
        <w:t xml:space="preserve">Offset just applies a vertical offset to the baseline so it is zeroed. This will also be affected by the </w:t>
      </w:r>
      <w:r w:rsidR="00447C2E">
        <w:t>‘</w:t>
      </w:r>
      <w:r>
        <w:t>Halve first point option</w:t>
      </w:r>
      <w:r w:rsidR="00447C2E">
        <w:t>’</w:t>
      </w:r>
      <w:r>
        <w:t xml:space="preserve"> in the Fourier transform section</w:t>
      </w:r>
      <w:r w:rsidR="00447C2E">
        <w:t>. This</w:t>
      </w:r>
      <w:r>
        <w:t xml:space="preserve"> should typically be selected.</w:t>
      </w:r>
    </w:p>
    <w:p w14:paraId="10A43CCA" w14:textId="77777777" w:rsidR="00CD374A" w:rsidRDefault="00CD374A" w:rsidP="009D0B71">
      <w:pPr>
        <w:jc w:val="both"/>
      </w:pPr>
    </w:p>
    <w:p w14:paraId="6F438451" w14:textId="408ED20C" w:rsidR="00CD374A" w:rsidRDefault="00CD374A" w:rsidP="00CD374A">
      <w:pPr>
        <w:jc w:val="center"/>
      </w:pPr>
      <w:r>
        <w:rPr>
          <w:noProof/>
        </w:rPr>
        <w:drawing>
          <wp:inline distT="0" distB="0" distL="0" distR="0" wp14:anchorId="15A10AAB" wp14:editId="034D1E44">
            <wp:extent cx="1238250" cy="1323975"/>
            <wp:effectExtent l="0" t="0" r="0" b="9525"/>
            <wp:docPr id="14929419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38250" cy="1323975"/>
                    </a:xfrm>
                    <a:prstGeom prst="rect">
                      <a:avLst/>
                    </a:prstGeom>
                    <a:noFill/>
                    <a:ln>
                      <a:noFill/>
                    </a:ln>
                  </pic:spPr>
                </pic:pic>
              </a:graphicData>
            </a:graphic>
          </wp:inline>
        </w:drawing>
      </w:r>
    </w:p>
    <w:p w14:paraId="66005E59" w14:textId="77777777" w:rsidR="00CD374A" w:rsidRDefault="00CD374A" w:rsidP="009D0B71">
      <w:pPr>
        <w:jc w:val="both"/>
      </w:pPr>
    </w:p>
    <w:p w14:paraId="5518DFA3" w14:textId="39B8FC4E" w:rsidR="00CD374A" w:rsidRDefault="00CD374A" w:rsidP="009D0B71">
      <w:pPr>
        <w:jc w:val="both"/>
      </w:pPr>
      <w:r>
        <w:t xml:space="preserve">If the debug checkbox </w:t>
      </w:r>
      <w:r w:rsidR="00447C2E">
        <w:t xml:space="preserve">is </w:t>
      </w:r>
      <w:proofErr w:type="gramStart"/>
      <w:r w:rsidR="00447C2E">
        <w:t>selected  in</w:t>
      </w:r>
      <w:proofErr w:type="gramEnd"/>
      <w:r w:rsidR="00447C2E">
        <w:t xml:space="preserve"> the base-line correction section the spectral plot </w:t>
      </w:r>
      <w:r>
        <w:t>will display a line showing</w:t>
      </w:r>
      <w:r w:rsidR="00447C2E">
        <w:t xml:space="preserve"> the</w:t>
      </w:r>
      <w:r>
        <w:t xml:space="preserve"> calculated baseline</w:t>
      </w:r>
      <w:r w:rsidR="00447C2E">
        <w:t xml:space="preserve"> but won’t apply the correction.</w:t>
      </w:r>
    </w:p>
    <w:p w14:paraId="579AFE69" w14:textId="77777777" w:rsidR="00447C2E" w:rsidRDefault="00447C2E" w:rsidP="009D0B71">
      <w:pPr>
        <w:jc w:val="both"/>
      </w:pPr>
    </w:p>
    <w:p w14:paraId="6E1A7F7D" w14:textId="10A2D839" w:rsidR="00447C2E" w:rsidRDefault="00447C2E" w:rsidP="00447C2E">
      <w:pPr>
        <w:jc w:val="center"/>
      </w:pPr>
      <w:r>
        <w:rPr>
          <w:noProof/>
        </w:rPr>
        <w:drawing>
          <wp:inline distT="0" distB="0" distL="0" distR="0" wp14:anchorId="104DFD02" wp14:editId="51A3B6A6">
            <wp:extent cx="1847850" cy="1200150"/>
            <wp:effectExtent l="0" t="0" r="0" b="0"/>
            <wp:docPr id="9564104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7850" cy="1200150"/>
                    </a:xfrm>
                    <a:prstGeom prst="rect">
                      <a:avLst/>
                    </a:prstGeom>
                    <a:noFill/>
                    <a:ln>
                      <a:noFill/>
                    </a:ln>
                  </pic:spPr>
                </pic:pic>
              </a:graphicData>
            </a:graphic>
          </wp:inline>
        </w:drawing>
      </w:r>
    </w:p>
    <w:p w14:paraId="469D0FA7" w14:textId="77777777" w:rsidR="00C43B18" w:rsidRDefault="00C43B18" w:rsidP="009D0B71">
      <w:pPr>
        <w:jc w:val="both"/>
      </w:pPr>
    </w:p>
    <w:p w14:paraId="2EDC8483" w14:textId="73D7C9EB" w:rsidR="00C43B18" w:rsidRDefault="00C43B18" w:rsidP="009D0B71">
      <w:pPr>
        <w:jc w:val="both"/>
      </w:pPr>
      <w:r>
        <w:t xml:space="preserve">If the Segment option is chosen, then the algorithm will search for baseline points and in debug mode will mark these along with a </w:t>
      </w:r>
      <w:r w:rsidR="00E06ECB">
        <w:t>trigonometric</w:t>
      </w:r>
      <w:r>
        <w:t xml:space="preserve"> fit</w:t>
      </w:r>
      <w:r w:rsidR="005E6C12">
        <w:t xml:space="preserve">. The following data set was obtained with linear prediction turned off and </w:t>
      </w:r>
      <w:r w:rsidR="005E7E8E">
        <w:t>a dwell-</w:t>
      </w:r>
      <w:r w:rsidR="005E6C12">
        <w:t xml:space="preserve">time of 1 </w:t>
      </w:r>
      <w:proofErr w:type="spellStart"/>
      <w:r w:rsidR="005E6C12">
        <w:t>ms</w:t>
      </w:r>
      <w:proofErr w:type="spellEnd"/>
      <w:r w:rsidR="005E6C12">
        <w:t xml:space="preserve">.  </w:t>
      </w:r>
      <w:r w:rsidR="00447C2E">
        <w:t xml:space="preserve"> 64 segments were chosen with a noise factor of 2.</w:t>
      </w:r>
    </w:p>
    <w:p w14:paraId="4335ED69" w14:textId="77777777" w:rsidR="00C43B18" w:rsidRDefault="00C43B18" w:rsidP="009D0B71">
      <w:pPr>
        <w:jc w:val="both"/>
      </w:pPr>
    </w:p>
    <w:p w14:paraId="1908E1FC" w14:textId="0BE1C1DB" w:rsidR="00C43B18" w:rsidRDefault="00C43B18" w:rsidP="00BE7DD0">
      <w:pPr>
        <w:jc w:val="center"/>
      </w:pPr>
      <w:r>
        <w:rPr>
          <w:noProof/>
        </w:rPr>
        <w:drawing>
          <wp:inline distT="0" distB="0" distL="0" distR="0" wp14:anchorId="6ED6AFBE" wp14:editId="020951B3">
            <wp:extent cx="5731510" cy="2665730"/>
            <wp:effectExtent l="0" t="0" r="2540" b="1270"/>
            <wp:docPr id="1797116018" name="Picture 1" descr="A graph of a graph showing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16018" name="Picture 1" descr="A graph of a graph showing a number of data&#10;&#10;Description automatically generated with medium confidence"/>
                    <pic:cNvPicPr/>
                  </pic:nvPicPr>
                  <pic:blipFill>
                    <a:blip r:embed="rId20"/>
                    <a:stretch>
                      <a:fillRect/>
                    </a:stretch>
                  </pic:blipFill>
                  <pic:spPr>
                    <a:xfrm>
                      <a:off x="0" y="0"/>
                      <a:ext cx="5731510" cy="2665730"/>
                    </a:xfrm>
                    <a:prstGeom prst="rect">
                      <a:avLst/>
                    </a:prstGeom>
                  </pic:spPr>
                </pic:pic>
              </a:graphicData>
            </a:graphic>
          </wp:inline>
        </w:drawing>
      </w:r>
    </w:p>
    <w:p w14:paraId="66040680" w14:textId="77777777" w:rsidR="00C43B18" w:rsidRDefault="00C43B18" w:rsidP="009D0B71">
      <w:pPr>
        <w:jc w:val="both"/>
      </w:pPr>
    </w:p>
    <w:p w14:paraId="2BC62A37" w14:textId="46FCEF03" w:rsidR="00C43B18" w:rsidRDefault="00C43B18" w:rsidP="009D0B71">
      <w:pPr>
        <w:jc w:val="both"/>
      </w:pPr>
      <w:r>
        <w:t>You can adjust the number of segments and noise factor to optimise these points. Once satisfied</w:t>
      </w:r>
      <w:r w:rsidR="00447C2E">
        <w:t>,</w:t>
      </w:r>
      <w:r>
        <w:t xml:space="preserve"> remove the debug option to apply the correction.</w:t>
      </w:r>
      <w:r w:rsidR="005E6C12">
        <w:t xml:space="preserve"> In the following plot this result </w:t>
      </w:r>
      <w:r w:rsidR="00447C2E">
        <w:t>is displayed in</w:t>
      </w:r>
      <w:r w:rsidR="005E6C12">
        <w:t xml:space="preserve"> </w:t>
      </w:r>
      <w:proofErr w:type="gramStart"/>
      <w:r w:rsidR="005E6C12">
        <w:t>green</w:t>
      </w:r>
      <w:r w:rsidR="00447C2E">
        <w:t>,</w:t>
      </w:r>
      <w:r w:rsidR="005E6C12">
        <w:t xml:space="preserve"> </w:t>
      </w:r>
      <w:r w:rsidR="00447C2E">
        <w:t>and</w:t>
      </w:r>
      <w:proofErr w:type="gramEnd"/>
      <w:r w:rsidR="005E6C12">
        <w:t xml:space="preserve"> compared with a data set </w:t>
      </w:r>
      <w:r w:rsidR="00447C2E">
        <w:t xml:space="preserve">(in red) </w:t>
      </w:r>
      <w:r w:rsidR="005E6C12">
        <w:t>obtained with linear prediction switched on</w:t>
      </w:r>
      <w:r w:rsidR="00447C2E">
        <w:t>.</w:t>
      </w:r>
    </w:p>
    <w:p w14:paraId="4C8FC834" w14:textId="77777777" w:rsidR="00C43B18" w:rsidRDefault="00C43B18" w:rsidP="009D0B71">
      <w:pPr>
        <w:jc w:val="both"/>
      </w:pPr>
    </w:p>
    <w:p w14:paraId="7FD1197A" w14:textId="1A6B1E8A" w:rsidR="00C43B18" w:rsidRDefault="005E6C12" w:rsidP="00BE7DD0">
      <w:pPr>
        <w:jc w:val="center"/>
      </w:pPr>
      <w:r>
        <w:rPr>
          <w:noProof/>
        </w:rPr>
        <w:drawing>
          <wp:inline distT="0" distB="0" distL="0" distR="0" wp14:anchorId="1A7F5F4A" wp14:editId="3F85E33C">
            <wp:extent cx="5731510" cy="2339340"/>
            <wp:effectExtent l="0" t="0" r="2540" b="3810"/>
            <wp:docPr id="117162358" name="Picture 1" descr="A graph of a graph showing a number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2358" name="Picture 1" descr="A graph of a graph showing a number of different colored lines&#10;&#10;Description automatically generated"/>
                    <pic:cNvPicPr/>
                  </pic:nvPicPr>
                  <pic:blipFill>
                    <a:blip r:embed="rId21"/>
                    <a:stretch>
                      <a:fillRect/>
                    </a:stretch>
                  </pic:blipFill>
                  <pic:spPr>
                    <a:xfrm>
                      <a:off x="0" y="0"/>
                      <a:ext cx="5731510" cy="2339340"/>
                    </a:xfrm>
                    <a:prstGeom prst="rect">
                      <a:avLst/>
                    </a:prstGeom>
                  </pic:spPr>
                </pic:pic>
              </a:graphicData>
            </a:graphic>
          </wp:inline>
        </w:drawing>
      </w:r>
    </w:p>
    <w:p w14:paraId="62EC7018" w14:textId="77777777" w:rsidR="00CD374A" w:rsidRDefault="00CD374A" w:rsidP="009D0B71">
      <w:pPr>
        <w:jc w:val="both"/>
      </w:pPr>
    </w:p>
    <w:p w14:paraId="743F9058" w14:textId="61A823AF" w:rsidR="00C43B18" w:rsidRDefault="005E6C12" w:rsidP="00C43B18">
      <w:pPr>
        <w:jc w:val="both"/>
      </w:pPr>
      <w:r>
        <w:t>The final option is to set the axis units. This can be in Hz or PPM – PPM is the default. Note for most experiments there is a post processing button with this option as well.</w:t>
      </w:r>
    </w:p>
    <w:p w14:paraId="2BC8D4B5" w14:textId="77777777" w:rsidR="00CD374A" w:rsidRDefault="00CD374A" w:rsidP="009D0B71">
      <w:pPr>
        <w:jc w:val="both"/>
      </w:pPr>
    </w:p>
    <w:p w14:paraId="03DF5712" w14:textId="77777777" w:rsidR="00CD374A" w:rsidRDefault="00CD374A" w:rsidP="009D0B71">
      <w:pPr>
        <w:jc w:val="both"/>
      </w:pPr>
    </w:p>
    <w:p w14:paraId="121768D5" w14:textId="6CA42A21" w:rsidR="00CD374A" w:rsidRDefault="00CD374A" w:rsidP="009D0B71">
      <w:pPr>
        <w:jc w:val="both"/>
      </w:pPr>
    </w:p>
    <w:sectPr w:rsidR="00CD374A" w:rsidSect="00EA0A73">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9696EB" w14:textId="77777777" w:rsidR="00D82820" w:rsidRDefault="00D82820" w:rsidP="00A11C31">
      <w:r>
        <w:separator/>
      </w:r>
    </w:p>
  </w:endnote>
  <w:endnote w:type="continuationSeparator" w:id="0">
    <w:p w14:paraId="78F3C8D0" w14:textId="77777777" w:rsidR="00D82820" w:rsidRDefault="00D82820" w:rsidP="00A11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20CCC" w14:textId="352EFE6A" w:rsidR="0035592C" w:rsidRPr="004A5D28" w:rsidRDefault="0035592C" w:rsidP="00FE744E">
    <w:pPr>
      <w:rPr>
        <w:color w:val="808080" w:themeColor="background1" w:themeShade="80"/>
      </w:rPr>
    </w:pPr>
    <w:r w:rsidRPr="004A5D28">
      <w:rPr>
        <w:rFonts w:cstheme="minorHAnsi"/>
        <w:color w:val="808080" w:themeColor="background1" w:themeShade="80"/>
      </w:rPr>
      <w:t>©</w:t>
    </w:r>
    <w:r>
      <w:rPr>
        <w:color w:val="808080" w:themeColor="background1" w:themeShade="80"/>
      </w:rPr>
      <w:t>202</w:t>
    </w:r>
    <w:r w:rsidR="00447C2E">
      <w:rPr>
        <w:color w:val="808080" w:themeColor="background1" w:themeShade="80"/>
      </w:rPr>
      <w:t>5</w:t>
    </w:r>
    <w:r w:rsidRPr="004A5D28">
      <w:rPr>
        <w:color w:val="808080" w:themeColor="background1" w:themeShade="80"/>
      </w:rPr>
      <w:t xml:space="preserve"> Magritek Limited</w:t>
    </w:r>
    <w:r w:rsidRPr="004A5D28">
      <w:rPr>
        <w:color w:val="808080" w:themeColor="background1" w:themeShade="80"/>
      </w:rPr>
      <w:ptab w:relativeTo="margin" w:alignment="center" w:leader="none"/>
    </w:r>
    <w:r w:rsidRPr="004A5D28">
      <w:rPr>
        <w:color w:val="808080" w:themeColor="background1" w:themeShade="80"/>
      </w:rPr>
      <w:fldChar w:fldCharType="begin"/>
    </w:r>
    <w:r w:rsidRPr="004A5D28">
      <w:rPr>
        <w:color w:val="808080" w:themeColor="background1" w:themeShade="80"/>
      </w:rPr>
      <w:instrText xml:space="preserve"> PAGE   \* MERGEFORMAT </w:instrText>
    </w:r>
    <w:r w:rsidRPr="004A5D28">
      <w:rPr>
        <w:color w:val="808080" w:themeColor="background1" w:themeShade="80"/>
      </w:rPr>
      <w:fldChar w:fldCharType="separate"/>
    </w:r>
    <w:r>
      <w:rPr>
        <w:noProof/>
        <w:color w:val="808080" w:themeColor="background1" w:themeShade="80"/>
      </w:rPr>
      <w:t>45</w:t>
    </w:r>
    <w:r w:rsidRPr="004A5D28">
      <w:rPr>
        <w:noProof/>
        <w:color w:val="808080" w:themeColor="background1" w:themeShade="80"/>
      </w:rPr>
      <w:fldChar w:fldCharType="end"/>
    </w:r>
    <w:r w:rsidRPr="004A5D28">
      <w:rPr>
        <w:color w:val="808080" w:themeColor="background1" w:themeShade="80"/>
      </w:rPr>
      <w:tab/>
    </w:r>
    <w:r w:rsidRPr="004A5D28">
      <w:rPr>
        <w:color w:val="808080" w:themeColor="background1" w:themeShade="80"/>
      </w:rPr>
      <w:tab/>
    </w:r>
    <w:r w:rsidRPr="004A5D28">
      <w:rPr>
        <w:color w:val="808080" w:themeColor="background1" w:themeShade="80"/>
      </w:rPr>
      <w:tab/>
    </w:r>
    <w:r w:rsidRPr="004A5D28">
      <w:rPr>
        <w:color w:val="808080" w:themeColor="background1" w:themeShade="80"/>
      </w:rPr>
      <w:tab/>
    </w:r>
    <w:r w:rsidRPr="004A5D28">
      <w:rPr>
        <w:color w:val="808080" w:themeColor="background1" w:themeShade="80"/>
      </w:rPr>
      <w:tab/>
    </w:r>
    <w:r>
      <w:rPr>
        <w:color w:val="808080" w:themeColor="background1" w:themeShade="80"/>
      </w:rPr>
      <w:t>V</w:t>
    </w:r>
    <w:r w:rsidR="00803E4E">
      <w:rPr>
        <w:color w:val="808080" w:themeColor="background1" w:themeShade="80"/>
      </w:rPr>
      <w:t>1.00</w:t>
    </w:r>
  </w:p>
  <w:p w14:paraId="6851C493" w14:textId="77777777" w:rsidR="0035592C" w:rsidRDefault="00355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B843E7" w14:textId="77777777" w:rsidR="00D82820" w:rsidRDefault="00D82820" w:rsidP="00A11C31">
      <w:r>
        <w:separator/>
      </w:r>
    </w:p>
  </w:footnote>
  <w:footnote w:type="continuationSeparator" w:id="0">
    <w:p w14:paraId="61DD4C32" w14:textId="77777777" w:rsidR="00D82820" w:rsidRDefault="00D82820" w:rsidP="00A11C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65BF3"/>
    <w:multiLevelType w:val="hybridMultilevel"/>
    <w:tmpl w:val="98C8996C"/>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5721ECE"/>
    <w:multiLevelType w:val="hybridMultilevel"/>
    <w:tmpl w:val="FE9656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63670E1"/>
    <w:multiLevelType w:val="multilevel"/>
    <w:tmpl w:val="C744F66C"/>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pStyle w:val="Heading4"/>
      <w:lvlText w:val="%1.%2.%3.%4"/>
      <w:lvlJc w:val="left"/>
      <w:pPr>
        <w:ind w:left="1418" w:firstLine="0"/>
      </w:pPr>
      <w:rPr>
        <w:rFonts w:hint="default"/>
      </w:rPr>
    </w:lvl>
    <w:lvl w:ilvl="4">
      <w:start w:val="1"/>
      <w:numFmt w:val="decimal"/>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upperLetter"/>
      <w:pStyle w:val="Heading7"/>
      <w:lvlText w:val="Appendix %7"/>
      <w:lvlJc w:val="left"/>
      <w:pPr>
        <w:ind w:left="0" w:firstLine="0"/>
      </w:pPr>
      <w:rPr>
        <w:rFonts w:hint="default"/>
      </w:rPr>
    </w:lvl>
    <w:lvl w:ilvl="7">
      <w:start w:val="1"/>
      <w:numFmt w:val="decimal"/>
      <w:pStyle w:val="Heading8"/>
      <w:lvlText w:val="%7.%8"/>
      <w:lvlJc w:val="left"/>
      <w:pPr>
        <w:ind w:left="0" w:firstLine="0"/>
      </w:pPr>
      <w:rPr>
        <w:rFonts w:hint="default"/>
      </w:rPr>
    </w:lvl>
    <w:lvl w:ilvl="8">
      <w:start w:val="1"/>
      <w:numFmt w:val="decimal"/>
      <w:pStyle w:val="Heading9"/>
      <w:lvlText w:val="%7.%8.%9"/>
      <w:lvlJc w:val="left"/>
      <w:pPr>
        <w:ind w:left="0" w:firstLine="0"/>
      </w:pPr>
      <w:rPr>
        <w:rFonts w:hint="default"/>
      </w:rPr>
    </w:lvl>
  </w:abstractNum>
  <w:abstractNum w:abstractNumId="3" w15:restartNumberingAfterBreak="0">
    <w:nsid w:val="0C6351E2"/>
    <w:multiLevelType w:val="hybridMultilevel"/>
    <w:tmpl w:val="5FAE34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1C71DA"/>
    <w:multiLevelType w:val="hybridMultilevel"/>
    <w:tmpl w:val="EE70E106"/>
    <w:lvl w:ilvl="0" w:tplc="14090019">
      <w:start w:val="1"/>
      <w:numFmt w:val="lowerLetter"/>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5215994"/>
    <w:multiLevelType w:val="hybridMultilevel"/>
    <w:tmpl w:val="833E7B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8756608"/>
    <w:multiLevelType w:val="hybridMultilevel"/>
    <w:tmpl w:val="416C5DF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23065081"/>
    <w:multiLevelType w:val="hybridMultilevel"/>
    <w:tmpl w:val="332EE2EC"/>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0532D05"/>
    <w:multiLevelType w:val="hybridMultilevel"/>
    <w:tmpl w:val="22EE74C0"/>
    <w:lvl w:ilvl="0" w:tplc="13006640">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9" w15:restartNumberingAfterBreak="0">
    <w:nsid w:val="3171727A"/>
    <w:multiLevelType w:val="hybridMultilevel"/>
    <w:tmpl w:val="50263B1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3F801AB"/>
    <w:multiLevelType w:val="hybridMultilevel"/>
    <w:tmpl w:val="5FAE34E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393733BD"/>
    <w:multiLevelType w:val="hybridMultilevel"/>
    <w:tmpl w:val="393878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DB34ED9"/>
    <w:multiLevelType w:val="hybridMultilevel"/>
    <w:tmpl w:val="3E58367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3E311938"/>
    <w:multiLevelType w:val="hybridMultilevel"/>
    <w:tmpl w:val="3E58367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40F11DF3"/>
    <w:multiLevelType w:val="hybridMultilevel"/>
    <w:tmpl w:val="C37E71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2737C3E"/>
    <w:multiLevelType w:val="hybridMultilevel"/>
    <w:tmpl w:val="72DA9B5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49F86AA5"/>
    <w:multiLevelType w:val="multilevel"/>
    <w:tmpl w:val="D8249B3A"/>
    <w:styleLink w:val="AppendixHeadings"/>
    <w:lvl w:ilvl="0">
      <w:start w:val="1"/>
      <w:numFmt w:val="upperLetter"/>
      <w:lvlText w:val="Appendix %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4AED2692"/>
    <w:multiLevelType w:val="multilevel"/>
    <w:tmpl w:val="FC0C24C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8" w15:restartNumberingAfterBreak="0">
    <w:nsid w:val="502A18C2"/>
    <w:multiLevelType w:val="hybridMultilevel"/>
    <w:tmpl w:val="23B2A8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553A4ED8"/>
    <w:multiLevelType w:val="hybridMultilevel"/>
    <w:tmpl w:val="B7827B1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55A327AF"/>
    <w:multiLevelType w:val="hybridMultilevel"/>
    <w:tmpl w:val="F19C729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56EF5447"/>
    <w:multiLevelType w:val="hybridMultilevel"/>
    <w:tmpl w:val="BC8A82A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5A2D48FA"/>
    <w:multiLevelType w:val="hybridMultilevel"/>
    <w:tmpl w:val="B7D26BD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3" w15:restartNumberingAfterBreak="0">
    <w:nsid w:val="6210384E"/>
    <w:multiLevelType w:val="hybridMultilevel"/>
    <w:tmpl w:val="FC0C24C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6E2E2F15"/>
    <w:multiLevelType w:val="hybridMultilevel"/>
    <w:tmpl w:val="C9880C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76FE5011"/>
    <w:multiLevelType w:val="multilevel"/>
    <w:tmpl w:val="FE96566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7C1F0498"/>
    <w:multiLevelType w:val="hybridMultilevel"/>
    <w:tmpl w:val="C26C3DB8"/>
    <w:lvl w:ilvl="0" w:tplc="14090019">
      <w:start w:val="1"/>
      <w:numFmt w:val="lowerLetter"/>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27" w15:restartNumberingAfterBreak="0">
    <w:nsid w:val="7CEB1C42"/>
    <w:multiLevelType w:val="hybridMultilevel"/>
    <w:tmpl w:val="5FAE34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DC41F34"/>
    <w:multiLevelType w:val="multilevel"/>
    <w:tmpl w:val="134EEC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28176322">
    <w:abstractNumId w:val="0"/>
  </w:num>
  <w:num w:numId="2" w16cid:durableId="2048216345">
    <w:abstractNumId w:val="11"/>
  </w:num>
  <w:num w:numId="3" w16cid:durableId="940340663">
    <w:abstractNumId w:val="5"/>
  </w:num>
  <w:num w:numId="4" w16cid:durableId="1079794757">
    <w:abstractNumId w:val="23"/>
  </w:num>
  <w:num w:numId="5" w16cid:durableId="413019188">
    <w:abstractNumId w:val="14"/>
  </w:num>
  <w:num w:numId="6" w16cid:durableId="1128665704">
    <w:abstractNumId w:val="17"/>
  </w:num>
  <w:num w:numId="7" w16cid:durableId="1181437043">
    <w:abstractNumId w:val="15"/>
  </w:num>
  <w:num w:numId="8" w16cid:durableId="841311226">
    <w:abstractNumId w:val="1"/>
  </w:num>
  <w:num w:numId="9" w16cid:durableId="2080400958">
    <w:abstractNumId w:val="25"/>
  </w:num>
  <w:num w:numId="10" w16cid:durableId="1984193824">
    <w:abstractNumId w:val="22"/>
  </w:num>
  <w:num w:numId="11" w16cid:durableId="1822187702">
    <w:abstractNumId w:val="24"/>
  </w:num>
  <w:num w:numId="12" w16cid:durableId="343089441">
    <w:abstractNumId w:val="28"/>
  </w:num>
  <w:num w:numId="13" w16cid:durableId="1967153257">
    <w:abstractNumId w:val="16"/>
  </w:num>
  <w:num w:numId="14" w16cid:durableId="1941453475">
    <w:abstractNumId w:val="2"/>
  </w:num>
  <w:num w:numId="15" w16cid:durableId="1971739796">
    <w:abstractNumId w:val="7"/>
  </w:num>
  <w:num w:numId="16" w16cid:durableId="1757362967">
    <w:abstractNumId w:val="2"/>
  </w:num>
  <w:num w:numId="17" w16cid:durableId="189684835">
    <w:abstractNumId w:val="2"/>
  </w:num>
  <w:num w:numId="18" w16cid:durableId="1299409369">
    <w:abstractNumId w:val="4"/>
  </w:num>
  <w:num w:numId="19" w16cid:durableId="148063377">
    <w:abstractNumId w:val="26"/>
  </w:num>
  <w:num w:numId="20" w16cid:durableId="685910444">
    <w:abstractNumId w:val="12"/>
  </w:num>
  <w:num w:numId="21" w16cid:durableId="1174957848">
    <w:abstractNumId w:val="21"/>
  </w:num>
  <w:num w:numId="22" w16cid:durableId="58947510">
    <w:abstractNumId w:val="13"/>
  </w:num>
  <w:num w:numId="23" w16cid:durableId="59064386">
    <w:abstractNumId w:val="20"/>
  </w:num>
  <w:num w:numId="24" w16cid:durableId="1772897716">
    <w:abstractNumId w:val="9"/>
  </w:num>
  <w:num w:numId="25" w16cid:durableId="1257206876">
    <w:abstractNumId w:val="18"/>
  </w:num>
  <w:num w:numId="26" w16cid:durableId="1738747914">
    <w:abstractNumId w:val="19"/>
  </w:num>
  <w:num w:numId="27" w16cid:durableId="2045204162">
    <w:abstractNumId w:val="6"/>
  </w:num>
  <w:num w:numId="28" w16cid:durableId="1361005069">
    <w:abstractNumId w:val="10"/>
  </w:num>
  <w:num w:numId="29" w16cid:durableId="437877147">
    <w:abstractNumId w:val="3"/>
  </w:num>
  <w:num w:numId="30" w16cid:durableId="876352160">
    <w:abstractNumId w:val="27"/>
  </w:num>
  <w:num w:numId="31" w16cid:durableId="629096942">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CDE"/>
    <w:rsid w:val="00002960"/>
    <w:rsid w:val="000033C1"/>
    <w:rsid w:val="00005466"/>
    <w:rsid w:val="00013392"/>
    <w:rsid w:val="000138FA"/>
    <w:rsid w:val="00013C1C"/>
    <w:rsid w:val="000143A3"/>
    <w:rsid w:val="000160B4"/>
    <w:rsid w:val="000216E8"/>
    <w:rsid w:val="00026295"/>
    <w:rsid w:val="00026419"/>
    <w:rsid w:val="000268C0"/>
    <w:rsid w:val="000311FC"/>
    <w:rsid w:val="00031C9D"/>
    <w:rsid w:val="0003538A"/>
    <w:rsid w:val="00045C5C"/>
    <w:rsid w:val="00052355"/>
    <w:rsid w:val="0005435C"/>
    <w:rsid w:val="00056B65"/>
    <w:rsid w:val="00056C67"/>
    <w:rsid w:val="00064C05"/>
    <w:rsid w:val="00072DF3"/>
    <w:rsid w:val="00072F22"/>
    <w:rsid w:val="000746FD"/>
    <w:rsid w:val="000759DD"/>
    <w:rsid w:val="00075E08"/>
    <w:rsid w:val="00077A25"/>
    <w:rsid w:val="00084ED3"/>
    <w:rsid w:val="00092027"/>
    <w:rsid w:val="00095DD0"/>
    <w:rsid w:val="000970A6"/>
    <w:rsid w:val="000A0643"/>
    <w:rsid w:val="000A09A1"/>
    <w:rsid w:val="000A6B19"/>
    <w:rsid w:val="000A7D4A"/>
    <w:rsid w:val="000C1BFD"/>
    <w:rsid w:val="000C6A97"/>
    <w:rsid w:val="000D195C"/>
    <w:rsid w:val="000D36A8"/>
    <w:rsid w:val="000D3E6E"/>
    <w:rsid w:val="000D4FC3"/>
    <w:rsid w:val="000E1A6C"/>
    <w:rsid w:val="000E4765"/>
    <w:rsid w:val="000E55E2"/>
    <w:rsid w:val="000E6AB2"/>
    <w:rsid w:val="000E6D56"/>
    <w:rsid w:val="000F0DA5"/>
    <w:rsid w:val="000F1148"/>
    <w:rsid w:val="000F3A50"/>
    <w:rsid w:val="000F5B8D"/>
    <w:rsid w:val="001014B4"/>
    <w:rsid w:val="00101F73"/>
    <w:rsid w:val="00102256"/>
    <w:rsid w:val="00104FF6"/>
    <w:rsid w:val="00106D7F"/>
    <w:rsid w:val="0011045D"/>
    <w:rsid w:val="001120B7"/>
    <w:rsid w:val="00121CE9"/>
    <w:rsid w:val="00122347"/>
    <w:rsid w:val="001243A5"/>
    <w:rsid w:val="00131064"/>
    <w:rsid w:val="00132360"/>
    <w:rsid w:val="001331BA"/>
    <w:rsid w:val="0013644D"/>
    <w:rsid w:val="00141C4B"/>
    <w:rsid w:val="00146504"/>
    <w:rsid w:val="00146E85"/>
    <w:rsid w:val="00150EF5"/>
    <w:rsid w:val="00152253"/>
    <w:rsid w:val="00155000"/>
    <w:rsid w:val="00166EED"/>
    <w:rsid w:val="001719C1"/>
    <w:rsid w:val="001817E1"/>
    <w:rsid w:val="00181A5A"/>
    <w:rsid w:val="00185FE4"/>
    <w:rsid w:val="00191BBD"/>
    <w:rsid w:val="00191BDC"/>
    <w:rsid w:val="001A004C"/>
    <w:rsid w:val="001A17B2"/>
    <w:rsid w:val="001A4659"/>
    <w:rsid w:val="001B1374"/>
    <w:rsid w:val="001B1CB4"/>
    <w:rsid w:val="001B210A"/>
    <w:rsid w:val="001B2B2B"/>
    <w:rsid w:val="001B35B8"/>
    <w:rsid w:val="001B4FDD"/>
    <w:rsid w:val="001B7F65"/>
    <w:rsid w:val="001C540D"/>
    <w:rsid w:val="001D00F9"/>
    <w:rsid w:val="001D0956"/>
    <w:rsid w:val="001E071B"/>
    <w:rsid w:val="001E4A17"/>
    <w:rsid w:val="001E4EA3"/>
    <w:rsid w:val="001F14C7"/>
    <w:rsid w:val="001F28FE"/>
    <w:rsid w:val="001F63E1"/>
    <w:rsid w:val="001F73F7"/>
    <w:rsid w:val="00201BB9"/>
    <w:rsid w:val="00205219"/>
    <w:rsid w:val="00207038"/>
    <w:rsid w:val="00211B0C"/>
    <w:rsid w:val="002210BB"/>
    <w:rsid w:val="002241F8"/>
    <w:rsid w:val="00230E06"/>
    <w:rsid w:val="00231072"/>
    <w:rsid w:val="00231EA4"/>
    <w:rsid w:val="002337C0"/>
    <w:rsid w:val="00246481"/>
    <w:rsid w:val="00250734"/>
    <w:rsid w:val="00253762"/>
    <w:rsid w:val="002537AF"/>
    <w:rsid w:val="00253C8D"/>
    <w:rsid w:val="00260F92"/>
    <w:rsid w:val="0026157E"/>
    <w:rsid w:val="00262966"/>
    <w:rsid w:val="00270E63"/>
    <w:rsid w:val="00271D3D"/>
    <w:rsid w:val="00271E42"/>
    <w:rsid w:val="0027318D"/>
    <w:rsid w:val="00275729"/>
    <w:rsid w:val="00285467"/>
    <w:rsid w:val="002866EA"/>
    <w:rsid w:val="00287E4F"/>
    <w:rsid w:val="002921FC"/>
    <w:rsid w:val="002931C8"/>
    <w:rsid w:val="002968AC"/>
    <w:rsid w:val="002979EB"/>
    <w:rsid w:val="002A2EBF"/>
    <w:rsid w:val="002A66E0"/>
    <w:rsid w:val="002A7DB5"/>
    <w:rsid w:val="002B2347"/>
    <w:rsid w:val="002B6EF2"/>
    <w:rsid w:val="002C153A"/>
    <w:rsid w:val="002C41A4"/>
    <w:rsid w:val="002C5BEE"/>
    <w:rsid w:val="002C6121"/>
    <w:rsid w:val="002D05F0"/>
    <w:rsid w:val="002D0AD2"/>
    <w:rsid w:val="002D1985"/>
    <w:rsid w:val="002D35B9"/>
    <w:rsid w:val="002E1F7B"/>
    <w:rsid w:val="002E207E"/>
    <w:rsid w:val="002E6261"/>
    <w:rsid w:val="002F48A6"/>
    <w:rsid w:val="002F63B0"/>
    <w:rsid w:val="0030230C"/>
    <w:rsid w:val="00304A0D"/>
    <w:rsid w:val="00305F0C"/>
    <w:rsid w:val="00311806"/>
    <w:rsid w:val="0031770A"/>
    <w:rsid w:val="003234F8"/>
    <w:rsid w:val="00327586"/>
    <w:rsid w:val="00332590"/>
    <w:rsid w:val="00332E02"/>
    <w:rsid w:val="00333A74"/>
    <w:rsid w:val="003410CA"/>
    <w:rsid w:val="003412F8"/>
    <w:rsid w:val="00341DB8"/>
    <w:rsid w:val="00342DA5"/>
    <w:rsid w:val="00343709"/>
    <w:rsid w:val="003453FA"/>
    <w:rsid w:val="00346092"/>
    <w:rsid w:val="003503C7"/>
    <w:rsid w:val="0035592C"/>
    <w:rsid w:val="00356C4F"/>
    <w:rsid w:val="00371D96"/>
    <w:rsid w:val="00372DDC"/>
    <w:rsid w:val="00372E6A"/>
    <w:rsid w:val="00374360"/>
    <w:rsid w:val="00376703"/>
    <w:rsid w:val="00386133"/>
    <w:rsid w:val="00390ABE"/>
    <w:rsid w:val="00394DD3"/>
    <w:rsid w:val="0039575E"/>
    <w:rsid w:val="003A0C28"/>
    <w:rsid w:val="003A27F8"/>
    <w:rsid w:val="003A7FDB"/>
    <w:rsid w:val="003B1E14"/>
    <w:rsid w:val="003B1E61"/>
    <w:rsid w:val="003B4EAB"/>
    <w:rsid w:val="003B58E2"/>
    <w:rsid w:val="003B6300"/>
    <w:rsid w:val="003B6C0F"/>
    <w:rsid w:val="003B6F35"/>
    <w:rsid w:val="003C631D"/>
    <w:rsid w:val="003C6D24"/>
    <w:rsid w:val="003D6319"/>
    <w:rsid w:val="003D7113"/>
    <w:rsid w:val="003E4014"/>
    <w:rsid w:val="003E48F1"/>
    <w:rsid w:val="003E6470"/>
    <w:rsid w:val="003F0B68"/>
    <w:rsid w:val="003F4D6A"/>
    <w:rsid w:val="003F4E24"/>
    <w:rsid w:val="003F5F6F"/>
    <w:rsid w:val="003F73FD"/>
    <w:rsid w:val="003F7C3D"/>
    <w:rsid w:val="003F7F99"/>
    <w:rsid w:val="00402D18"/>
    <w:rsid w:val="00402D77"/>
    <w:rsid w:val="00402F58"/>
    <w:rsid w:val="004033BD"/>
    <w:rsid w:val="004069AE"/>
    <w:rsid w:val="00413746"/>
    <w:rsid w:val="00413A41"/>
    <w:rsid w:val="00413AF4"/>
    <w:rsid w:val="00413DDA"/>
    <w:rsid w:val="00417235"/>
    <w:rsid w:val="0042299E"/>
    <w:rsid w:val="00425536"/>
    <w:rsid w:val="00431982"/>
    <w:rsid w:val="004339F8"/>
    <w:rsid w:val="0043744F"/>
    <w:rsid w:val="004408E6"/>
    <w:rsid w:val="00444C77"/>
    <w:rsid w:val="0044704F"/>
    <w:rsid w:val="00447C2E"/>
    <w:rsid w:val="00450772"/>
    <w:rsid w:val="00463F81"/>
    <w:rsid w:val="004660DC"/>
    <w:rsid w:val="00467943"/>
    <w:rsid w:val="00476C64"/>
    <w:rsid w:val="004777C7"/>
    <w:rsid w:val="0048074E"/>
    <w:rsid w:val="00482332"/>
    <w:rsid w:val="00486548"/>
    <w:rsid w:val="004870C2"/>
    <w:rsid w:val="00490990"/>
    <w:rsid w:val="00492DB4"/>
    <w:rsid w:val="004932EB"/>
    <w:rsid w:val="00496302"/>
    <w:rsid w:val="00497217"/>
    <w:rsid w:val="00497613"/>
    <w:rsid w:val="004A2C4C"/>
    <w:rsid w:val="004B05E2"/>
    <w:rsid w:val="004B170F"/>
    <w:rsid w:val="004B3445"/>
    <w:rsid w:val="004B44F4"/>
    <w:rsid w:val="004B54D0"/>
    <w:rsid w:val="004C2CC3"/>
    <w:rsid w:val="004C5EAC"/>
    <w:rsid w:val="004C5FB2"/>
    <w:rsid w:val="004E00E2"/>
    <w:rsid w:val="004E4F74"/>
    <w:rsid w:val="004E5C1F"/>
    <w:rsid w:val="004F2820"/>
    <w:rsid w:val="00500B44"/>
    <w:rsid w:val="0050255B"/>
    <w:rsid w:val="00502F4A"/>
    <w:rsid w:val="00503991"/>
    <w:rsid w:val="00503D9C"/>
    <w:rsid w:val="00504FCA"/>
    <w:rsid w:val="00505F0A"/>
    <w:rsid w:val="00507F9B"/>
    <w:rsid w:val="005121A4"/>
    <w:rsid w:val="00516A13"/>
    <w:rsid w:val="00516C4B"/>
    <w:rsid w:val="00516FF5"/>
    <w:rsid w:val="00520F41"/>
    <w:rsid w:val="00521069"/>
    <w:rsid w:val="00523964"/>
    <w:rsid w:val="00526081"/>
    <w:rsid w:val="0053345D"/>
    <w:rsid w:val="005366E7"/>
    <w:rsid w:val="00537E03"/>
    <w:rsid w:val="00551961"/>
    <w:rsid w:val="005563EC"/>
    <w:rsid w:val="00556E61"/>
    <w:rsid w:val="00560117"/>
    <w:rsid w:val="00564F18"/>
    <w:rsid w:val="00565253"/>
    <w:rsid w:val="00575119"/>
    <w:rsid w:val="005751FE"/>
    <w:rsid w:val="00575406"/>
    <w:rsid w:val="00576BB9"/>
    <w:rsid w:val="005856A8"/>
    <w:rsid w:val="0059007D"/>
    <w:rsid w:val="00596082"/>
    <w:rsid w:val="00596502"/>
    <w:rsid w:val="005A0A4A"/>
    <w:rsid w:val="005A4FBA"/>
    <w:rsid w:val="005A5385"/>
    <w:rsid w:val="005A6B89"/>
    <w:rsid w:val="005A6E43"/>
    <w:rsid w:val="005B0237"/>
    <w:rsid w:val="005B0D68"/>
    <w:rsid w:val="005B14AD"/>
    <w:rsid w:val="005B18EC"/>
    <w:rsid w:val="005B33E7"/>
    <w:rsid w:val="005B7A9D"/>
    <w:rsid w:val="005C1C92"/>
    <w:rsid w:val="005C6C47"/>
    <w:rsid w:val="005C7502"/>
    <w:rsid w:val="005D02C2"/>
    <w:rsid w:val="005D1A69"/>
    <w:rsid w:val="005E05B8"/>
    <w:rsid w:val="005E0C2B"/>
    <w:rsid w:val="005E49E4"/>
    <w:rsid w:val="005E56E4"/>
    <w:rsid w:val="005E62C2"/>
    <w:rsid w:val="005E67A0"/>
    <w:rsid w:val="005E6C12"/>
    <w:rsid w:val="005E7636"/>
    <w:rsid w:val="005E7E8E"/>
    <w:rsid w:val="005F1026"/>
    <w:rsid w:val="005F12EC"/>
    <w:rsid w:val="005F2780"/>
    <w:rsid w:val="005F4CA8"/>
    <w:rsid w:val="006127D3"/>
    <w:rsid w:val="00613F2F"/>
    <w:rsid w:val="00625CDF"/>
    <w:rsid w:val="00626383"/>
    <w:rsid w:val="0062709C"/>
    <w:rsid w:val="006279A2"/>
    <w:rsid w:val="00627C16"/>
    <w:rsid w:val="00627FF9"/>
    <w:rsid w:val="0063138A"/>
    <w:rsid w:val="006365C3"/>
    <w:rsid w:val="00640999"/>
    <w:rsid w:val="006422D6"/>
    <w:rsid w:val="0064373E"/>
    <w:rsid w:val="00646F90"/>
    <w:rsid w:val="00651F38"/>
    <w:rsid w:val="00652553"/>
    <w:rsid w:val="00653212"/>
    <w:rsid w:val="0065596A"/>
    <w:rsid w:val="0065622D"/>
    <w:rsid w:val="0065716A"/>
    <w:rsid w:val="00657471"/>
    <w:rsid w:val="00657771"/>
    <w:rsid w:val="00660F5F"/>
    <w:rsid w:val="006678D4"/>
    <w:rsid w:val="006728A9"/>
    <w:rsid w:val="00673ED1"/>
    <w:rsid w:val="00677733"/>
    <w:rsid w:val="00680AE7"/>
    <w:rsid w:val="00680CF1"/>
    <w:rsid w:val="00691503"/>
    <w:rsid w:val="006942AF"/>
    <w:rsid w:val="0069635B"/>
    <w:rsid w:val="006A35FF"/>
    <w:rsid w:val="006A4461"/>
    <w:rsid w:val="006B3713"/>
    <w:rsid w:val="006B3EC9"/>
    <w:rsid w:val="006B445A"/>
    <w:rsid w:val="006B4FDD"/>
    <w:rsid w:val="006B719A"/>
    <w:rsid w:val="006C049D"/>
    <w:rsid w:val="006C04D9"/>
    <w:rsid w:val="006C08D2"/>
    <w:rsid w:val="006C130F"/>
    <w:rsid w:val="006C500C"/>
    <w:rsid w:val="006C6BDA"/>
    <w:rsid w:val="006D1D60"/>
    <w:rsid w:val="006D3A18"/>
    <w:rsid w:val="006E1829"/>
    <w:rsid w:val="006E45B3"/>
    <w:rsid w:val="006E6D55"/>
    <w:rsid w:val="006E786B"/>
    <w:rsid w:val="006F058C"/>
    <w:rsid w:val="006F0EB0"/>
    <w:rsid w:val="006F22E8"/>
    <w:rsid w:val="006F257B"/>
    <w:rsid w:val="006F261E"/>
    <w:rsid w:val="006F6224"/>
    <w:rsid w:val="00700735"/>
    <w:rsid w:val="00700E90"/>
    <w:rsid w:val="007012C0"/>
    <w:rsid w:val="00706D7F"/>
    <w:rsid w:val="00712396"/>
    <w:rsid w:val="00712C8E"/>
    <w:rsid w:val="00724CE9"/>
    <w:rsid w:val="00726F91"/>
    <w:rsid w:val="0073226D"/>
    <w:rsid w:val="00735FB1"/>
    <w:rsid w:val="0074281E"/>
    <w:rsid w:val="007433D0"/>
    <w:rsid w:val="00745A70"/>
    <w:rsid w:val="00747F90"/>
    <w:rsid w:val="00750368"/>
    <w:rsid w:val="00754FD0"/>
    <w:rsid w:val="0076243B"/>
    <w:rsid w:val="0076329E"/>
    <w:rsid w:val="00765418"/>
    <w:rsid w:val="00770E81"/>
    <w:rsid w:val="007725E9"/>
    <w:rsid w:val="00774051"/>
    <w:rsid w:val="00776209"/>
    <w:rsid w:val="007769C2"/>
    <w:rsid w:val="007829BE"/>
    <w:rsid w:val="00784409"/>
    <w:rsid w:val="00784455"/>
    <w:rsid w:val="0078798F"/>
    <w:rsid w:val="00790126"/>
    <w:rsid w:val="0079042F"/>
    <w:rsid w:val="0079300D"/>
    <w:rsid w:val="00793FF7"/>
    <w:rsid w:val="007940C3"/>
    <w:rsid w:val="007A2965"/>
    <w:rsid w:val="007A7AD4"/>
    <w:rsid w:val="007A7EB9"/>
    <w:rsid w:val="007B4D92"/>
    <w:rsid w:val="007B6DF6"/>
    <w:rsid w:val="007C0529"/>
    <w:rsid w:val="007C42AE"/>
    <w:rsid w:val="007C59B2"/>
    <w:rsid w:val="007D341B"/>
    <w:rsid w:val="007D56F7"/>
    <w:rsid w:val="007D763B"/>
    <w:rsid w:val="007E11E7"/>
    <w:rsid w:val="007E1943"/>
    <w:rsid w:val="007E32BF"/>
    <w:rsid w:val="007E37AA"/>
    <w:rsid w:val="007E6500"/>
    <w:rsid w:val="007E6F17"/>
    <w:rsid w:val="007F04C7"/>
    <w:rsid w:val="007F30CF"/>
    <w:rsid w:val="007F544C"/>
    <w:rsid w:val="00803E4E"/>
    <w:rsid w:val="0080549E"/>
    <w:rsid w:val="00805B33"/>
    <w:rsid w:val="0081025E"/>
    <w:rsid w:val="00814426"/>
    <w:rsid w:val="00814772"/>
    <w:rsid w:val="00814C87"/>
    <w:rsid w:val="00814D26"/>
    <w:rsid w:val="00816818"/>
    <w:rsid w:val="00817DDE"/>
    <w:rsid w:val="00831D9B"/>
    <w:rsid w:val="00837F71"/>
    <w:rsid w:val="00841087"/>
    <w:rsid w:val="0084139B"/>
    <w:rsid w:val="0084198A"/>
    <w:rsid w:val="00847447"/>
    <w:rsid w:val="008572AE"/>
    <w:rsid w:val="008632F7"/>
    <w:rsid w:val="00864654"/>
    <w:rsid w:val="008678B7"/>
    <w:rsid w:val="00870AB3"/>
    <w:rsid w:val="00871E79"/>
    <w:rsid w:val="00874435"/>
    <w:rsid w:val="00875A27"/>
    <w:rsid w:val="00883DC0"/>
    <w:rsid w:val="00884413"/>
    <w:rsid w:val="00885623"/>
    <w:rsid w:val="00885FD9"/>
    <w:rsid w:val="00887038"/>
    <w:rsid w:val="008946EC"/>
    <w:rsid w:val="00897800"/>
    <w:rsid w:val="008979C2"/>
    <w:rsid w:val="008A012C"/>
    <w:rsid w:val="008A3DCB"/>
    <w:rsid w:val="008A7164"/>
    <w:rsid w:val="008B3A63"/>
    <w:rsid w:val="008C0484"/>
    <w:rsid w:val="008C0C2C"/>
    <w:rsid w:val="008C2DA0"/>
    <w:rsid w:val="008C3230"/>
    <w:rsid w:val="008C6D0D"/>
    <w:rsid w:val="008D046D"/>
    <w:rsid w:val="008D2C68"/>
    <w:rsid w:val="008E14CD"/>
    <w:rsid w:val="008E5FDE"/>
    <w:rsid w:val="008E60F4"/>
    <w:rsid w:val="008E798E"/>
    <w:rsid w:val="008F18E1"/>
    <w:rsid w:val="00901F2F"/>
    <w:rsid w:val="0091009A"/>
    <w:rsid w:val="00910E0E"/>
    <w:rsid w:val="009115E0"/>
    <w:rsid w:val="00916DFF"/>
    <w:rsid w:val="00917345"/>
    <w:rsid w:val="00922A94"/>
    <w:rsid w:val="009303FF"/>
    <w:rsid w:val="00933796"/>
    <w:rsid w:val="00933AB6"/>
    <w:rsid w:val="00940856"/>
    <w:rsid w:val="00941CF5"/>
    <w:rsid w:val="00945DE9"/>
    <w:rsid w:val="00946DEB"/>
    <w:rsid w:val="00947BD3"/>
    <w:rsid w:val="00950904"/>
    <w:rsid w:val="00956B06"/>
    <w:rsid w:val="009611EA"/>
    <w:rsid w:val="00962DEA"/>
    <w:rsid w:val="00971FAB"/>
    <w:rsid w:val="00973208"/>
    <w:rsid w:val="00973A80"/>
    <w:rsid w:val="00974D99"/>
    <w:rsid w:val="00976DFB"/>
    <w:rsid w:val="00977821"/>
    <w:rsid w:val="009818A3"/>
    <w:rsid w:val="00982A5F"/>
    <w:rsid w:val="0098378B"/>
    <w:rsid w:val="00997713"/>
    <w:rsid w:val="009A2CB2"/>
    <w:rsid w:val="009B369B"/>
    <w:rsid w:val="009C0AC9"/>
    <w:rsid w:val="009C0AD5"/>
    <w:rsid w:val="009C51E6"/>
    <w:rsid w:val="009D0B71"/>
    <w:rsid w:val="009D0D0F"/>
    <w:rsid w:val="009D24E8"/>
    <w:rsid w:val="009D692B"/>
    <w:rsid w:val="009D7E60"/>
    <w:rsid w:val="009E3B5D"/>
    <w:rsid w:val="009E7A71"/>
    <w:rsid w:val="009F1ED0"/>
    <w:rsid w:val="009F5816"/>
    <w:rsid w:val="009F6B67"/>
    <w:rsid w:val="00A013EF"/>
    <w:rsid w:val="00A01949"/>
    <w:rsid w:val="00A11076"/>
    <w:rsid w:val="00A11C31"/>
    <w:rsid w:val="00A14A80"/>
    <w:rsid w:val="00A21602"/>
    <w:rsid w:val="00A22BAB"/>
    <w:rsid w:val="00A2341D"/>
    <w:rsid w:val="00A245A0"/>
    <w:rsid w:val="00A24D8F"/>
    <w:rsid w:val="00A2516A"/>
    <w:rsid w:val="00A26DD7"/>
    <w:rsid w:val="00A35A67"/>
    <w:rsid w:val="00A363EF"/>
    <w:rsid w:val="00A406FF"/>
    <w:rsid w:val="00A42019"/>
    <w:rsid w:val="00A44025"/>
    <w:rsid w:val="00A47A71"/>
    <w:rsid w:val="00A47CF0"/>
    <w:rsid w:val="00A502B8"/>
    <w:rsid w:val="00A53387"/>
    <w:rsid w:val="00A55CBA"/>
    <w:rsid w:val="00A56ECA"/>
    <w:rsid w:val="00A617B7"/>
    <w:rsid w:val="00A62198"/>
    <w:rsid w:val="00A67630"/>
    <w:rsid w:val="00A67E79"/>
    <w:rsid w:val="00A748FB"/>
    <w:rsid w:val="00A85DBE"/>
    <w:rsid w:val="00A90759"/>
    <w:rsid w:val="00AA1880"/>
    <w:rsid w:val="00AA4E97"/>
    <w:rsid w:val="00AA608A"/>
    <w:rsid w:val="00AA613E"/>
    <w:rsid w:val="00AB04BC"/>
    <w:rsid w:val="00AC618F"/>
    <w:rsid w:val="00AD54FA"/>
    <w:rsid w:val="00AD6F79"/>
    <w:rsid w:val="00AE0655"/>
    <w:rsid w:val="00AE150E"/>
    <w:rsid w:val="00AE292E"/>
    <w:rsid w:val="00AE550E"/>
    <w:rsid w:val="00AE5C6D"/>
    <w:rsid w:val="00AF0035"/>
    <w:rsid w:val="00AF0090"/>
    <w:rsid w:val="00AF0696"/>
    <w:rsid w:val="00AF4993"/>
    <w:rsid w:val="00B12B78"/>
    <w:rsid w:val="00B17C5A"/>
    <w:rsid w:val="00B17D3A"/>
    <w:rsid w:val="00B20F85"/>
    <w:rsid w:val="00B22A01"/>
    <w:rsid w:val="00B23CC4"/>
    <w:rsid w:val="00B26F10"/>
    <w:rsid w:val="00B27972"/>
    <w:rsid w:val="00B4227D"/>
    <w:rsid w:val="00B50C8C"/>
    <w:rsid w:val="00B54599"/>
    <w:rsid w:val="00B54C82"/>
    <w:rsid w:val="00B66B97"/>
    <w:rsid w:val="00B71AB6"/>
    <w:rsid w:val="00B72976"/>
    <w:rsid w:val="00B72CF7"/>
    <w:rsid w:val="00B76AD5"/>
    <w:rsid w:val="00B803EB"/>
    <w:rsid w:val="00B81D57"/>
    <w:rsid w:val="00B94EC2"/>
    <w:rsid w:val="00B951BD"/>
    <w:rsid w:val="00B96353"/>
    <w:rsid w:val="00BA27AF"/>
    <w:rsid w:val="00BB0174"/>
    <w:rsid w:val="00BB23E0"/>
    <w:rsid w:val="00BB49EA"/>
    <w:rsid w:val="00BC2A23"/>
    <w:rsid w:val="00BC356C"/>
    <w:rsid w:val="00BC3EED"/>
    <w:rsid w:val="00BC4FFC"/>
    <w:rsid w:val="00BC6EBF"/>
    <w:rsid w:val="00BC7837"/>
    <w:rsid w:val="00BD199A"/>
    <w:rsid w:val="00BD6569"/>
    <w:rsid w:val="00BD7142"/>
    <w:rsid w:val="00BE19EA"/>
    <w:rsid w:val="00BE7DD0"/>
    <w:rsid w:val="00BF116D"/>
    <w:rsid w:val="00C101E6"/>
    <w:rsid w:val="00C1307C"/>
    <w:rsid w:val="00C13B8F"/>
    <w:rsid w:val="00C17E26"/>
    <w:rsid w:val="00C2702D"/>
    <w:rsid w:val="00C27279"/>
    <w:rsid w:val="00C277F7"/>
    <w:rsid w:val="00C309A0"/>
    <w:rsid w:val="00C31DD8"/>
    <w:rsid w:val="00C34869"/>
    <w:rsid w:val="00C43B18"/>
    <w:rsid w:val="00C50558"/>
    <w:rsid w:val="00C525B3"/>
    <w:rsid w:val="00C5303B"/>
    <w:rsid w:val="00C53379"/>
    <w:rsid w:val="00C540C2"/>
    <w:rsid w:val="00C66EFB"/>
    <w:rsid w:val="00C70970"/>
    <w:rsid w:val="00C7763A"/>
    <w:rsid w:val="00C80A9E"/>
    <w:rsid w:val="00C83CDE"/>
    <w:rsid w:val="00C927B8"/>
    <w:rsid w:val="00CA045A"/>
    <w:rsid w:val="00CA19BD"/>
    <w:rsid w:val="00CA2CF2"/>
    <w:rsid w:val="00CA2E84"/>
    <w:rsid w:val="00CA2FDD"/>
    <w:rsid w:val="00CA71C9"/>
    <w:rsid w:val="00CA7AEA"/>
    <w:rsid w:val="00CB23BB"/>
    <w:rsid w:val="00CB286F"/>
    <w:rsid w:val="00CC33C4"/>
    <w:rsid w:val="00CC49E3"/>
    <w:rsid w:val="00CC51D9"/>
    <w:rsid w:val="00CD1543"/>
    <w:rsid w:val="00CD36D4"/>
    <w:rsid w:val="00CD374A"/>
    <w:rsid w:val="00CD5670"/>
    <w:rsid w:val="00CD70F0"/>
    <w:rsid w:val="00CE22E5"/>
    <w:rsid w:val="00CE778A"/>
    <w:rsid w:val="00D006B4"/>
    <w:rsid w:val="00D010AE"/>
    <w:rsid w:val="00D020F4"/>
    <w:rsid w:val="00D02115"/>
    <w:rsid w:val="00D04AB7"/>
    <w:rsid w:val="00D06F69"/>
    <w:rsid w:val="00D11D35"/>
    <w:rsid w:val="00D144DF"/>
    <w:rsid w:val="00D14F99"/>
    <w:rsid w:val="00D16C64"/>
    <w:rsid w:val="00D22D0C"/>
    <w:rsid w:val="00D2347D"/>
    <w:rsid w:val="00D324B8"/>
    <w:rsid w:val="00D3361C"/>
    <w:rsid w:val="00D33904"/>
    <w:rsid w:val="00D360E9"/>
    <w:rsid w:val="00D42A81"/>
    <w:rsid w:val="00D52538"/>
    <w:rsid w:val="00D55F2C"/>
    <w:rsid w:val="00D56D8A"/>
    <w:rsid w:val="00D57BF9"/>
    <w:rsid w:val="00D601E2"/>
    <w:rsid w:val="00D602A8"/>
    <w:rsid w:val="00D64A03"/>
    <w:rsid w:val="00D65AE0"/>
    <w:rsid w:val="00D67331"/>
    <w:rsid w:val="00D70B2D"/>
    <w:rsid w:val="00D70B4F"/>
    <w:rsid w:val="00D717A3"/>
    <w:rsid w:val="00D76568"/>
    <w:rsid w:val="00D801A3"/>
    <w:rsid w:val="00D81945"/>
    <w:rsid w:val="00D82820"/>
    <w:rsid w:val="00D83F2F"/>
    <w:rsid w:val="00D91E8D"/>
    <w:rsid w:val="00D95DE9"/>
    <w:rsid w:val="00D9695F"/>
    <w:rsid w:val="00D97FDC"/>
    <w:rsid w:val="00DA1797"/>
    <w:rsid w:val="00DA17E4"/>
    <w:rsid w:val="00DA454B"/>
    <w:rsid w:val="00DA603F"/>
    <w:rsid w:val="00DB1AFB"/>
    <w:rsid w:val="00DB2389"/>
    <w:rsid w:val="00DB27DD"/>
    <w:rsid w:val="00DB4A04"/>
    <w:rsid w:val="00DB50DC"/>
    <w:rsid w:val="00DC12B2"/>
    <w:rsid w:val="00DC1D1C"/>
    <w:rsid w:val="00DC3851"/>
    <w:rsid w:val="00DC4C14"/>
    <w:rsid w:val="00DC7095"/>
    <w:rsid w:val="00DC7535"/>
    <w:rsid w:val="00DD036E"/>
    <w:rsid w:val="00DD2468"/>
    <w:rsid w:val="00DD5C57"/>
    <w:rsid w:val="00DD7B80"/>
    <w:rsid w:val="00DE0956"/>
    <w:rsid w:val="00DE0FDA"/>
    <w:rsid w:val="00DE1AF6"/>
    <w:rsid w:val="00DE1EBB"/>
    <w:rsid w:val="00DE331C"/>
    <w:rsid w:val="00DE5EB7"/>
    <w:rsid w:val="00DE79DB"/>
    <w:rsid w:val="00DF187C"/>
    <w:rsid w:val="00DF41FF"/>
    <w:rsid w:val="00DF6842"/>
    <w:rsid w:val="00DF783E"/>
    <w:rsid w:val="00E03E11"/>
    <w:rsid w:val="00E05937"/>
    <w:rsid w:val="00E059E0"/>
    <w:rsid w:val="00E06ECB"/>
    <w:rsid w:val="00E109A1"/>
    <w:rsid w:val="00E14169"/>
    <w:rsid w:val="00E15AD0"/>
    <w:rsid w:val="00E2089E"/>
    <w:rsid w:val="00E20E6D"/>
    <w:rsid w:val="00E2193C"/>
    <w:rsid w:val="00E21D4C"/>
    <w:rsid w:val="00E22FC9"/>
    <w:rsid w:val="00E23D4C"/>
    <w:rsid w:val="00E257DA"/>
    <w:rsid w:val="00E26C48"/>
    <w:rsid w:val="00E3092A"/>
    <w:rsid w:val="00E3098D"/>
    <w:rsid w:val="00E4069E"/>
    <w:rsid w:val="00E46376"/>
    <w:rsid w:val="00E571A9"/>
    <w:rsid w:val="00E5732F"/>
    <w:rsid w:val="00E6405F"/>
    <w:rsid w:val="00E67B1E"/>
    <w:rsid w:val="00E704B0"/>
    <w:rsid w:val="00E70E8B"/>
    <w:rsid w:val="00E71412"/>
    <w:rsid w:val="00E72423"/>
    <w:rsid w:val="00E73708"/>
    <w:rsid w:val="00E73A10"/>
    <w:rsid w:val="00E742AE"/>
    <w:rsid w:val="00E751F7"/>
    <w:rsid w:val="00E752C2"/>
    <w:rsid w:val="00E77B58"/>
    <w:rsid w:val="00E90D9D"/>
    <w:rsid w:val="00E93A4C"/>
    <w:rsid w:val="00E967FA"/>
    <w:rsid w:val="00EA0A73"/>
    <w:rsid w:val="00EA501E"/>
    <w:rsid w:val="00EB3244"/>
    <w:rsid w:val="00EB697A"/>
    <w:rsid w:val="00EC070B"/>
    <w:rsid w:val="00EC6844"/>
    <w:rsid w:val="00ED2381"/>
    <w:rsid w:val="00ED37F0"/>
    <w:rsid w:val="00EE3E15"/>
    <w:rsid w:val="00EE5C81"/>
    <w:rsid w:val="00EF2278"/>
    <w:rsid w:val="00EF337C"/>
    <w:rsid w:val="00EF6E7B"/>
    <w:rsid w:val="00EF7F88"/>
    <w:rsid w:val="00F0455F"/>
    <w:rsid w:val="00F11265"/>
    <w:rsid w:val="00F141FD"/>
    <w:rsid w:val="00F24C82"/>
    <w:rsid w:val="00F303D0"/>
    <w:rsid w:val="00F305B5"/>
    <w:rsid w:val="00F36175"/>
    <w:rsid w:val="00F37E1F"/>
    <w:rsid w:val="00F41293"/>
    <w:rsid w:val="00F442DD"/>
    <w:rsid w:val="00F44901"/>
    <w:rsid w:val="00F471C7"/>
    <w:rsid w:val="00F555FE"/>
    <w:rsid w:val="00F615A6"/>
    <w:rsid w:val="00F6335F"/>
    <w:rsid w:val="00F66CE2"/>
    <w:rsid w:val="00F70249"/>
    <w:rsid w:val="00F7273B"/>
    <w:rsid w:val="00F74C4A"/>
    <w:rsid w:val="00F774BC"/>
    <w:rsid w:val="00F81A5D"/>
    <w:rsid w:val="00F82352"/>
    <w:rsid w:val="00F8332A"/>
    <w:rsid w:val="00F85817"/>
    <w:rsid w:val="00F871B8"/>
    <w:rsid w:val="00F87DD3"/>
    <w:rsid w:val="00F90322"/>
    <w:rsid w:val="00F95A4A"/>
    <w:rsid w:val="00FA1990"/>
    <w:rsid w:val="00FA2F85"/>
    <w:rsid w:val="00FA31CF"/>
    <w:rsid w:val="00FA5ABB"/>
    <w:rsid w:val="00FA7CCE"/>
    <w:rsid w:val="00FB2BDC"/>
    <w:rsid w:val="00FC6DCB"/>
    <w:rsid w:val="00FC7614"/>
    <w:rsid w:val="00FD17BB"/>
    <w:rsid w:val="00FD3477"/>
    <w:rsid w:val="00FD49CF"/>
    <w:rsid w:val="00FD5D29"/>
    <w:rsid w:val="00FE41F1"/>
    <w:rsid w:val="00FE4B46"/>
    <w:rsid w:val="00FE4F9F"/>
    <w:rsid w:val="00FE569B"/>
    <w:rsid w:val="00FE744E"/>
    <w:rsid w:val="00FF01E8"/>
    <w:rsid w:val="00FF134E"/>
    <w:rsid w:val="00FF31D0"/>
    <w:rsid w:val="00FF6F02"/>
    <w:rsid w:val="00FF7390"/>
    <w:rsid w:val="00FF7D7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2BCC"/>
  <w14:defaultImageDpi w14:val="96"/>
  <w15:docId w15:val="{4D42E1FD-A5DB-4222-B65A-10088853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F6F"/>
    <w:rPr>
      <w:sz w:val="24"/>
      <w:szCs w:val="24"/>
    </w:rPr>
  </w:style>
  <w:style w:type="paragraph" w:styleId="Heading1">
    <w:name w:val="heading 1"/>
    <w:basedOn w:val="Normal"/>
    <w:next w:val="Normal"/>
    <w:link w:val="Heading1Char"/>
    <w:uiPriority w:val="9"/>
    <w:qFormat/>
    <w:rsid w:val="005A6E43"/>
    <w:pPr>
      <w:keepNext/>
      <w:numPr>
        <w:numId w:val="16"/>
      </w:numPr>
      <w:spacing w:before="240" w:after="60"/>
      <w:outlineLvl w:val="0"/>
    </w:pPr>
    <w:rPr>
      <w:rFonts w:asciiTheme="minorHAnsi" w:hAnsiTheme="minorHAnsi" w:cs="Arial"/>
      <w:bCs/>
      <w:color w:val="4F81BD"/>
      <w:kern w:val="28"/>
      <w:sz w:val="36"/>
      <w:szCs w:val="36"/>
    </w:rPr>
  </w:style>
  <w:style w:type="paragraph" w:styleId="Heading2">
    <w:name w:val="heading 2"/>
    <w:basedOn w:val="Normal"/>
    <w:next w:val="Normal"/>
    <w:link w:val="Heading2Char"/>
    <w:uiPriority w:val="9"/>
    <w:qFormat/>
    <w:rsid w:val="005A6E43"/>
    <w:pPr>
      <w:keepNext/>
      <w:numPr>
        <w:ilvl w:val="1"/>
        <w:numId w:val="16"/>
      </w:numPr>
      <w:ind w:right="284"/>
      <w:outlineLvl w:val="1"/>
    </w:pPr>
    <w:rPr>
      <w:rFonts w:asciiTheme="minorHAnsi" w:hAnsiTheme="minorHAnsi" w:cs="Arial"/>
      <w:color w:val="4F81BD"/>
      <w:sz w:val="32"/>
      <w:szCs w:val="32"/>
    </w:rPr>
  </w:style>
  <w:style w:type="paragraph" w:styleId="Heading3">
    <w:name w:val="heading 3"/>
    <w:basedOn w:val="Normal"/>
    <w:next w:val="Normal"/>
    <w:link w:val="Heading3Char"/>
    <w:uiPriority w:val="9"/>
    <w:qFormat/>
    <w:rsid w:val="00A26DD7"/>
    <w:pPr>
      <w:keepNext/>
      <w:outlineLvl w:val="2"/>
    </w:pPr>
    <w:rPr>
      <w:rFonts w:asciiTheme="minorHAnsi" w:hAnsiTheme="minorHAnsi" w:cs="Arial"/>
      <w:bCs/>
      <w:color w:val="4F81BD"/>
      <w:sz w:val="26"/>
      <w:szCs w:val="26"/>
    </w:rPr>
  </w:style>
  <w:style w:type="paragraph" w:styleId="Heading4">
    <w:name w:val="heading 4"/>
    <w:basedOn w:val="Normal"/>
    <w:next w:val="Normal"/>
    <w:link w:val="Heading4Char"/>
    <w:uiPriority w:val="9"/>
    <w:qFormat/>
    <w:rsid w:val="00181A5A"/>
    <w:pPr>
      <w:keepNext/>
      <w:numPr>
        <w:ilvl w:val="3"/>
        <w:numId w:val="16"/>
      </w:numPr>
      <w:tabs>
        <w:tab w:val="left" w:pos="540"/>
        <w:tab w:val="center" w:pos="7560"/>
      </w:tabs>
      <w:outlineLvl w:val="3"/>
    </w:pPr>
    <w:rPr>
      <w:rFonts w:cs="Arial"/>
      <w:b/>
      <w:bCs/>
      <w:sz w:val="28"/>
    </w:rPr>
  </w:style>
  <w:style w:type="paragraph" w:styleId="Heading5">
    <w:name w:val="heading 5"/>
    <w:basedOn w:val="Heading3"/>
    <w:next w:val="Normal"/>
    <w:link w:val="Heading5Char"/>
    <w:uiPriority w:val="9"/>
    <w:qFormat/>
    <w:rsid w:val="00A26DD7"/>
    <w:pPr>
      <w:outlineLvl w:val="4"/>
    </w:pPr>
  </w:style>
  <w:style w:type="paragraph" w:styleId="Heading6">
    <w:name w:val="heading 6"/>
    <w:basedOn w:val="Normal"/>
    <w:next w:val="Normal"/>
    <w:link w:val="Heading6Char"/>
    <w:uiPriority w:val="9"/>
    <w:qFormat/>
    <w:rsid w:val="00181A5A"/>
    <w:pPr>
      <w:numPr>
        <w:ilvl w:val="5"/>
        <w:numId w:val="16"/>
      </w:numPr>
      <w:spacing w:before="240" w:after="60"/>
      <w:outlineLvl w:val="5"/>
    </w:pPr>
    <w:rPr>
      <w:b/>
      <w:bCs/>
      <w:sz w:val="22"/>
      <w:szCs w:val="22"/>
    </w:rPr>
  </w:style>
  <w:style w:type="paragraph" w:styleId="Heading7">
    <w:name w:val="heading 7"/>
    <w:basedOn w:val="Normal"/>
    <w:next w:val="Normal"/>
    <w:link w:val="Heading7Char"/>
    <w:uiPriority w:val="9"/>
    <w:qFormat/>
    <w:rsid w:val="00181A5A"/>
    <w:pPr>
      <w:numPr>
        <w:ilvl w:val="6"/>
        <w:numId w:val="16"/>
      </w:numPr>
      <w:outlineLvl w:val="6"/>
    </w:pPr>
    <w:rPr>
      <w:rFonts w:ascii="Arial" w:hAnsi="Arial" w:cs="Arial"/>
      <w:bCs/>
      <w:color w:val="4F81BD"/>
      <w:kern w:val="28"/>
      <w:sz w:val="32"/>
      <w:szCs w:val="32"/>
    </w:rPr>
  </w:style>
  <w:style w:type="paragraph" w:styleId="Heading8">
    <w:name w:val="heading 8"/>
    <w:basedOn w:val="Normal"/>
    <w:next w:val="Normal"/>
    <w:link w:val="Heading8Char"/>
    <w:uiPriority w:val="9"/>
    <w:qFormat/>
    <w:rsid w:val="00181A5A"/>
    <w:pPr>
      <w:numPr>
        <w:ilvl w:val="7"/>
        <w:numId w:val="16"/>
      </w:numPr>
      <w:outlineLvl w:val="7"/>
    </w:pPr>
    <w:rPr>
      <w:rFonts w:ascii="Arial" w:hAnsi="Arial" w:cs="Arial"/>
      <w:noProof/>
      <w:color w:val="4F81BD" w:themeColor="accent1"/>
      <w:sz w:val="28"/>
      <w:szCs w:val="26"/>
    </w:rPr>
  </w:style>
  <w:style w:type="paragraph" w:styleId="Heading9">
    <w:name w:val="heading 9"/>
    <w:basedOn w:val="Normal"/>
    <w:next w:val="Normal"/>
    <w:link w:val="Heading9Char"/>
    <w:uiPriority w:val="9"/>
    <w:qFormat/>
    <w:rsid w:val="00784455"/>
    <w:pPr>
      <w:numPr>
        <w:ilvl w:val="8"/>
        <w:numId w:val="16"/>
      </w:numPr>
      <w:spacing w:before="240" w:after="60"/>
      <w:outlineLvl w:val="8"/>
    </w:pPr>
    <w:rPr>
      <w:rFonts w:asciiTheme="minorHAnsi" w:hAnsiTheme="minorHAnsi" w:cs="Arial"/>
      <w:bCs/>
      <w:color w:val="4F81BD"/>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A6E43"/>
    <w:rPr>
      <w:rFonts w:asciiTheme="minorHAnsi" w:hAnsiTheme="minorHAnsi" w:cs="Arial"/>
      <w:bCs/>
      <w:color w:val="4F81BD"/>
      <w:kern w:val="28"/>
      <w:sz w:val="36"/>
      <w:szCs w:val="36"/>
    </w:rPr>
  </w:style>
  <w:style w:type="character" w:customStyle="1" w:styleId="Heading2Char">
    <w:name w:val="Heading 2 Char"/>
    <w:link w:val="Heading2"/>
    <w:uiPriority w:val="9"/>
    <w:rsid w:val="005A6E43"/>
    <w:rPr>
      <w:rFonts w:asciiTheme="minorHAnsi" w:hAnsiTheme="minorHAnsi" w:cs="Arial"/>
      <w:color w:val="4F81BD"/>
      <w:sz w:val="32"/>
      <w:szCs w:val="32"/>
    </w:rPr>
  </w:style>
  <w:style w:type="character" w:customStyle="1" w:styleId="Heading3Char">
    <w:name w:val="Heading 3 Char"/>
    <w:link w:val="Heading3"/>
    <w:uiPriority w:val="9"/>
    <w:rsid w:val="00A26DD7"/>
    <w:rPr>
      <w:rFonts w:asciiTheme="minorHAnsi" w:hAnsiTheme="minorHAnsi" w:cs="Arial"/>
      <w:bCs/>
      <w:color w:val="4F81BD"/>
      <w:sz w:val="26"/>
      <w:szCs w:val="26"/>
    </w:rPr>
  </w:style>
  <w:style w:type="character" w:customStyle="1" w:styleId="Heading4Char">
    <w:name w:val="Heading 4 Char"/>
    <w:link w:val="Heading4"/>
    <w:uiPriority w:val="9"/>
    <w:rsid w:val="00181A5A"/>
    <w:rPr>
      <w:rFonts w:cs="Arial"/>
      <w:b/>
      <w:bCs/>
      <w:sz w:val="28"/>
      <w:szCs w:val="24"/>
    </w:rPr>
  </w:style>
  <w:style w:type="paragraph" w:styleId="TOCHeading">
    <w:name w:val="TOC Heading"/>
    <w:basedOn w:val="Heading1"/>
    <w:next w:val="Normal"/>
    <w:uiPriority w:val="39"/>
    <w:unhideWhenUsed/>
    <w:qFormat/>
    <w:rsid w:val="00700E90"/>
    <w:pPr>
      <w:numPr>
        <w:numId w:val="0"/>
      </w:numPr>
      <w:outlineLvl w:val="9"/>
    </w:pPr>
    <w:rPr>
      <w:sz w:val="28"/>
      <w:szCs w:val="28"/>
    </w:rPr>
  </w:style>
  <w:style w:type="character" w:customStyle="1" w:styleId="Heading5Char">
    <w:name w:val="Heading 5 Char"/>
    <w:link w:val="Heading5"/>
    <w:uiPriority w:val="9"/>
    <w:rsid w:val="00A26DD7"/>
    <w:rPr>
      <w:rFonts w:asciiTheme="minorHAnsi" w:hAnsiTheme="minorHAnsi" w:cs="Arial"/>
      <w:bCs/>
      <w:color w:val="4F81BD"/>
      <w:sz w:val="28"/>
      <w:szCs w:val="28"/>
    </w:rPr>
  </w:style>
  <w:style w:type="character" w:customStyle="1" w:styleId="Heading6Char">
    <w:name w:val="Heading 6 Char"/>
    <w:link w:val="Heading6"/>
    <w:uiPriority w:val="9"/>
    <w:rsid w:val="00181A5A"/>
    <w:rPr>
      <w:b/>
      <w:bCs/>
      <w:sz w:val="22"/>
      <w:szCs w:val="22"/>
    </w:rPr>
  </w:style>
  <w:style w:type="character" w:customStyle="1" w:styleId="Heading7Char">
    <w:name w:val="Heading 7 Char"/>
    <w:link w:val="Heading7"/>
    <w:uiPriority w:val="9"/>
    <w:rsid w:val="00181A5A"/>
    <w:rPr>
      <w:rFonts w:ascii="Arial" w:hAnsi="Arial" w:cs="Arial"/>
      <w:bCs/>
      <w:color w:val="4F81BD"/>
      <w:kern w:val="28"/>
      <w:sz w:val="32"/>
      <w:szCs w:val="32"/>
    </w:rPr>
  </w:style>
  <w:style w:type="character" w:customStyle="1" w:styleId="Heading8Char">
    <w:name w:val="Heading 8 Char"/>
    <w:link w:val="Heading8"/>
    <w:uiPriority w:val="9"/>
    <w:rsid w:val="00181A5A"/>
    <w:rPr>
      <w:rFonts w:ascii="Arial" w:hAnsi="Arial" w:cs="Arial"/>
      <w:noProof/>
      <w:color w:val="4F81BD" w:themeColor="accent1"/>
      <w:sz w:val="28"/>
      <w:szCs w:val="26"/>
    </w:rPr>
  </w:style>
  <w:style w:type="character" w:customStyle="1" w:styleId="Heading9Char">
    <w:name w:val="Heading 9 Char"/>
    <w:link w:val="Heading9"/>
    <w:uiPriority w:val="9"/>
    <w:rsid w:val="00784455"/>
    <w:rPr>
      <w:rFonts w:asciiTheme="minorHAnsi" w:hAnsiTheme="minorHAnsi" w:cs="Arial"/>
      <w:bCs/>
      <w:color w:val="4F81BD"/>
      <w:sz w:val="28"/>
      <w:szCs w:val="28"/>
      <w:lang w:val="en-GB"/>
    </w:rPr>
  </w:style>
  <w:style w:type="paragraph" w:styleId="Caption">
    <w:name w:val="caption"/>
    <w:basedOn w:val="Normal"/>
    <w:next w:val="Normal"/>
    <w:qFormat/>
    <w:rsid w:val="00FC6DCB"/>
    <w:pPr>
      <w:jc w:val="center"/>
    </w:pPr>
    <w:rPr>
      <w:i/>
      <w:iCs/>
      <w:sz w:val="20"/>
    </w:rPr>
  </w:style>
  <w:style w:type="paragraph" w:styleId="TOC1">
    <w:name w:val="toc 1"/>
    <w:basedOn w:val="Normal"/>
    <w:next w:val="Normal"/>
    <w:autoRedefine/>
    <w:uiPriority w:val="39"/>
    <w:unhideWhenUsed/>
    <w:rsid w:val="0076243B"/>
  </w:style>
  <w:style w:type="paragraph" w:styleId="TOC2">
    <w:name w:val="toc 2"/>
    <w:basedOn w:val="Normal"/>
    <w:next w:val="Normal"/>
    <w:autoRedefine/>
    <w:uiPriority w:val="39"/>
    <w:unhideWhenUsed/>
    <w:rsid w:val="0076243B"/>
    <w:pPr>
      <w:ind w:left="240"/>
    </w:pPr>
  </w:style>
  <w:style w:type="paragraph" w:styleId="TOC3">
    <w:name w:val="toc 3"/>
    <w:basedOn w:val="Normal"/>
    <w:next w:val="Normal"/>
    <w:autoRedefine/>
    <w:uiPriority w:val="39"/>
    <w:unhideWhenUsed/>
    <w:rsid w:val="0076243B"/>
    <w:pPr>
      <w:ind w:left="480"/>
    </w:pPr>
  </w:style>
  <w:style w:type="character" w:styleId="Hyperlink">
    <w:name w:val="Hyperlink"/>
    <w:uiPriority w:val="99"/>
    <w:unhideWhenUsed/>
    <w:rsid w:val="00BB23E0"/>
    <w:rPr>
      <w:color w:val="0000FF"/>
      <w:u w:val="single"/>
    </w:rPr>
  </w:style>
  <w:style w:type="paragraph" w:styleId="ListParagraph">
    <w:name w:val="List Paragraph"/>
    <w:basedOn w:val="Normal"/>
    <w:uiPriority w:val="34"/>
    <w:qFormat/>
    <w:rsid w:val="00C80A9E"/>
    <w:pPr>
      <w:ind w:left="720"/>
      <w:contextualSpacing/>
    </w:pPr>
  </w:style>
  <w:style w:type="table" w:styleId="TableGrid">
    <w:name w:val="Table Grid"/>
    <w:basedOn w:val="TableNormal"/>
    <w:uiPriority w:val="39"/>
    <w:rsid w:val="00C80A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1C31"/>
    <w:pPr>
      <w:tabs>
        <w:tab w:val="center" w:pos="4513"/>
        <w:tab w:val="right" w:pos="9026"/>
      </w:tabs>
    </w:pPr>
  </w:style>
  <w:style w:type="character" w:customStyle="1" w:styleId="HeaderChar">
    <w:name w:val="Header Char"/>
    <w:basedOn w:val="DefaultParagraphFont"/>
    <w:link w:val="Header"/>
    <w:uiPriority w:val="99"/>
    <w:rsid w:val="00A11C31"/>
  </w:style>
  <w:style w:type="paragraph" w:styleId="Footer">
    <w:name w:val="footer"/>
    <w:basedOn w:val="Normal"/>
    <w:link w:val="FooterChar"/>
    <w:uiPriority w:val="99"/>
    <w:unhideWhenUsed/>
    <w:rsid w:val="00A11C31"/>
    <w:pPr>
      <w:tabs>
        <w:tab w:val="center" w:pos="4513"/>
        <w:tab w:val="right" w:pos="9026"/>
      </w:tabs>
    </w:pPr>
  </w:style>
  <w:style w:type="character" w:customStyle="1" w:styleId="FooterChar">
    <w:name w:val="Footer Char"/>
    <w:basedOn w:val="DefaultParagraphFont"/>
    <w:link w:val="Footer"/>
    <w:uiPriority w:val="99"/>
    <w:rsid w:val="00A11C31"/>
  </w:style>
  <w:style w:type="paragraph" w:styleId="BalloonText">
    <w:name w:val="Balloon Text"/>
    <w:basedOn w:val="Normal"/>
    <w:link w:val="BalloonTextChar"/>
    <w:uiPriority w:val="99"/>
    <w:semiHidden/>
    <w:unhideWhenUsed/>
    <w:rsid w:val="001014B4"/>
    <w:rPr>
      <w:rFonts w:ascii="Tahoma" w:hAnsi="Tahoma" w:cs="Tahoma"/>
      <w:sz w:val="16"/>
      <w:szCs w:val="16"/>
    </w:rPr>
  </w:style>
  <w:style w:type="character" w:customStyle="1" w:styleId="BalloonTextChar">
    <w:name w:val="Balloon Text Char"/>
    <w:basedOn w:val="DefaultParagraphFont"/>
    <w:link w:val="BalloonText"/>
    <w:uiPriority w:val="99"/>
    <w:semiHidden/>
    <w:rsid w:val="001014B4"/>
    <w:rPr>
      <w:rFonts w:ascii="Tahoma" w:hAnsi="Tahoma" w:cs="Tahoma"/>
      <w:sz w:val="16"/>
      <w:szCs w:val="16"/>
    </w:rPr>
  </w:style>
  <w:style w:type="character" w:styleId="CommentReference">
    <w:name w:val="annotation reference"/>
    <w:basedOn w:val="DefaultParagraphFont"/>
    <w:uiPriority w:val="99"/>
    <w:semiHidden/>
    <w:unhideWhenUsed/>
    <w:rsid w:val="00DE79DB"/>
    <w:rPr>
      <w:sz w:val="16"/>
      <w:szCs w:val="16"/>
    </w:rPr>
  </w:style>
  <w:style w:type="paragraph" w:styleId="CommentText">
    <w:name w:val="annotation text"/>
    <w:basedOn w:val="Normal"/>
    <w:link w:val="CommentTextChar"/>
    <w:uiPriority w:val="99"/>
    <w:semiHidden/>
    <w:unhideWhenUsed/>
    <w:rsid w:val="00DE79DB"/>
    <w:rPr>
      <w:sz w:val="20"/>
      <w:szCs w:val="20"/>
    </w:rPr>
  </w:style>
  <w:style w:type="character" w:customStyle="1" w:styleId="CommentTextChar">
    <w:name w:val="Comment Text Char"/>
    <w:basedOn w:val="DefaultParagraphFont"/>
    <w:link w:val="CommentText"/>
    <w:uiPriority w:val="99"/>
    <w:semiHidden/>
    <w:rsid w:val="00DE79DB"/>
  </w:style>
  <w:style w:type="paragraph" w:styleId="CommentSubject">
    <w:name w:val="annotation subject"/>
    <w:basedOn w:val="CommentText"/>
    <w:next w:val="CommentText"/>
    <w:link w:val="CommentSubjectChar"/>
    <w:uiPriority w:val="99"/>
    <w:semiHidden/>
    <w:unhideWhenUsed/>
    <w:rsid w:val="00DE79DB"/>
    <w:rPr>
      <w:b/>
      <w:bCs/>
    </w:rPr>
  </w:style>
  <w:style w:type="character" w:customStyle="1" w:styleId="CommentSubjectChar">
    <w:name w:val="Comment Subject Char"/>
    <w:basedOn w:val="CommentTextChar"/>
    <w:link w:val="CommentSubject"/>
    <w:uiPriority w:val="99"/>
    <w:semiHidden/>
    <w:rsid w:val="00DE79DB"/>
    <w:rPr>
      <w:b/>
      <w:bCs/>
    </w:rPr>
  </w:style>
  <w:style w:type="numbering" w:customStyle="1" w:styleId="AppendixHeadings">
    <w:name w:val="Appendix Headings"/>
    <w:uiPriority w:val="99"/>
    <w:rsid w:val="00E22FC9"/>
    <w:pPr>
      <w:numPr>
        <w:numId w:val="13"/>
      </w:numPr>
    </w:pPr>
  </w:style>
  <w:style w:type="paragraph" w:styleId="Title">
    <w:name w:val="Title"/>
    <w:basedOn w:val="Normal"/>
    <w:next w:val="Normal"/>
    <w:link w:val="TitleChar"/>
    <w:uiPriority w:val="10"/>
    <w:qFormat/>
    <w:rsid w:val="0076243B"/>
    <w:pPr>
      <w:jc w:val="center"/>
    </w:pPr>
    <w:rPr>
      <w:rFonts w:asciiTheme="majorHAnsi" w:hAnsiTheme="majorHAnsi"/>
      <w:color w:val="4F81BD" w:themeColor="accent1"/>
      <w:sz w:val="36"/>
      <w:szCs w:val="36"/>
    </w:rPr>
  </w:style>
  <w:style w:type="character" w:customStyle="1" w:styleId="TitleChar">
    <w:name w:val="Title Char"/>
    <w:basedOn w:val="DefaultParagraphFont"/>
    <w:link w:val="Title"/>
    <w:uiPriority w:val="10"/>
    <w:rsid w:val="0076243B"/>
    <w:rPr>
      <w:rFonts w:asciiTheme="majorHAnsi" w:hAnsiTheme="majorHAnsi"/>
      <w:color w:val="4F81BD" w:themeColor="accent1"/>
      <w:sz w:val="36"/>
      <w:szCs w:val="36"/>
    </w:rPr>
  </w:style>
  <w:style w:type="paragraph" w:styleId="TOC4">
    <w:name w:val="toc 4"/>
    <w:basedOn w:val="Normal"/>
    <w:next w:val="Normal"/>
    <w:autoRedefine/>
    <w:uiPriority w:val="39"/>
    <w:unhideWhenUsed/>
    <w:rsid w:val="0076243B"/>
    <w:pPr>
      <w:spacing w:after="100"/>
      <w:ind w:left="720"/>
    </w:pPr>
  </w:style>
  <w:style w:type="paragraph" w:styleId="TOC5">
    <w:name w:val="toc 5"/>
    <w:basedOn w:val="Normal"/>
    <w:next w:val="Normal"/>
    <w:autoRedefine/>
    <w:uiPriority w:val="39"/>
    <w:unhideWhenUsed/>
    <w:rsid w:val="0076243B"/>
    <w:pPr>
      <w:spacing w:after="100"/>
      <w:ind w:left="960"/>
    </w:pPr>
  </w:style>
  <w:style w:type="paragraph" w:styleId="TOC7">
    <w:name w:val="toc 7"/>
    <w:basedOn w:val="Normal"/>
    <w:next w:val="Normal"/>
    <w:autoRedefine/>
    <w:uiPriority w:val="39"/>
    <w:unhideWhenUsed/>
    <w:rsid w:val="0076243B"/>
  </w:style>
  <w:style w:type="paragraph" w:styleId="TOC8">
    <w:name w:val="toc 8"/>
    <w:basedOn w:val="Normal"/>
    <w:next w:val="Normal"/>
    <w:autoRedefine/>
    <w:uiPriority w:val="39"/>
    <w:unhideWhenUsed/>
    <w:rsid w:val="0076243B"/>
    <w:pPr>
      <w:ind w:left="238"/>
    </w:pPr>
  </w:style>
  <w:style w:type="paragraph" w:styleId="TOC9">
    <w:name w:val="toc 9"/>
    <w:basedOn w:val="Normal"/>
    <w:next w:val="Normal"/>
    <w:autoRedefine/>
    <w:uiPriority w:val="39"/>
    <w:unhideWhenUsed/>
    <w:rsid w:val="0076243B"/>
    <w:pPr>
      <w:spacing w:after="100"/>
      <w:ind w:left="720"/>
    </w:pPr>
  </w:style>
  <w:style w:type="character" w:styleId="FollowedHyperlink">
    <w:name w:val="FollowedHyperlink"/>
    <w:basedOn w:val="DefaultParagraphFont"/>
    <w:uiPriority w:val="99"/>
    <w:semiHidden/>
    <w:unhideWhenUsed/>
    <w:rsid w:val="0084139B"/>
    <w:rPr>
      <w:color w:val="800080" w:themeColor="followedHyperlink"/>
      <w:u w:val="single"/>
    </w:rPr>
  </w:style>
  <w:style w:type="paragraph" w:styleId="TOC6">
    <w:name w:val="toc 6"/>
    <w:basedOn w:val="Normal"/>
    <w:next w:val="Normal"/>
    <w:autoRedefine/>
    <w:uiPriority w:val="39"/>
    <w:unhideWhenUsed/>
    <w:rsid w:val="008D2C68"/>
    <w:pPr>
      <w:spacing w:after="100" w:line="259" w:lineRule="auto"/>
      <w:ind w:left="1100"/>
    </w:pPr>
    <w:rPr>
      <w:rFonts w:asciiTheme="minorHAnsi" w:eastAsiaTheme="minorEastAsia" w:hAnsiTheme="minorHAnsi" w:cstheme="minorBidi"/>
      <w:sz w:val="22"/>
      <w:szCs w:val="22"/>
    </w:rPr>
  </w:style>
  <w:style w:type="paragraph" w:styleId="EndnoteText">
    <w:name w:val="endnote text"/>
    <w:basedOn w:val="Normal"/>
    <w:link w:val="EndnoteTextChar"/>
    <w:uiPriority w:val="99"/>
    <w:semiHidden/>
    <w:unhideWhenUsed/>
    <w:rsid w:val="00EF7F88"/>
    <w:rPr>
      <w:sz w:val="20"/>
      <w:szCs w:val="20"/>
    </w:rPr>
  </w:style>
  <w:style w:type="character" w:customStyle="1" w:styleId="EndnoteTextChar">
    <w:name w:val="Endnote Text Char"/>
    <w:basedOn w:val="DefaultParagraphFont"/>
    <w:link w:val="EndnoteText"/>
    <w:uiPriority w:val="99"/>
    <w:semiHidden/>
    <w:rsid w:val="00EF7F88"/>
  </w:style>
  <w:style w:type="character" w:styleId="EndnoteReference">
    <w:name w:val="endnote reference"/>
    <w:basedOn w:val="DefaultParagraphFont"/>
    <w:uiPriority w:val="99"/>
    <w:semiHidden/>
    <w:unhideWhenUsed/>
    <w:rsid w:val="00EF7F88"/>
    <w:rPr>
      <w:vertAlign w:val="superscript"/>
    </w:rPr>
  </w:style>
  <w:style w:type="paragraph" w:styleId="FootnoteText">
    <w:name w:val="footnote text"/>
    <w:basedOn w:val="Normal"/>
    <w:link w:val="FootnoteTextChar"/>
    <w:uiPriority w:val="99"/>
    <w:semiHidden/>
    <w:unhideWhenUsed/>
    <w:rsid w:val="00EF7F88"/>
    <w:rPr>
      <w:sz w:val="20"/>
      <w:szCs w:val="20"/>
    </w:rPr>
  </w:style>
  <w:style w:type="character" w:customStyle="1" w:styleId="FootnoteTextChar">
    <w:name w:val="Footnote Text Char"/>
    <w:basedOn w:val="DefaultParagraphFont"/>
    <w:link w:val="FootnoteText"/>
    <w:uiPriority w:val="99"/>
    <w:semiHidden/>
    <w:rsid w:val="00EF7F88"/>
  </w:style>
  <w:style w:type="character" w:styleId="FootnoteReference">
    <w:name w:val="footnote reference"/>
    <w:basedOn w:val="DefaultParagraphFont"/>
    <w:uiPriority w:val="99"/>
    <w:unhideWhenUsed/>
    <w:rsid w:val="00EF7F88"/>
    <w:rPr>
      <w:vertAlign w:val="superscript"/>
    </w:rPr>
  </w:style>
  <w:style w:type="paragraph" w:styleId="Subtitle">
    <w:name w:val="Subtitle"/>
    <w:basedOn w:val="Normal"/>
    <w:next w:val="Normal"/>
    <w:link w:val="SubtitleChar"/>
    <w:uiPriority w:val="11"/>
    <w:qFormat/>
    <w:rsid w:val="00FE4B46"/>
    <w:pPr>
      <w:numPr>
        <w:ilvl w:val="1"/>
      </w:numPr>
      <w:spacing w:after="160" w:line="259" w:lineRule="auto"/>
    </w:pPr>
    <w:rPr>
      <w:rFonts w:asciiTheme="minorHAnsi" w:eastAsiaTheme="majorEastAsia" w:hAnsiTheme="minorHAnsi"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FE4B46"/>
    <w:rPr>
      <w:rFonts w:asciiTheme="minorHAnsi" w:eastAsiaTheme="majorEastAsia" w:hAnsiTheme="minorHAnsi" w:cstheme="majorBidi"/>
      <w:color w:val="595959" w:themeColor="text1" w:themeTint="A6"/>
      <w:spacing w:val="15"/>
      <w:sz w:val="28"/>
      <w:szCs w:val="28"/>
      <w:lang w:eastAsia="en-US"/>
    </w:rPr>
  </w:style>
  <w:style w:type="paragraph" w:styleId="Quote">
    <w:name w:val="Quote"/>
    <w:basedOn w:val="Normal"/>
    <w:next w:val="Normal"/>
    <w:link w:val="QuoteChar"/>
    <w:uiPriority w:val="29"/>
    <w:qFormat/>
    <w:rsid w:val="00FE4B46"/>
    <w:pPr>
      <w:spacing w:before="160" w:after="160" w:line="259" w:lineRule="auto"/>
      <w:jc w:val="center"/>
    </w:pPr>
    <w:rPr>
      <w:rFonts w:asciiTheme="minorHAnsi" w:eastAsiaTheme="minorHAnsi" w:hAnsiTheme="minorHAnsi" w:cstheme="minorBidi"/>
      <w:i/>
      <w:iCs/>
      <w:color w:val="404040" w:themeColor="text1" w:themeTint="BF"/>
      <w:sz w:val="22"/>
      <w:szCs w:val="22"/>
      <w:lang w:eastAsia="en-US"/>
    </w:rPr>
  </w:style>
  <w:style w:type="character" w:customStyle="1" w:styleId="QuoteChar">
    <w:name w:val="Quote Char"/>
    <w:basedOn w:val="DefaultParagraphFont"/>
    <w:link w:val="Quote"/>
    <w:uiPriority w:val="29"/>
    <w:rsid w:val="00FE4B46"/>
    <w:rPr>
      <w:rFonts w:asciiTheme="minorHAnsi" w:eastAsiaTheme="minorHAnsi" w:hAnsiTheme="minorHAnsi" w:cstheme="minorBidi"/>
      <w:i/>
      <w:iCs/>
      <w:color w:val="404040" w:themeColor="text1" w:themeTint="BF"/>
      <w:sz w:val="22"/>
      <w:szCs w:val="22"/>
      <w:lang w:eastAsia="en-US"/>
    </w:rPr>
  </w:style>
  <w:style w:type="character" w:styleId="IntenseEmphasis">
    <w:name w:val="Intense Emphasis"/>
    <w:basedOn w:val="DefaultParagraphFont"/>
    <w:uiPriority w:val="21"/>
    <w:qFormat/>
    <w:rsid w:val="00FE4B46"/>
    <w:rPr>
      <w:i/>
      <w:iCs/>
      <w:color w:val="365F91" w:themeColor="accent1" w:themeShade="BF"/>
    </w:rPr>
  </w:style>
  <w:style w:type="paragraph" w:styleId="IntenseQuote">
    <w:name w:val="Intense Quote"/>
    <w:basedOn w:val="Normal"/>
    <w:next w:val="Normal"/>
    <w:link w:val="IntenseQuoteChar"/>
    <w:uiPriority w:val="30"/>
    <w:qFormat/>
    <w:rsid w:val="00FE4B46"/>
    <w:pPr>
      <w:pBdr>
        <w:top w:val="single" w:sz="4" w:space="10" w:color="365F91" w:themeColor="accent1" w:themeShade="BF"/>
        <w:bottom w:val="single" w:sz="4" w:space="10" w:color="365F91" w:themeColor="accent1" w:themeShade="BF"/>
      </w:pBdr>
      <w:spacing w:before="360" w:after="360" w:line="259" w:lineRule="auto"/>
      <w:ind w:left="864" w:right="864"/>
      <w:jc w:val="center"/>
    </w:pPr>
    <w:rPr>
      <w:rFonts w:asciiTheme="minorHAnsi" w:eastAsiaTheme="minorHAnsi" w:hAnsiTheme="minorHAnsi" w:cstheme="minorBidi"/>
      <w:i/>
      <w:iCs/>
      <w:color w:val="365F91" w:themeColor="accent1" w:themeShade="BF"/>
      <w:sz w:val="22"/>
      <w:szCs w:val="22"/>
      <w:lang w:eastAsia="en-US"/>
    </w:rPr>
  </w:style>
  <w:style w:type="character" w:customStyle="1" w:styleId="IntenseQuoteChar">
    <w:name w:val="Intense Quote Char"/>
    <w:basedOn w:val="DefaultParagraphFont"/>
    <w:link w:val="IntenseQuote"/>
    <w:uiPriority w:val="30"/>
    <w:rsid w:val="00FE4B46"/>
    <w:rPr>
      <w:rFonts w:asciiTheme="minorHAnsi" w:eastAsiaTheme="minorHAnsi" w:hAnsiTheme="minorHAnsi" w:cstheme="minorBidi"/>
      <w:i/>
      <w:iCs/>
      <w:color w:val="365F91" w:themeColor="accent1" w:themeShade="BF"/>
      <w:sz w:val="22"/>
      <w:szCs w:val="22"/>
      <w:lang w:eastAsia="en-US"/>
    </w:rPr>
  </w:style>
  <w:style w:type="character" w:styleId="IntenseReference">
    <w:name w:val="Intense Reference"/>
    <w:basedOn w:val="DefaultParagraphFont"/>
    <w:uiPriority w:val="32"/>
    <w:qFormat/>
    <w:rsid w:val="00FE4B46"/>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44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449C5-0B01-4581-BCFF-90D653FD1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5333</CharactersWithSpaces>
  <SharedDoc>false</SharedDoc>
  <HLinks>
    <vt:vector size="348" baseType="variant">
      <vt:variant>
        <vt:i4>1638454</vt:i4>
      </vt:variant>
      <vt:variant>
        <vt:i4>344</vt:i4>
      </vt:variant>
      <vt:variant>
        <vt:i4>0</vt:i4>
      </vt:variant>
      <vt:variant>
        <vt:i4>5</vt:i4>
      </vt:variant>
      <vt:variant>
        <vt:lpwstr/>
      </vt:variant>
      <vt:variant>
        <vt:lpwstr>_Toc395534366</vt:lpwstr>
      </vt:variant>
      <vt:variant>
        <vt:i4>1638454</vt:i4>
      </vt:variant>
      <vt:variant>
        <vt:i4>338</vt:i4>
      </vt:variant>
      <vt:variant>
        <vt:i4>0</vt:i4>
      </vt:variant>
      <vt:variant>
        <vt:i4>5</vt:i4>
      </vt:variant>
      <vt:variant>
        <vt:lpwstr/>
      </vt:variant>
      <vt:variant>
        <vt:lpwstr>_Toc395534365</vt:lpwstr>
      </vt:variant>
      <vt:variant>
        <vt:i4>1638454</vt:i4>
      </vt:variant>
      <vt:variant>
        <vt:i4>332</vt:i4>
      </vt:variant>
      <vt:variant>
        <vt:i4>0</vt:i4>
      </vt:variant>
      <vt:variant>
        <vt:i4>5</vt:i4>
      </vt:variant>
      <vt:variant>
        <vt:lpwstr/>
      </vt:variant>
      <vt:variant>
        <vt:lpwstr>_Toc395534364</vt:lpwstr>
      </vt:variant>
      <vt:variant>
        <vt:i4>1638454</vt:i4>
      </vt:variant>
      <vt:variant>
        <vt:i4>326</vt:i4>
      </vt:variant>
      <vt:variant>
        <vt:i4>0</vt:i4>
      </vt:variant>
      <vt:variant>
        <vt:i4>5</vt:i4>
      </vt:variant>
      <vt:variant>
        <vt:lpwstr/>
      </vt:variant>
      <vt:variant>
        <vt:lpwstr>_Toc395534363</vt:lpwstr>
      </vt:variant>
      <vt:variant>
        <vt:i4>1638454</vt:i4>
      </vt:variant>
      <vt:variant>
        <vt:i4>320</vt:i4>
      </vt:variant>
      <vt:variant>
        <vt:i4>0</vt:i4>
      </vt:variant>
      <vt:variant>
        <vt:i4>5</vt:i4>
      </vt:variant>
      <vt:variant>
        <vt:lpwstr/>
      </vt:variant>
      <vt:variant>
        <vt:lpwstr>_Toc395534362</vt:lpwstr>
      </vt:variant>
      <vt:variant>
        <vt:i4>1638454</vt:i4>
      </vt:variant>
      <vt:variant>
        <vt:i4>314</vt:i4>
      </vt:variant>
      <vt:variant>
        <vt:i4>0</vt:i4>
      </vt:variant>
      <vt:variant>
        <vt:i4>5</vt:i4>
      </vt:variant>
      <vt:variant>
        <vt:lpwstr/>
      </vt:variant>
      <vt:variant>
        <vt:lpwstr>_Toc395534361</vt:lpwstr>
      </vt:variant>
      <vt:variant>
        <vt:i4>1638454</vt:i4>
      </vt:variant>
      <vt:variant>
        <vt:i4>308</vt:i4>
      </vt:variant>
      <vt:variant>
        <vt:i4>0</vt:i4>
      </vt:variant>
      <vt:variant>
        <vt:i4>5</vt:i4>
      </vt:variant>
      <vt:variant>
        <vt:lpwstr/>
      </vt:variant>
      <vt:variant>
        <vt:lpwstr>_Toc395534360</vt:lpwstr>
      </vt:variant>
      <vt:variant>
        <vt:i4>1703990</vt:i4>
      </vt:variant>
      <vt:variant>
        <vt:i4>302</vt:i4>
      </vt:variant>
      <vt:variant>
        <vt:i4>0</vt:i4>
      </vt:variant>
      <vt:variant>
        <vt:i4>5</vt:i4>
      </vt:variant>
      <vt:variant>
        <vt:lpwstr/>
      </vt:variant>
      <vt:variant>
        <vt:lpwstr>_Toc395534359</vt:lpwstr>
      </vt:variant>
      <vt:variant>
        <vt:i4>1703990</vt:i4>
      </vt:variant>
      <vt:variant>
        <vt:i4>296</vt:i4>
      </vt:variant>
      <vt:variant>
        <vt:i4>0</vt:i4>
      </vt:variant>
      <vt:variant>
        <vt:i4>5</vt:i4>
      </vt:variant>
      <vt:variant>
        <vt:lpwstr/>
      </vt:variant>
      <vt:variant>
        <vt:lpwstr>_Toc395534358</vt:lpwstr>
      </vt:variant>
      <vt:variant>
        <vt:i4>1703990</vt:i4>
      </vt:variant>
      <vt:variant>
        <vt:i4>290</vt:i4>
      </vt:variant>
      <vt:variant>
        <vt:i4>0</vt:i4>
      </vt:variant>
      <vt:variant>
        <vt:i4>5</vt:i4>
      </vt:variant>
      <vt:variant>
        <vt:lpwstr/>
      </vt:variant>
      <vt:variant>
        <vt:lpwstr>_Toc395534357</vt:lpwstr>
      </vt:variant>
      <vt:variant>
        <vt:i4>1703990</vt:i4>
      </vt:variant>
      <vt:variant>
        <vt:i4>284</vt:i4>
      </vt:variant>
      <vt:variant>
        <vt:i4>0</vt:i4>
      </vt:variant>
      <vt:variant>
        <vt:i4>5</vt:i4>
      </vt:variant>
      <vt:variant>
        <vt:lpwstr/>
      </vt:variant>
      <vt:variant>
        <vt:lpwstr>_Toc395534356</vt:lpwstr>
      </vt:variant>
      <vt:variant>
        <vt:i4>1703990</vt:i4>
      </vt:variant>
      <vt:variant>
        <vt:i4>278</vt:i4>
      </vt:variant>
      <vt:variant>
        <vt:i4>0</vt:i4>
      </vt:variant>
      <vt:variant>
        <vt:i4>5</vt:i4>
      </vt:variant>
      <vt:variant>
        <vt:lpwstr/>
      </vt:variant>
      <vt:variant>
        <vt:lpwstr>_Toc395534355</vt:lpwstr>
      </vt:variant>
      <vt:variant>
        <vt:i4>1703990</vt:i4>
      </vt:variant>
      <vt:variant>
        <vt:i4>272</vt:i4>
      </vt:variant>
      <vt:variant>
        <vt:i4>0</vt:i4>
      </vt:variant>
      <vt:variant>
        <vt:i4>5</vt:i4>
      </vt:variant>
      <vt:variant>
        <vt:lpwstr/>
      </vt:variant>
      <vt:variant>
        <vt:lpwstr>_Toc395534354</vt:lpwstr>
      </vt:variant>
      <vt:variant>
        <vt:i4>1703990</vt:i4>
      </vt:variant>
      <vt:variant>
        <vt:i4>266</vt:i4>
      </vt:variant>
      <vt:variant>
        <vt:i4>0</vt:i4>
      </vt:variant>
      <vt:variant>
        <vt:i4>5</vt:i4>
      </vt:variant>
      <vt:variant>
        <vt:lpwstr/>
      </vt:variant>
      <vt:variant>
        <vt:lpwstr>_Toc395534353</vt:lpwstr>
      </vt:variant>
      <vt:variant>
        <vt:i4>1703990</vt:i4>
      </vt:variant>
      <vt:variant>
        <vt:i4>260</vt:i4>
      </vt:variant>
      <vt:variant>
        <vt:i4>0</vt:i4>
      </vt:variant>
      <vt:variant>
        <vt:i4>5</vt:i4>
      </vt:variant>
      <vt:variant>
        <vt:lpwstr/>
      </vt:variant>
      <vt:variant>
        <vt:lpwstr>_Toc395534352</vt:lpwstr>
      </vt:variant>
      <vt:variant>
        <vt:i4>1703990</vt:i4>
      </vt:variant>
      <vt:variant>
        <vt:i4>254</vt:i4>
      </vt:variant>
      <vt:variant>
        <vt:i4>0</vt:i4>
      </vt:variant>
      <vt:variant>
        <vt:i4>5</vt:i4>
      </vt:variant>
      <vt:variant>
        <vt:lpwstr/>
      </vt:variant>
      <vt:variant>
        <vt:lpwstr>_Toc395534351</vt:lpwstr>
      </vt:variant>
      <vt:variant>
        <vt:i4>1703990</vt:i4>
      </vt:variant>
      <vt:variant>
        <vt:i4>248</vt:i4>
      </vt:variant>
      <vt:variant>
        <vt:i4>0</vt:i4>
      </vt:variant>
      <vt:variant>
        <vt:i4>5</vt:i4>
      </vt:variant>
      <vt:variant>
        <vt:lpwstr/>
      </vt:variant>
      <vt:variant>
        <vt:lpwstr>_Toc395534350</vt:lpwstr>
      </vt:variant>
      <vt:variant>
        <vt:i4>1769526</vt:i4>
      </vt:variant>
      <vt:variant>
        <vt:i4>242</vt:i4>
      </vt:variant>
      <vt:variant>
        <vt:i4>0</vt:i4>
      </vt:variant>
      <vt:variant>
        <vt:i4>5</vt:i4>
      </vt:variant>
      <vt:variant>
        <vt:lpwstr/>
      </vt:variant>
      <vt:variant>
        <vt:lpwstr>_Toc395534349</vt:lpwstr>
      </vt:variant>
      <vt:variant>
        <vt:i4>1769526</vt:i4>
      </vt:variant>
      <vt:variant>
        <vt:i4>236</vt:i4>
      </vt:variant>
      <vt:variant>
        <vt:i4>0</vt:i4>
      </vt:variant>
      <vt:variant>
        <vt:i4>5</vt:i4>
      </vt:variant>
      <vt:variant>
        <vt:lpwstr/>
      </vt:variant>
      <vt:variant>
        <vt:lpwstr>_Toc395534348</vt:lpwstr>
      </vt:variant>
      <vt:variant>
        <vt:i4>1769526</vt:i4>
      </vt:variant>
      <vt:variant>
        <vt:i4>230</vt:i4>
      </vt:variant>
      <vt:variant>
        <vt:i4>0</vt:i4>
      </vt:variant>
      <vt:variant>
        <vt:i4>5</vt:i4>
      </vt:variant>
      <vt:variant>
        <vt:lpwstr/>
      </vt:variant>
      <vt:variant>
        <vt:lpwstr>_Toc395534347</vt:lpwstr>
      </vt:variant>
      <vt:variant>
        <vt:i4>1769526</vt:i4>
      </vt:variant>
      <vt:variant>
        <vt:i4>224</vt:i4>
      </vt:variant>
      <vt:variant>
        <vt:i4>0</vt:i4>
      </vt:variant>
      <vt:variant>
        <vt:i4>5</vt:i4>
      </vt:variant>
      <vt:variant>
        <vt:lpwstr/>
      </vt:variant>
      <vt:variant>
        <vt:lpwstr>_Toc395534346</vt:lpwstr>
      </vt:variant>
      <vt:variant>
        <vt:i4>1769526</vt:i4>
      </vt:variant>
      <vt:variant>
        <vt:i4>218</vt:i4>
      </vt:variant>
      <vt:variant>
        <vt:i4>0</vt:i4>
      </vt:variant>
      <vt:variant>
        <vt:i4>5</vt:i4>
      </vt:variant>
      <vt:variant>
        <vt:lpwstr/>
      </vt:variant>
      <vt:variant>
        <vt:lpwstr>_Toc395534345</vt:lpwstr>
      </vt:variant>
      <vt:variant>
        <vt:i4>1769526</vt:i4>
      </vt:variant>
      <vt:variant>
        <vt:i4>212</vt:i4>
      </vt:variant>
      <vt:variant>
        <vt:i4>0</vt:i4>
      </vt:variant>
      <vt:variant>
        <vt:i4>5</vt:i4>
      </vt:variant>
      <vt:variant>
        <vt:lpwstr/>
      </vt:variant>
      <vt:variant>
        <vt:lpwstr>_Toc395534344</vt:lpwstr>
      </vt:variant>
      <vt:variant>
        <vt:i4>1769526</vt:i4>
      </vt:variant>
      <vt:variant>
        <vt:i4>206</vt:i4>
      </vt:variant>
      <vt:variant>
        <vt:i4>0</vt:i4>
      </vt:variant>
      <vt:variant>
        <vt:i4>5</vt:i4>
      </vt:variant>
      <vt:variant>
        <vt:lpwstr/>
      </vt:variant>
      <vt:variant>
        <vt:lpwstr>_Toc395534343</vt:lpwstr>
      </vt:variant>
      <vt:variant>
        <vt:i4>1769526</vt:i4>
      </vt:variant>
      <vt:variant>
        <vt:i4>200</vt:i4>
      </vt:variant>
      <vt:variant>
        <vt:i4>0</vt:i4>
      </vt:variant>
      <vt:variant>
        <vt:i4>5</vt:i4>
      </vt:variant>
      <vt:variant>
        <vt:lpwstr/>
      </vt:variant>
      <vt:variant>
        <vt:lpwstr>_Toc395534342</vt:lpwstr>
      </vt:variant>
      <vt:variant>
        <vt:i4>1769526</vt:i4>
      </vt:variant>
      <vt:variant>
        <vt:i4>194</vt:i4>
      </vt:variant>
      <vt:variant>
        <vt:i4>0</vt:i4>
      </vt:variant>
      <vt:variant>
        <vt:i4>5</vt:i4>
      </vt:variant>
      <vt:variant>
        <vt:lpwstr/>
      </vt:variant>
      <vt:variant>
        <vt:lpwstr>_Toc395534341</vt:lpwstr>
      </vt:variant>
      <vt:variant>
        <vt:i4>1769526</vt:i4>
      </vt:variant>
      <vt:variant>
        <vt:i4>188</vt:i4>
      </vt:variant>
      <vt:variant>
        <vt:i4>0</vt:i4>
      </vt:variant>
      <vt:variant>
        <vt:i4>5</vt:i4>
      </vt:variant>
      <vt:variant>
        <vt:lpwstr/>
      </vt:variant>
      <vt:variant>
        <vt:lpwstr>_Toc395534340</vt:lpwstr>
      </vt:variant>
      <vt:variant>
        <vt:i4>1835062</vt:i4>
      </vt:variant>
      <vt:variant>
        <vt:i4>182</vt:i4>
      </vt:variant>
      <vt:variant>
        <vt:i4>0</vt:i4>
      </vt:variant>
      <vt:variant>
        <vt:i4>5</vt:i4>
      </vt:variant>
      <vt:variant>
        <vt:lpwstr/>
      </vt:variant>
      <vt:variant>
        <vt:lpwstr>_Toc395534339</vt:lpwstr>
      </vt:variant>
      <vt:variant>
        <vt:i4>1835062</vt:i4>
      </vt:variant>
      <vt:variant>
        <vt:i4>176</vt:i4>
      </vt:variant>
      <vt:variant>
        <vt:i4>0</vt:i4>
      </vt:variant>
      <vt:variant>
        <vt:i4>5</vt:i4>
      </vt:variant>
      <vt:variant>
        <vt:lpwstr/>
      </vt:variant>
      <vt:variant>
        <vt:lpwstr>_Toc395534338</vt:lpwstr>
      </vt:variant>
      <vt:variant>
        <vt:i4>1835062</vt:i4>
      </vt:variant>
      <vt:variant>
        <vt:i4>170</vt:i4>
      </vt:variant>
      <vt:variant>
        <vt:i4>0</vt:i4>
      </vt:variant>
      <vt:variant>
        <vt:i4>5</vt:i4>
      </vt:variant>
      <vt:variant>
        <vt:lpwstr/>
      </vt:variant>
      <vt:variant>
        <vt:lpwstr>_Toc395534337</vt:lpwstr>
      </vt:variant>
      <vt:variant>
        <vt:i4>1835062</vt:i4>
      </vt:variant>
      <vt:variant>
        <vt:i4>164</vt:i4>
      </vt:variant>
      <vt:variant>
        <vt:i4>0</vt:i4>
      </vt:variant>
      <vt:variant>
        <vt:i4>5</vt:i4>
      </vt:variant>
      <vt:variant>
        <vt:lpwstr/>
      </vt:variant>
      <vt:variant>
        <vt:lpwstr>_Toc395534336</vt:lpwstr>
      </vt:variant>
      <vt:variant>
        <vt:i4>1835062</vt:i4>
      </vt:variant>
      <vt:variant>
        <vt:i4>158</vt:i4>
      </vt:variant>
      <vt:variant>
        <vt:i4>0</vt:i4>
      </vt:variant>
      <vt:variant>
        <vt:i4>5</vt:i4>
      </vt:variant>
      <vt:variant>
        <vt:lpwstr/>
      </vt:variant>
      <vt:variant>
        <vt:lpwstr>_Toc395534335</vt:lpwstr>
      </vt:variant>
      <vt:variant>
        <vt:i4>1835062</vt:i4>
      </vt:variant>
      <vt:variant>
        <vt:i4>152</vt:i4>
      </vt:variant>
      <vt:variant>
        <vt:i4>0</vt:i4>
      </vt:variant>
      <vt:variant>
        <vt:i4>5</vt:i4>
      </vt:variant>
      <vt:variant>
        <vt:lpwstr/>
      </vt:variant>
      <vt:variant>
        <vt:lpwstr>_Toc395534334</vt:lpwstr>
      </vt:variant>
      <vt:variant>
        <vt:i4>1835062</vt:i4>
      </vt:variant>
      <vt:variant>
        <vt:i4>146</vt:i4>
      </vt:variant>
      <vt:variant>
        <vt:i4>0</vt:i4>
      </vt:variant>
      <vt:variant>
        <vt:i4>5</vt:i4>
      </vt:variant>
      <vt:variant>
        <vt:lpwstr/>
      </vt:variant>
      <vt:variant>
        <vt:lpwstr>_Toc395534333</vt:lpwstr>
      </vt:variant>
      <vt:variant>
        <vt:i4>1835062</vt:i4>
      </vt:variant>
      <vt:variant>
        <vt:i4>140</vt:i4>
      </vt:variant>
      <vt:variant>
        <vt:i4>0</vt:i4>
      </vt:variant>
      <vt:variant>
        <vt:i4>5</vt:i4>
      </vt:variant>
      <vt:variant>
        <vt:lpwstr/>
      </vt:variant>
      <vt:variant>
        <vt:lpwstr>_Toc395534332</vt:lpwstr>
      </vt:variant>
      <vt:variant>
        <vt:i4>1835062</vt:i4>
      </vt:variant>
      <vt:variant>
        <vt:i4>134</vt:i4>
      </vt:variant>
      <vt:variant>
        <vt:i4>0</vt:i4>
      </vt:variant>
      <vt:variant>
        <vt:i4>5</vt:i4>
      </vt:variant>
      <vt:variant>
        <vt:lpwstr/>
      </vt:variant>
      <vt:variant>
        <vt:lpwstr>_Toc395534331</vt:lpwstr>
      </vt:variant>
      <vt:variant>
        <vt:i4>1835062</vt:i4>
      </vt:variant>
      <vt:variant>
        <vt:i4>128</vt:i4>
      </vt:variant>
      <vt:variant>
        <vt:i4>0</vt:i4>
      </vt:variant>
      <vt:variant>
        <vt:i4>5</vt:i4>
      </vt:variant>
      <vt:variant>
        <vt:lpwstr/>
      </vt:variant>
      <vt:variant>
        <vt:lpwstr>_Toc395534330</vt:lpwstr>
      </vt:variant>
      <vt:variant>
        <vt:i4>1900598</vt:i4>
      </vt:variant>
      <vt:variant>
        <vt:i4>122</vt:i4>
      </vt:variant>
      <vt:variant>
        <vt:i4>0</vt:i4>
      </vt:variant>
      <vt:variant>
        <vt:i4>5</vt:i4>
      </vt:variant>
      <vt:variant>
        <vt:lpwstr/>
      </vt:variant>
      <vt:variant>
        <vt:lpwstr>_Toc395534329</vt:lpwstr>
      </vt:variant>
      <vt:variant>
        <vt:i4>1900598</vt:i4>
      </vt:variant>
      <vt:variant>
        <vt:i4>116</vt:i4>
      </vt:variant>
      <vt:variant>
        <vt:i4>0</vt:i4>
      </vt:variant>
      <vt:variant>
        <vt:i4>5</vt:i4>
      </vt:variant>
      <vt:variant>
        <vt:lpwstr/>
      </vt:variant>
      <vt:variant>
        <vt:lpwstr>_Toc395534328</vt:lpwstr>
      </vt:variant>
      <vt:variant>
        <vt:i4>1900598</vt:i4>
      </vt:variant>
      <vt:variant>
        <vt:i4>110</vt:i4>
      </vt:variant>
      <vt:variant>
        <vt:i4>0</vt:i4>
      </vt:variant>
      <vt:variant>
        <vt:i4>5</vt:i4>
      </vt:variant>
      <vt:variant>
        <vt:lpwstr/>
      </vt:variant>
      <vt:variant>
        <vt:lpwstr>_Toc395534327</vt:lpwstr>
      </vt:variant>
      <vt:variant>
        <vt:i4>1900598</vt:i4>
      </vt:variant>
      <vt:variant>
        <vt:i4>104</vt:i4>
      </vt:variant>
      <vt:variant>
        <vt:i4>0</vt:i4>
      </vt:variant>
      <vt:variant>
        <vt:i4>5</vt:i4>
      </vt:variant>
      <vt:variant>
        <vt:lpwstr/>
      </vt:variant>
      <vt:variant>
        <vt:lpwstr>_Toc395534326</vt:lpwstr>
      </vt:variant>
      <vt:variant>
        <vt:i4>1900598</vt:i4>
      </vt:variant>
      <vt:variant>
        <vt:i4>98</vt:i4>
      </vt:variant>
      <vt:variant>
        <vt:i4>0</vt:i4>
      </vt:variant>
      <vt:variant>
        <vt:i4>5</vt:i4>
      </vt:variant>
      <vt:variant>
        <vt:lpwstr/>
      </vt:variant>
      <vt:variant>
        <vt:lpwstr>_Toc395534325</vt:lpwstr>
      </vt:variant>
      <vt:variant>
        <vt:i4>1900598</vt:i4>
      </vt:variant>
      <vt:variant>
        <vt:i4>92</vt:i4>
      </vt:variant>
      <vt:variant>
        <vt:i4>0</vt:i4>
      </vt:variant>
      <vt:variant>
        <vt:i4>5</vt:i4>
      </vt:variant>
      <vt:variant>
        <vt:lpwstr/>
      </vt:variant>
      <vt:variant>
        <vt:lpwstr>_Toc395534324</vt:lpwstr>
      </vt:variant>
      <vt:variant>
        <vt:i4>1900598</vt:i4>
      </vt:variant>
      <vt:variant>
        <vt:i4>86</vt:i4>
      </vt:variant>
      <vt:variant>
        <vt:i4>0</vt:i4>
      </vt:variant>
      <vt:variant>
        <vt:i4>5</vt:i4>
      </vt:variant>
      <vt:variant>
        <vt:lpwstr/>
      </vt:variant>
      <vt:variant>
        <vt:lpwstr>_Toc395534323</vt:lpwstr>
      </vt:variant>
      <vt:variant>
        <vt:i4>1900598</vt:i4>
      </vt:variant>
      <vt:variant>
        <vt:i4>80</vt:i4>
      </vt:variant>
      <vt:variant>
        <vt:i4>0</vt:i4>
      </vt:variant>
      <vt:variant>
        <vt:i4>5</vt:i4>
      </vt:variant>
      <vt:variant>
        <vt:lpwstr/>
      </vt:variant>
      <vt:variant>
        <vt:lpwstr>_Toc395534322</vt:lpwstr>
      </vt:variant>
      <vt:variant>
        <vt:i4>1900598</vt:i4>
      </vt:variant>
      <vt:variant>
        <vt:i4>74</vt:i4>
      </vt:variant>
      <vt:variant>
        <vt:i4>0</vt:i4>
      </vt:variant>
      <vt:variant>
        <vt:i4>5</vt:i4>
      </vt:variant>
      <vt:variant>
        <vt:lpwstr/>
      </vt:variant>
      <vt:variant>
        <vt:lpwstr>_Toc395534321</vt:lpwstr>
      </vt:variant>
      <vt:variant>
        <vt:i4>1900598</vt:i4>
      </vt:variant>
      <vt:variant>
        <vt:i4>68</vt:i4>
      </vt:variant>
      <vt:variant>
        <vt:i4>0</vt:i4>
      </vt:variant>
      <vt:variant>
        <vt:i4>5</vt:i4>
      </vt:variant>
      <vt:variant>
        <vt:lpwstr/>
      </vt:variant>
      <vt:variant>
        <vt:lpwstr>_Toc395534320</vt:lpwstr>
      </vt:variant>
      <vt:variant>
        <vt:i4>1966134</vt:i4>
      </vt:variant>
      <vt:variant>
        <vt:i4>62</vt:i4>
      </vt:variant>
      <vt:variant>
        <vt:i4>0</vt:i4>
      </vt:variant>
      <vt:variant>
        <vt:i4>5</vt:i4>
      </vt:variant>
      <vt:variant>
        <vt:lpwstr/>
      </vt:variant>
      <vt:variant>
        <vt:lpwstr>_Toc395534319</vt:lpwstr>
      </vt:variant>
      <vt:variant>
        <vt:i4>1966134</vt:i4>
      </vt:variant>
      <vt:variant>
        <vt:i4>56</vt:i4>
      </vt:variant>
      <vt:variant>
        <vt:i4>0</vt:i4>
      </vt:variant>
      <vt:variant>
        <vt:i4>5</vt:i4>
      </vt:variant>
      <vt:variant>
        <vt:lpwstr/>
      </vt:variant>
      <vt:variant>
        <vt:lpwstr>_Toc395534318</vt:lpwstr>
      </vt:variant>
      <vt:variant>
        <vt:i4>1966134</vt:i4>
      </vt:variant>
      <vt:variant>
        <vt:i4>50</vt:i4>
      </vt:variant>
      <vt:variant>
        <vt:i4>0</vt:i4>
      </vt:variant>
      <vt:variant>
        <vt:i4>5</vt:i4>
      </vt:variant>
      <vt:variant>
        <vt:lpwstr/>
      </vt:variant>
      <vt:variant>
        <vt:lpwstr>_Toc395534317</vt:lpwstr>
      </vt:variant>
      <vt:variant>
        <vt:i4>1966134</vt:i4>
      </vt:variant>
      <vt:variant>
        <vt:i4>44</vt:i4>
      </vt:variant>
      <vt:variant>
        <vt:i4>0</vt:i4>
      </vt:variant>
      <vt:variant>
        <vt:i4>5</vt:i4>
      </vt:variant>
      <vt:variant>
        <vt:lpwstr/>
      </vt:variant>
      <vt:variant>
        <vt:lpwstr>_Toc395534316</vt:lpwstr>
      </vt:variant>
      <vt:variant>
        <vt:i4>1966134</vt:i4>
      </vt:variant>
      <vt:variant>
        <vt:i4>38</vt:i4>
      </vt:variant>
      <vt:variant>
        <vt:i4>0</vt:i4>
      </vt:variant>
      <vt:variant>
        <vt:i4>5</vt:i4>
      </vt:variant>
      <vt:variant>
        <vt:lpwstr/>
      </vt:variant>
      <vt:variant>
        <vt:lpwstr>_Toc395534315</vt:lpwstr>
      </vt:variant>
      <vt:variant>
        <vt:i4>1966134</vt:i4>
      </vt:variant>
      <vt:variant>
        <vt:i4>32</vt:i4>
      </vt:variant>
      <vt:variant>
        <vt:i4>0</vt:i4>
      </vt:variant>
      <vt:variant>
        <vt:i4>5</vt:i4>
      </vt:variant>
      <vt:variant>
        <vt:lpwstr/>
      </vt:variant>
      <vt:variant>
        <vt:lpwstr>_Toc395534314</vt:lpwstr>
      </vt:variant>
      <vt:variant>
        <vt:i4>1966134</vt:i4>
      </vt:variant>
      <vt:variant>
        <vt:i4>26</vt:i4>
      </vt:variant>
      <vt:variant>
        <vt:i4>0</vt:i4>
      </vt:variant>
      <vt:variant>
        <vt:i4>5</vt:i4>
      </vt:variant>
      <vt:variant>
        <vt:lpwstr/>
      </vt:variant>
      <vt:variant>
        <vt:lpwstr>_Toc395534313</vt:lpwstr>
      </vt:variant>
      <vt:variant>
        <vt:i4>1966134</vt:i4>
      </vt:variant>
      <vt:variant>
        <vt:i4>20</vt:i4>
      </vt:variant>
      <vt:variant>
        <vt:i4>0</vt:i4>
      </vt:variant>
      <vt:variant>
        <vt:i4>5</vt:i4>
      </vt:variant>
      <vt:variant>
        <vt:lpwstr/>
      </vt:variant>
      <vt:variant>
        <vt:lpwstr>_Toc395534312</vt:lpwstr>
      </vt:variant>
      <vt:variant>
        <vt:i4>1966134</vt:i4>
      </vt:variant>
      <vt:variant>
        <vt:i4>14</vt:i4>
      </vt:variant>
      <vt:variant>
        <vt:i4>0</vt:i4>
      </vt:variant>
      <vt:variant>
        <vt:i4>5</vt:i4>
      </vt:variant>
      <vt:variant>
        <vt:lpwstr/>
      </vt:variant>
      <vt:variant>
        <vt:lpwstr>_Toc395534311</vt:lpwstr>
      </vt:variant>
      <vt:variant>
        <vt:i4>1966134</vt:i4>
      </vt:variant>
      <vt:variant>
        <vt:i4>8</vt:i4>
      </vt:variant>
      <vt:variant>
        <vt:i4>0</vt:i4>
      </vt:variant>
      <vt:variant>
        <vt:i4>5</vt:i4>
      </vt:variant>
      <vt:variant>
        <vt:lpwstr/>
      </vt:variant>
      <vt:variant>
        <vt:lpwstr>_Toc395534310</vt:lpwstr>
      </vt:variant>
      <vt:variant>
        <vt:i4>2031670</vt:i4>
      </vt:variant>
      <vt:variant>
        <vt:i4>2</vt:i4>
      </vt:variant>
      <vt:variant>
        <vt:i4>0</vt:i4>
      </vt:variant>
      <vt:variant>
        <vt:i4>5</vt:i4>
      </vt:variant>
      <vt:variant>
        <vt:lpwstr/>
      </vt:variant>
      <vt:variant>
        <vt:lpwstr>_Toc395534309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dc:creator>
  <cp:lastModifiedBy>Craig Eccles</cp:lastModifiedBy>
  <cp:revision>12</cp:revision>
  <cp:lastPrinted>2024-11-26T15:46:00Z</cp:lastPrinted>
  <dcterms:created xsi:type="dcterms:W3CDTF">2024-12-18T15:43:00Z</dcterms:created>
  <dcterms:modified xsi:type="dcterms:W3CDTF">2025-01-10T16:33:00Z</dcterms:modified>
</cp:coreProperties>
</file>