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Habitat Restoration </w:t>
      </w:r>
      <w:r w:rsidR="00865CEC" w:rsidRPr="00181A18">
        <w:rPr>
          <w:rFonts w:ascii="Times New Roman" w:hAnsi="Times New Roman" w:cs="Times New Roman"/>
          <w:caps/>
          <w:sz w:val="24"/>
          <w:szCs w:val="24"/>
        </w:rPr>
        <w:t xml:space="preserve">for Species in Greatest Conservation Need </w:t>
      </w:r>
      <w:r w:rsidR="001E6C9A" w:rsidRPr="00181A18">
        <w:rPr>
          <w:rFonts w:ascii="Times New Roman" w:hAnsi="Times New Roman" w:cs="Times New Roman"/>
          <w:caps/>
          <w:sz w:val="24"/>
          <w:szCs w:val="24"/>
        </w:rPr>
        <w:t>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bookmarkStart w:id="0" w:name="_GoBack"/>
      <w:bookmarkEnd w:id="0"/>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w:t>
      </w:r>
      <w:r w:rsidR="009315EF">
        <w:rPr>
          <w:rFonts w:ascii="Times New Roman" w:hAnsi="Times New Roman" w:cs="Times New Roman"/>
          <w:bCs/>
          <w:sz w:val="24"/>
          <w:szCs w:val="24"/>
        </w:rPr>
        <w:t>s</w:t>
      </w:r>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 xml:space="preserve">Leonard’s skippers </w:t>
      </w:r>
      <w:r w:rsidR="00025100">
        <w:rPr>
          <w:rFonts w:ascii="Times New Roman" w:hAnsi="Times New Roman" w:cs="Times New Roman"/>
          <w:bCs/>
          <w:sz w:val="24"/>
          <w:szCs w:val="24"/>
        </w:rPr>
        <w:t>(</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9315EF" w:rsidRDefault="009315EF" w:rsidP="00F27D39">
      <w:pPr>
        <w:spacing w:line="480" w:lineRule="auto"/>
        <w:outlineLvl w:val="0"/>
        <w:rPr>
          <w:rFonts w:ascii="Times New Roman" w:hAnsi="Times New Roman" w:cs="Times New Roman"/>
          <w:sz w:val="24"/>
          <w:szCs w:val="24"/>
        </w:rPr>
      </w:pPr>
    </w:p>
    <w:p w:rsidR="009315EF" w:rsidRDefault="009315EF" w:rsidP="00F27D39">
      <w:pPr>
        <w:spacing w:line="480" w:lineRule="auto"/>
        <w:outlineLvl w:val="0"/>
        <w:rPr>
          <w:rFonts w:ascii="Times New Roman" w:hAnsi="Times New Roman" w:cs="Times New Roman"/>
          <w:sz w:val="24"/>
          <w:szCs w:val="24"/>
        </w:rPr>
      </w:pPr>
    </w:p>
    <w:p w:rsidR="009315EF" w:rsidRDefault="009315EF" w:rsidP="00F27D39">
      <w:pPr>
        <w:spacing w:line="480" w:lineRule="auto"/>
        <w:outlineLvl w:val="0"/>
        <w:rPr>
          <w:rFonts w:ascii="Times New Roman" w:hAnsi="Times New Roman" w:cs="Times New Roman"/>
          <w:sz w:val="24"/>
          <w:szCs w:val="24"/>
        </w:rPr>
      </w:pPr>
    </w:p>
    <w:p w:rsidR="0071688F" w:rsidRPr="006F4B68" w:rsidRDefault="00AC4724" w:rsidP="00F27D39">
      <w:pPr>
        <w:spacing w:line="480" w:lineRule="auto"/>
        <w:outlineLvl w:val="0"/>
        <w:rPr>
          <w:rFonts w:ascii="Times New Roman" w:hAnsi="Times New Roman" w:cs="Times New Roman"/>
          <w:sz w:val="24"/>
          <w:szCs w:val="24"/>
        </w:rPr>
      </w:pPr>
      <w:proofErr w:type="gramStart"/>
      <w:r>
        <w:rPr>
          <w:rFonts w:ascii="Times New Roman" w:hAnsi="Times New Roman" w:cs="Times New Roman"/>
          <w:sz w:val="24"/>
          <w:szCs w:val="24"/>
        </w:rPr>
        <w:t>w</w:t>
      </w:r>
      <w:r w:rsidR="0071688F">
        <w:rPr>
          <w:rFonts w:ascii="Times New Roman" w:hAnsi="Times New Roman" w:cs="Times New Roman"/>
          <w:sz w:val="24"/>
          <w:szCs w:val="24"/>
        </w:rPr>
        <w:t>e</w:t>
      </w:r>
      <w:proofErr w:type="gramEnd"/>
      <w:r w:rsidR="0071688F">
        <w:rPr>
          <w:rFonts w:ascii="Times New Roman" w:hAnsi="Times New Roman" w:cs="Times New Roman"/>
          <w:sz w:val="24"/>
          <w:szCs w:val="24"/>
        </w:rPr>
        <w:t xml:space="preserve"> </w:t>
      </w:r>
      <w:r>
        <w:rPr>
          <w:rFonts w:ascii="Times New Roman" w:hAnsi="Times New Roman" w:cs="Times New Roman"/>
          <w:sz w:val="24"/>
          <w:szCs w:val="24"/>
        </w:rPr>
        <w:t>surveyed for</w:t>
      </w:r>
      <w:r w:rsidR="0071688F">
        <w:rPr>
          <w:rFonts w:ascii="Times New Roman" w:hAnsi="Times New Roman" w:cs="Times New Roman"/>
          <w:sz w:val="24"/>
          <w:szCs w:val="24"/>
        </w:rPr>
        <w:t xml:space="preserve"> six wildlife species associated with rare upland habitat types in the area to describe relationships between species and their </w:t>
      </w:r>
      <w:r w:rsidR="00AE2805">
        <w:rPr>
          <w:rFonts w:ascii="Times New Roman" w:hAnsi="Times New Roman" w:cs="Times New Roman"/>
          <w:sz w:val="24"/>
          <w:szCs w:val="24"/>
        </w:rPr>
        <w:t xml:space="preserve">habitat. We surveyed for the </w:t>
      </w:r>
      <w:r w:rsidR="00AE2805">
        <w:rPr>
          <w:rFonts w:ascii="Times New Roman" w:hAnsi="Times New Roman" w:cs="Times New Roman"/>
          <w:bCs/>
          <w:sz w:val="24"/>
          <w:szCs w:val="24"/>
        </w:rPr>
        <w:t>l</w:t>
      </w:r>
      <w:r w:rsidR="00AE2805" w:rsidRPr="00C966A8">
        <w:rPr>
          <w:rFonts w:ascii="Times New Roman" w:hAnsi="Times New Roman" w:cs="Times New Roman"/>
          <w:bCs/>
          <w:sz w:val="24"/>
          <w:szCs w:val="24"/>
        </w:rPr>
        <w:t>ark s</w:t>
      </w:r>
      <w:r w:rsidR="00AE2805">
        <w:rPr>
          <w:rFonts w:ascii="Times New Roman" w:hAnsi="Times New Roman" w:cs="Times New Roman"/>
          <w:bCs/>
          <w:sz w:val="24"/>
          <w:szCs w:val="24"/>
        </w:rPr>
        <w:t>parrow</w:t>
      </w:r>
      <w:r w:rsidR="00AE2805">
        <w:rPr>
          <w:rFonts w:ascii="Times New Roman" w:hAnsi="Times New Roman" w:cs="Times New Roman"/>
          <w:sz w:val="24"/>
          <w:szCs w:val="24"/>
        </w:rPr>
        <w:t xml:space="preserve"> (</w:t>
      </w:r>
      <w:proofErr w:type="spellStart"/>
      <w:r w:rsidR="00AE2805" w:rsidRPr="00C966A8">
        <w:rPr>
          <w:rFonts w:ascii="Times New Roman" w:hAnsi="Times New Roman" w:cs="Times New Roman"/>
          <w:bCs/>
          <w:i/>
          <w:sz w:val="24"/>
          <w:szCs w:val="24"/>
        </w:rPr>
        <w:t>Chondestes</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grammacus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e</w:t>
      </w:r>
      <w:r w:rsidR="00AE2805" w:rsidRPr="00C966A8">
        <w:rPr>
          <w:rFonts w:ascii="Times New Roman" w:hAnsi="Times New Roman" w:cs="Times New Roman"/>
          <w:bCs/>
          <w:sz w:val="24"/>
          <w:szCs w:val="24"/>
        </w:rPr>
        <w:t>astern t</w:t>
      </w:r>
      <w:r w:rsidR="00AE2805">
        <w:rPr>
          <w:rFonts w:ascii="Times New Roman" w:hAnsi="Times New Roman" w:cs="Times New Roman"/>
          <w:bCs/>
          <w:sz w:val="24"/>
          <w:szCs w:val="24"/>
        </w:rPr>
        <w:t>owhee</w:t>
      </w:r>
      <w:r w:rsidR="00AE2805" w:rsidRPr="00C966A8">
        <w:rPr>
          <w:rFonts w:ascii="Times New Roman" w:hAnsi="Times New Roman" w:cs="Times New Roman"/>
          <w:bCs/>
          <w:sz w:val="24"/>
          <w:szCs w:val="24"/>
        </w:rPr>
        <w:t xml:space="preserve"> </w:t>
      </w:r>
      <w:r w:rsidR="00AE2805">
        <w:rPr>
          <w:rFonts w:ascii="Times New Roman" w:hAnsi="Times New Roman" w:cs="Times New Roman"/>
          <w:bCs/>
          <w:sz w:val="24"/>
          <w:szCs w:val="24"/>
        </w:rPr>
        <w:t>(</w:t>
      </w:r>
      <w:proofErr w:type="spellStart"/>
      <w:r w:rsidR="00AE2805" w:rsidRPr="00C966A8">
        <w:rPr>
          <w:rFonts w:ascii="Times New Roman" w:hAnsi="Times New Roman" w:cs="Times New Roman"/>
          <w:bCs/>
          <w:i/>
          <w:sz w:val="24"/>
          <w:szCs w:val="24"/>
        </w:rPr>
        <w:t>Pipilo</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erythrophthalmus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xml:space="preserve">, </w:t>
      </w:r>
      <w:r w:rsidR="00AE2805" w:rsidRPr="00C966A8">
        <w:rPr>
          <w:rFonts w:ascii="Times New Roman" w:hAnsi="Times New Roman" w:cs="Times New Roman"/>
          <w:bCs/>
          <w:sz w:val="24"/>
          <w:szCs w:val="24"/>
        </w:rPr>
        <w:t>Leonard’s s</w:t>
      </w:r>
      <w:r w:rsidR="00AE2805">
        <w:rPr>
          <w:rFonts w:ascii="Times New Roman" w:hAnsi="Times New Roman" w:cs="Times New Roman"/>
          <w:bCs/>
          <w:sz w:val="24"/>
          <w:szCs w:val="24"/>
        </w:rPr>
        <w:t>kipper</w:t>
      </w:r>
      <w:r w:rsidR="00AE2805" w:rsidRPr="00C966A8">
        <w:rPr>
          <w:rFonts w:ascii="Times New Roman" w:hAnsi="Times New Roman" w:cs="Times New Roman"/>
          <w:bCs/>
          <w:sz w:val="24"/>
          <w:szCs w:val="24"/>
        </w:rPr>
        <w:t xml:space="preserve"> </w:t>
      </w:r>
      <w:r w:rsidR="00AE2805">
        <w:rPr>
          <w:rFonts w:ascii="Times New Roman" w:hAnsi="Times New Roman" w:cs="Times New Roman"/>
          <w:bCs/>
          <w:sz w:val="24"/>
          <w:szCs w:val="24"/>
        </w:rPr>
        <w:t>(</w:t>
      </w:r>
      <w:r w:rsidR="00AE2805" w:rsidRPr="00C966A8">
        <w:rPr>
          <w:rFonts w:ascii="Times New Roman" w:hAnsi="Times New Roman" w:cs="Times New Roman"/>
          <w:bCs/>
          <w:i/>
          <w:sz w:val="24"/>
          <w:szCs w:val="24"/>
        </w:rPr>
        <w:t xml:space="preserve">Hesperia </w:t>
      </w:r>
      <w:proofErr w:type="spellStart"/>
      <w:r w:rsidR="00AE2805" w:rsidRPr="00C966A8">
        <w:rPr>
          <w:rFonts w:ascii="Times New Roman" w:hAnsi="Times New Roman" w:cs="Times New Roman"/>
          <w:bCs/>
          <w:i/>
          <w:sz w:val="24"/>
          <w:szCs w:val="24"/>
        </w:rPr>
        <w:t>leonardus</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leonardus</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northern b</w:t>
      </w:r>
      <w:r w:rsidR="00AE2805" w:rsidRPr="00C966A8">
        <w:rPr>
          <w:rFonts w:ascii="Times New Roman" w:hAnsi="Times New Roman" w:cs="Times New Roman"/>
          <w:bCs/>
          <w:sz w:val="24"/>
          <w:szCs w:val="24"/>
        </w:rPr>
        <w:t>arrens tiger b</w:t>
      </w:r>
      <w:r w:rsidR="00AE2805">
        <w:rPr>
          <w:rFonts w:ascii="Times New Roman" w:hAnsi="Times New Roman" w:cs="Times New Roman"/>
          <w:bCs/>
          <w:sz w:val="24"/>
          <w:szCs w:val="24"/>
        </w:rPr>
        <w:t>eetle (</w:t>
      </w:r>
      <w:proofErr w:type="spellStart"/>
      <w:r w:rsidR="00AE2805" w:rsidRPr="00C966A8">
        <w:rPr>
          <w:rFonts w:ascii="Times New Roman" w:hAnsi="Times New Roman" w:cs="Times New Roman"/>
          <w:bCs/>
          <w:i/>
          <w:sz w:val="24"/>
          <w:szCs w:val="24"/>
        </w:rPr>
        <w:t>Cicindela</w:t>
      </w:r>
      <w:proofErr w:type="spellEnd"/>
      <w:r w:rsidR="00AE2805" w:rsidRPr="00C966A8">
        <w:rPr>
          <w:rFonts w:ascii="Times New Roman" w:hAnsi="Times New Roman" w:cs="Times New Roman"/>
          <w:bCs/>
          <w:i/>
          <w:sz w:val="24"/>
          <w:szCs w:val="24"/>
        </w:rPr>
        <w:t xml:space="preserve"> </w:t>
      </w:r>
      <w:proofErr w:type="spellStart"/>
      <w:r w:rsidR="00AE2805" w:rsidRPr="00C966A8">
        <w:rPr>
          <w:rFonts w:ascii="Times New Roman" w:hAnsi="Times New Roman" w:cs="Times New Roman"/>
          <w:bCs/>
          <w:i/>
          <w:sz w:val="24"/>
          <w:szCs w:val="24"/>
        </w:rPr>
        <w:t>patruela</w:t>
      </w:r>
      <w:proofErr w:type="spellEnd"/>
      <w:r w:rsidR="00AE2805">
        <w:rPr>
          <w:rFonts w:ascii="Times New Roman" w:hAnsi="Times New Roman" w:cs="Times New Roman"/>
          <w:bCs/>
          <w:i/>
          <w:sz w:val="24"/>
          <w:szCs w:val="24"/>
        </w:rPr>
        <w:t>)</w:t>
      </w:r>
      <w:r w:rsidR="00AE2805">
        <w:rPr>
          <w:rFonts w:ascii="Times New Roman" w:hAnsi="Times New Roman" w:cs="Times New Roman"/>
          <w:bCs/>
          <w:sz w:val="24"/>
          <w:szCs w:val="24"/>
        </w:rPr>
        <w:t>, and</w:t>
      </w:r>
      <w:r w:rsidR="00AE2805" w:rsidRPr="00C966A8">
        <w:rPr>
          <w:rFonts w:ascii="Times New Roman" w:hAnsi="Times New Roman" w:cs="Times New Roman"/>
          <w:bCs/>
          <w:sz w:val="24"/>
          <w:szCs w:val="24"/>
        </w:rPr>
        <w:t xml:space="preserve"> </w:t>
      </w:r>
      <w:r w:rsidR="00AE2805">
        <w:rPr>
          <w:rFonts w:ascii="Times New Roman" w:hAnsi="Times New Roman" w:cs="Times New Roman"/>
          <w:bCs/>
          <w:sz w:val="24"/>
          <w:szCs w:val="24"/>
        </w:rPr>
        <w:t>between 2014 and 2016, and used N-mixture abundance models to describe relationships between abundance</w:t>
      </w:r>
      <w:r w:rsidR="006F4B68">
        <w:rPr>
          <w:rFonts w:ascii="Times New Roman" w:hAnsi="Times New Roman" w:cs="Times New Roman"/>
          <w:bCs/>
          <w:sz w:val="24"/>
          <w:szCs w:val="24"/>
        </w:rPr>
        <w:t xml:space="preserve"> and occupancy</w:t>
      </w:r>
      <w:r w:rsidR="00AE2805">
        <w:rPr>
          <w:rFonts w:ascii="Times New Roman" w:hAnsi="Times New Roman" w:cs="Times New Roman"/>
          <w:bCs/>
          <w:sz w:val="24"/>
          <w:szCs w:val="24"/>
        </w:rPr>
        <w:t xml:space="preserve"> and </w:t>
      </w:r>
      <w:r w:rsidR="006F4B68">
        <w:rPr>
          <w:rFonts w:ascii="Times New Roman" w:hAnsi="Times New Roman" w:cs="Times New Roman"/>
          <w:bCs/>
          <w:sz w:val="24"/>
          <w:szCs w:val="24"/>
        </w:rPr>
        <w:t xml:space="preserve">habitat charactistics related to management. </w:t>
      </w:r>
      <w:r w:rsidR="00601B63">
        <w:rPr>
          <w:rFonts w:ascii="Times New Roman" w:hAnsi="Times New Roman" w:cs="Times New Roman"/>
          <w:sz w:val="24"/>
          <w:szCs w:val="24"/>
        </w:rPr>
        <w:t xml:space="preserve">We </w:t>
      </w:r>
      <w:r w:rsidR="006F4B68">
        <w:rPr>
          <w:rFonts w:ascii="Times New Roman" w:hAnsi="Times New Roman" w:cs="Times New Roman"/>
          <w:sz w:val="24"/>
          <w:szCs w:val="24"/>
        </w:rPr>
        <w:t xml:space="preserve">found that species’ predicted abundance and occupancy probability were affected by habitat features and management disturbances, with at least one variable per species receiving statistical support. </w:t>
      </w:r>
      <w:r w:rsidR="0093304A">
        <w:rPr>
          <w:rFonts w:ascii="Times New Roman" w:hAnsi="Times New Roman" w:cs="Times New Roman"/>
          <w:sz w:val="24"/>
          <w:szCs w:val="24"/>
        </w:rPr>
        <w:t xml:space="preserve">Interestingly, </w:t>
      </w:r>
      <w:r w:rsidR="0093304A" w:rsidRPr="0093304A">
        <w:rPr>
          <w:rFonts w:ascii="Times New Roman" w:hAnsi="Times New Roman" w:cs="Times New Roman"/>
          <w:sz w:val="24"/>
          <w:szCs w:val="24"/>
        </w:rPr>
        <w:t>Leonard’s skipper</w:t>
      </w:r>
      <w:r w:rsidR="006F4B68">
        <w:rPr>
          <w:rFonts w:ascii="Times New Roman" w:hAnsi="Times New Roman" w:cs="Times New Roman"/>
          <w:sz w:val="24"/>
          <w:szCs w:val="24"/>
        </w:rPr>
        <w:t xml:space="preserve"> </w:t>
      </w:r>
      <w:r w:rsidR="006F4B68" w:rsidRPr="0093304A">
        <w:rPr>
          <w:rFonts w:ascii="Times New Roman" w:hAnsi="Times New Roman" w:cs="Times New Roman"/>
          <w:sz w:val="24"/>
          <w:szCs w:val="24"/>
        </w:rPr>
        <w:t xml:space="preserve">and </w:t>
      </w:r>
      <w:r w:rsidR="0093304A" w:rsidRPr="0093304A">
        <w:rPr>
          <w:rFonts w:ascii="Times New Roman" w:hAnsi="Times New Roman" w:cs="Times New Roman"/>
          <w:bCs/>
          <w:sz w:val="24"/>
          <w:szCs w:val="24"/>
        </w:rPr>
        <w:t>lark sparrow</w:t>
      </w:r>
      <w:r w:rsidR="006F4B68">
        <w:rPr>
          <w:rFonts w:ascii="Times New Roman" w:hAnsi="Times New Roman" w:cs="Times New Roman"/>
          <w:bCs/>
          <w:i/>
          <w:sz w:val="24"/>
          <w:szCs w:val="24"/>
        </w:rPr>
        <w:t xml:space="preserve"> </w:t>
      </w:r>
      <w:r w:rsidR="006F4B68">
        <w:rPr>
          <w:rFonts w:ascii="Times New Roman" w:hAnsi="Times New Roman" w:cs="Times New Roman"/>
          <w:bCs/>
          <w:sz w:val="24"/>
          <w:szCs w:val="24"/>
        </w:rPr>
        <w:t xml:space="preserve">exhibited disparate relationships with </w:t>
      </w:r>
      <w:r w:rsidR="006F4B68">
        <w:rPr>
          <w:rFonts w:ascii="Times New Roman" w:hAnsi="Times New Roman" w:cs="Times New Roman"/>
          <w:bCs/>
          <w:sz w:val="24"/>
          <w:szCs w:val="24"/>
        </w:rPr>
        <w:lastRenderedPageBreak/>
        <w:t>management disturbance</w:t>
      </w:r>
      <w:r w:rsidR="0093304A">
        <w:rPr>
          <w:rFonts w:ascii="Times New Roman" w:hAnsi="Times New Roman" w:cs="Times New Roman"/>
          <w:bCs/>
          <w:sz w:val="24"/>
          <w:szCs w:val="24"/>
        </w:rPr>
        <w:t xml:space="preserve">, </w:t>
      </w:r>
      <w:r w:rsidR="0093304A" w:rsidRPr="0093304A">
        <w:rPr>
          <w:rFonts w:ascii="Times New Roman" w:hAnsi="Times New Roman" w:cs="Times New Roman"/>
          <w:bCs/>
          <w:sz w:val="24"/>
          <w:szCs w:val="24"/>
        </w:rPr>
        <w:t xml:space="preserve">with lark sparrow responding positively and </w:t>
      </w:r>
      <w:r w:rsidR="0093304A" w:rsidRPr="0093304A">
        <w:rPr>
          <w:rFonts w:ascii="Times New Roman" w:hAnsi="Times New Roman" w:cs="Times New Roman"/>
          <w:sz w:val="24"/>
          <w:szCs w:val="24"/>
        </w:rPr>
        <w:t>Leonard’s skipper</w:t>
      </w:r>
      <w:r w:rsidR="0093304A">
        <w:rPr>
          <w:rFonts w:ascii="Times New Roman" w:hAnsi="Times New Roman" w:cs="Times New Roman"/>
          <w:sz w:val="24"/>
          <w:szCs w:val="24"/>
        </w:rPr>
        <w:t xml:space="preserve"> responding negatively. Canopy cover also demonstrated contrasting effects on abundance, with northern barrens tiger beetles responding positively and lark sparrow responding negatively. These results highlight the importance of careful </w:t>
      </w:r>
      <w:r w:rsidR="00601B63">
        <w:rPr>
          <w:rFonts w:ascii="Times New Roman" w:hAnsi="Times New Roman" w:cs="Times New Roman"/>
          <w:sz w:val="24"/>
          <w:szCs w:val="24"/>
        </w:rPr>
        <w:t>planning when</w:t>
      </w:r>
      <w:r w:rsidR="0093304A">
        <w:rPr>
          <w:rFonts w:ascii="Times New Roman" w:hAnsi="Times New Roman" w:cs="Times New Roman"/>
          <w:sz w:val="24"/>
          <w:szCs w:val="24"/>
        </w:rPr>
        <w:t xml:space="preserve"> undertaking habitat restoration projects. </w:t>
      </w:r>
      <w:r>
        <w:rPr>
          <w:rFonts w:ascii="Times New Roman" w:hAnsi="Times New Roman" w:cs="Times New Roman"/>
          <w:sz w:val="24"/>
          <w:szCs w:val="24"/>
        </w:rPr>
        <w:t>Plans should consider the</w:t>
      </w:r>
      <w:r w:rsidR="0093304A">
        <w:rPr>
          <w:rFonts w:ascii="Times New Roman" w:hAnsi="Times New Roman" w:cs="Times New Roman"/>
          <w:sz w:val="24"/>
          <w:szCs w:val="24"/>
        </w:rPr>
        <w:t xml:space="preserve"> habitat needs of individual species as well as their </w:t>
      </w:r>
      <w:r w:rsidR="00601B63">
        <w:rPr>
          <w:rFonts w:ascii="Times New Roman" w:hAnsi="Times New Roman" w:cs="Times New Roman"/>
          <w:sz w:val="24"/>
          <w:szCs w:val="24"/>
        </w:rPr>
        <w:t>responses to active habitat management</w:t>
      </w:r>
      <w:r>
        <w:rPr>
          <w:rFonts w:ascii="Times New Roman" w:hAnsi="Times New Roman" w:cs="Times New Roman"/>
          <w:sz w:val="24"/>
          <w:szCs w:val="24"/>
        </w:rPr>
        <w:t xml:space="preserve"> to achieve balance between maintenance of local populations and restoration on a landscape scale</w:t>
      </w:r>
      <w:r w:rsidR="00601B63">
        <w:rPr>
          <w:rFonts w:ascii="Times New Roman" w:hAnsi="Times New Roman" w:cs="Times New Roman"/>
          <w:sz w:val="24"/>
          <w:szCs w:val="24"/>
        </w:rPr>
        <w:t xml:space="preserve">. </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w:t>
      </w:r>
      <w:r w:rsidRPr="00C966A8">
        <w:rPr>
          <w:rFonts w:ascii="Times New Roman" w:hAnsi="Times New Roman" w:cs="Times New Roman"/>
          <w:sz w:val="24"/>
          <w:szCs w:val="24"/>
        </w:rPr>
        <w:lastRenderedPageBreak/>
        <w:t xml:space="preserve">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w:t>
      </w:r>
      <w:r w:rsidR="0026311A" w:rsidRPr="00C53F60">
        <w:rPr>
          <w:rFonts w:ascii="Times New Roman" w:hAnsi="Times New Roman" w:cs="Times New Roman"/>
          <w:sz w:val="24"/>
          <w:szCs w:val="24"/>
          <w:highlight w:val="yellow"/>
        </w:rPr>
        <w:t xml:space="preserve">XX hectares </w:t>
      </w:r>
      <w:r w:rsidR="002B0E59" w:rsidRPr="00C53F60">
        <w:rPr>
          <w:rFonts w:ascii="Times New Roman" w:hAnsi="Times New Roman" w:cs="Times New Roman"/>
          <w:sz w:val="24"/>
          <w:szCs w:val="24"/>
          <w:highlight w:val="yellow"/>
        </w:rPr>
        <w:t>remain</w:t>
      </w:r>
      <w:r w:rsidR="00C53F60">
        <w:rPr>
          <w:rFonts w:ascii="Times New Roman" w:hAnsi="Times New Roman" w:cs="Times New Roman"/>
          <w:sz w:val="24"/>
          <w:szCs w:val="24"/>
          <w:highlight w:val="yellow"/>
        </w:rPr>
        <w:t>ed when the Minnesota Biological Survey mapped native habitat in the state between YYYY and YYYY</w:t>
      </w:r>
      <w:r w:rsidR="0026311A" w:rsidRPr="00C53F60">
        <w:rPr>
          <w:rFonts w:ascii="Times New Roman" w:hAnsi="Times New Roman" w:cs="Times New Roman"/>
          <w:sz w:val="24"/>
          <w:szCs w:val="24"/>
          <w:highlight w:val="yellow"/>
        </w:rPr>
        <w:t xml:space="preserve"> </w:t>
      </w:r>
      <w:r w:rsidR="002B0E59" w:rsidRPr="00C53F60">
        <w:rPr>
          <w:rFonts w:ascii="Times New Roman" w:hAnsi="Times New Roman" w:cs="Times New Roman"/>
          <w:sz w:val="24"/>
          <w:szCs w:val="24"/>
          <w:highlight w:val="yellow"/>
        </w:rPr>
        <w:t>(XX cite NHIS, MBS).</w:t>
      </w:r>
      <w:r w:rsidR="0026311A" w:rsidRPr="00C966A8">
        <w:rPr>
          <w:rFonts w:ascii="Times New Roman" w:hAnsi="Times New Roman" w:cs="Times New Roman"/>
          <w:sz w:val="24"/>
          <w:szCs w:val="24"/>
        </w:rPr>
        <w:t xml:space="preserve"> </w:t>
      </w:r>
      <w:r w:rsidR="00C53F60">
        <w:rPr>
          <w:rFonts w:ascii="Times New Roman" w:hAnsi="Times New Roman" w:cs="Times New Roman"/>
          <w:sz w:val="24"/>
          <w:szCs w:val="24"/>
        </w:rPr>
        <w:t xml:space="preserve">The loss has continued, with an estimated XX ha of oak savanna destroyed by </w:t>
      </w:r>
      <w:r w:rsidR="009A4862">
        <w:rPr>
          <w:rFonts w:ascii="Times New Roman" w:hAnsi="Times New Roman" w:cs="Times New Roman"/>
          <w:sz w:val="24"/>
          <w:szCs w:val="24"/>
        </w:rPr>
        <w:t>conversion to agriculture, urban expansion, and mining between YYYY and 2017.</w:t>
      </w:r>
    </w:p>
    <w:p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w:t>
      </w:r>
      <w:r w:rsidR="008C726B" w:rsidRPr="00C869CB">
        <w:rPr>
          <w:rFonts w:ascii="Times New Roman" w:hAnsi="Times New Roman" w:cs="Times New Roman"/>
          <w:sz w:val="24"/>
          <w:szCs w:val="24"/>
        </w:rPr>
        <w:lastRenderedPageBreak/>
        <w:t xml:space="preserve">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xml:space="preserve">) and </w:t>
      </w:r>
      <w:r w:rsidR="00152F05" w:rsidRPr="00C966A8">
        <w:rPr>
          <w:rFonts w:ascii="Times New Roman" w:hAnsi="Times New Roman" w:cs="Times New Roman"/>
          <w:bCs/>
          <w:sz w:val="24"/>
          <w:szCs w:val="24"/>
        </w:rPr>
        <w:lastRenderedPageBreak/>
        <w:t>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lastRenderedPageBreak/>
        <w:t>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 xml:space="preserve">th low to moderate </w:t>
      </w:r>
      <w:r w:rsidR="00B731B5" w:rsidRPr="00C966A8">
        <w:rPr>
          <w:rFonts w:ascii="Times New Roman" w:hAnsi="Times New Roman" w:cs="Times New Roman"/>
          <w:bCs/>
          <w:sz w:val="24"/>
          <w:szCs w:val="24"/>
        </w:rPr>
        <w:lastRenderedPageBreak/>
        <w:t>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w:t>
      </w:r>
      <w:r w:rsidR="0012118B" w:rsidRPr="00C966A8">
        <w:rPr>
          <w:rFonts w:ascii="Times New Roman" w:hAnsi="Times New Roman" w:cs="Times New Roman"/>
          <w:sz w:val="24"/>
          <w:szCs w:val="24"/>
        </w:rPr>
        <w:lastRenderedPageBreak/>
        <w:t>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 xml:space="preserve">were designed to undergo restoration beginning in 2014 and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lastRenderedPageBreak/>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w:t>
      </w:r>
      <w:r w:rsidR="00DE4235">
        <w:rPr>
          <w:rFonts w:ascii="Times New Roman" w:hAnsi="Times New Roman" w:cs="Times New Roman"/>
          <w:sz w:val="24"/>
          <w:szCs w:val="24"/>
        </w:rPr>
        <w:lastRenderedPageBreak/>
        <w:t>(adults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lastRenderedPageBreak/>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w:t>
      </w:r>
      <w:r w:rsidR="00A530B5">
        <w:rPr>
          <w:rFonts w:ascii="Times New Roman" w:hAnsi="Times New Roman" w:cs="Times New Roman"/>
          <w:sz w:val="24"/>
          <w:szCs w:val="24"/>
        </w:rPr>
        <w:lastRenderedPageBreak/>
        <w:t xml:space="preserve">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 xml:space="preserve">N-mixture models assume constant detection probability among individuals across all sites and survey occasions, unless the variation is explained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 also assumes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w:t>
      </w:r>
      <w:r w:rsidR="002B0D08">
        <w:rPr>
          <w:rFonts w:ascii="Times New Roman" w:hAnsi="Times New Roman" w:cs="Times New Roman"/>
          <w:sz w:val="24"/>
          <w:szCs w:val="24"/>
        </w:rPr>
        <w:t>these</w:t>
      </w:r>
      <w:r w:rsidR="007A0BD0">
        <w:rPr>
          <w:rFonts w:ascii="Times New Roman" w:hAnsi="Times New Roman" w:cs="Times New Roman"/>
          <w:sz w:val="24"/>
          <w:szCs w:val="24"/>
        </w:rPr>
        <w:t xml:space="preserve"> by using Bayesian </w:t>
      </w:r>
      <w:r w:rsidR="00646E38">
        <w:rPr>
          <w:rFonts w:ascii="Times New Roman" w:hAnsi="Times New Roman" w:cs="Times New Roman"/>
          <w:sz w:val="24"/>
          <w:szCs w:val="24"/>
        </w:rPr>
        <w:t xml:space="preserve">hierarchical </w:t>
      </w:r>
      <w:r w:rsidR="007A0BD0">
        <w:rPr>
          <w:rFonts w:ascii="Times New Roman" w:hAnsi="Times New Roman" w:cs="Times New Roman"/>
          <w:sz w:val="24"/>
          <w:szCs w:val="24"/>
        </w:rPr>
        <w:t xml:space="preserve">methodology to modify the original model structure. </w:t>
      </w:r>
      <w:r w:rsidR="000C48AE">
        <w:rPr>
          <w:rFonts w:ascii="Times New Roman" w:hAnsi="Times New Roman" w:cs="Times New Roman"/>
          <w:sz w:val="24"/>
          <w:szCs w:val="24"/>
        </w:rPr>
        <w:t xml:space="preserve">Further, although estimations of true population size are arguably at </w:t>
      </w:r>
      <w:r w:rsidR="000C48AE">
        <w:rPr>
          <w:rFonts w:ascii="Times New Roman" w:hAnsi="Times New Roman" w:cs="Times New Roman"/>
          <w:sz w:val="24"/>
          <w:szCs w:val="24"/>
        </w:rPr>
        <w:lastRenderedPageBreak/>
        <w:t>high risk of bias due to assumption violations</w:t>
      </w:r>
      <w:r w:rsidR="002B0D08">
        <w:rPr>
          <w:rFonts w:ascii="Times New Roman" w:hAnsi="Times New Roman" w:cs="Times New Roman"/>
          <w:sz w:val="24"/>
          <w:szCs w:val="24"/>
        </w:rPr>
        <w:t xml:space="preserve"> even with a more intricate modeling strategy</w:t>
      </w:r>
      <w:r w:rsidR="00037550">
        <w:rPr>
          <w:rFonts w:ascii="Times New Roman" w:hAnsi="Times New Roman" w:cs="Times New Roman"/>
          <w:sz w:val="24"/>
          <w:szCs w:val="24"/>
        </w:rPr>
        <w:t xml:space="preserve"> to account for them</w:t>
      </w:r>
      <w:r w:rsidR="000C48AE">
        <w:rPr>
          <w:rFonts w:ascii="Times New Roman" w:hAnsi="Times New Roman" w:cs="Times New Roman"/>
          <w:sz w:val="24"/>
          <w:szCs w:val="24"/>
        </w:rPr>
        <w:t xml:space="preserve">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xml:space="preserve">, this parameter was not a primary goal of our analysis, as we were focused solely on </w:t>
      </w:r>
      <w:r w:rsidR="002B0D08">
        <w:rPr>
          <w:rFonts w:ascii="Times New Roman" w:hAnsi="Times New Roman" w:cs="Times New Roman"/>
          <w:sz w:val="24"/>
          <w:szCs w:val="24"/>
        </w:rPr>
        <w:t>identifying</w:t>
      </w:r>
      <w:r w:rsidR="000C48AE">
        <w:rPr>
          <w:rFonts w:ascii="Times New Roman" w:hAnsi="Times New Roman" w:cs="Times New Roman"/>
          <w:sz w:val="24"/>
          <w:szCs w:val="24"/>
        </w:rPr>
        <w:t xml:space="preserv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865CE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865CEC"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865CEC"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865CEC"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865CEC"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865CEC"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865CEC"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865CEC"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9</w:t>
      </w:r>
      <w:r w:rsidR="00265D3B">
        <w:rPr>
          <w:rFonts w:ascii="Times New Roman" w:hAnsi="Times New Roman" w:cs="Times New Roman"/>
          <w:sz w:val="24"/>
          <w:szCs w:val="24"/>
        </w:rPr>
        <w:t xml:space="preserve">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r w:rsidR="006B09FA">
        <w:rPr>
          <w:rFonts w:ascii="Times New Roman" w:hAnsi="Times New Roman" w:cs="Times New Roman"/>
          <w:sz w:val="24"/>
        </w:rPr>
        <w:t>Giudice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 xml:space="preserve">e chose not to include covariate </w:t>
      </w:r>
      <w:r w:rsidR="003B6F3F" w:rsidRPr="006B09FA">
        <w:rPr>
          <w:rFonts w:ascii="Times New Roman" w:hAnsi="Times New Roman" w:cs="Times New Roman"/>
          <w:sz w:val="24"/>
          <w:szCs w:val="24"/>
        </w:rPr>
        <w:lastRenderedPageBreak/>
        <w:t>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865CE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865CEC"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865CE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865CEC"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865CE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865CE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865CEC"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865CE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865CEC"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865CEC"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865CE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865CEC"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5279A8" w:rsidP="005279A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W</w:t>
      </w:r>
      <w:r w:rsidR="00011824">
        <w:rPr>
          <w:rFonts w:ascii="Times New Roman" w:hAnsi="Times New Roman" w:cs="Times New Roman"/>
          <w:sz w:val="24"/>
          <w:szCs w:val="24"/>
        </w:rPr>
        <w:t xml:space="preserve">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r w:rsidR="00011824" w:rsidRPr="00C966A8">
        <w:rPr>
          <w:rFonts w:ascii="Times New Roman" w:hAnsi="Times New Roman" w:cs="Times New Roman"/>
          <w:bCs/>
          <w:sz w:val="24"/>
          <w:szCs w:val="24"/>
        </w:rPr>
        <w:t>The Leonard’s skipper seems to favor areas of mesic prairie that have open sand or other bare grou</w:t>
      </w:r>
      <w:r w:rsidR="00011824">
        <w:rPr>
          <w:rFonts w:ascii="Times New Roman" w:hAnsi="Times New Roman" w:cs="Times New Roman"/>
          <w:bCs/>
          <w:sz w:val="24"/>
          <w:szCs w:val="24"/>
        </w:rPr>
        <w:t xml:space="preserve">nd between </w:t>
      </w:r>
      <w:r w:rsidR="00011824">
        <w:rPr>
          <w:rFonts w:ascii="Times New Roman" w:hAnsi="Times New Roman" w:cs="Times New Roman"/>
          <w:bCs/>
          <w:sz w:val="24"/>
          <w:szCs w:val="24"/>
        </w:rPr>
        <w:lastRenderedPageBreak/>
        <w:t xml:space="preserve">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although d</w:t>
      </w:r>
      <w:r w:rsidR="00011824" w:rsidRPr="00C966A8">
        <w:rPr>
          <w:rFonts w:ascii="Times New Roman" w:hAnsi="Times New Roman" w:cs="Times New Roman"/>
          <w:bCs/>
          <w:sz w:val="24"/>
          <w:szCs w:val="24"/>
        </w:rPr>
        <w:t xml:space="preserve">efinitive information is not </w:t>
      </w:r>
      <w:r w:rsidR="00011824">
        <w:rPr>
          <w:rFonts w:ascii="Times New Roman" w:hAnsi="Times New Roman" w:cs="Times New Roman"/>
          <w:bCs/>
          <w:sz w:val="24"/>
          <w:szCs w:val="24"/>
        </w:rPr>
        <w:t>available,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they</w:t>
      </w:r>
      <w:r w:rsidR="00011824" w:rsidRPr="00C966A8">
        <w:rPr>
          <w:rFonts w:ascii="Times New Roman" w:hAnsi="Times New Roman" w:cs="Times New Roman"/>
          <w:bCs/>
          <w:sz w:val="24"/>
          <w:szCs w:val="24"/>
        </w:rPr>
        <w:t xml:space="preserve"> 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Robert Dana, pers. communication)</w:t>
      </w:r>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wind speed</w:t>
      </w:r>
      <w:r w:rsidR="00011824">
        <w:rPr>
          <w:rFonts w:ascii="Times New Roman" w:hAnsi="Times New Roman" w:cs="Times New Roman"/>
          <w:bCs/>
          <w:sz w:val="24"/>
          <w:szCs w:val="24"/>
        </w:rPr>
        <w:t xml:space="preserve">. Northern barrens tiger beetles are chase and ambush predators known 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011824">
        <w:rPr>
          <w:rFonts w:ascii="Times New Roman" w:hAnsi="Times New Roman" w:cs="Times New Roman"/>
          <w:bCs/>
          <w:sz w:val="24"/>
          <w:szCs w:val="24"/>
        </w:rPr>
        <w:t xml:space="preserve"> (Christopher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lastRenderedPageBreak/>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 and the mean abundance in plots where skippers were encountered was 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990" w:type="dxa"/>
            <w:tcBorders>
              <w:top w:val="single" w:sz="4" w:space="0" w:color="auto"/>
              <w:left w:val="nil"/>
              <w:bottom w:val="nil"/>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CB399F" w:rsidRPr="00AB4ADE" w:rsidTr="00BE00CE">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990" w:type="dxa"/>
            <w:tcBorders>
              <w:top w:val="nil"/>
              <w:left w:val="nil"/>
              <w:bottom w:val="single" w:sz="4" w:space="0" w:color="auto"/>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990" w:type="dxa"/>
            <w:tcBorders>
              <w:top w:val="single" w:sz="4" w:space="0" w:color="auto"/>
              <w:left w:val="nil"/>
              <w:bottom w:val="nil"/>
              <w:right w:val="nil"/>
            </w:tcBorders>
            <w:shd w:val="clear" w:color="auto" w:fill="auto"/>
            <w:noWrap/>
            <w:vAlign w:val="center"/>
            <w:hideMark/>
          </w:tcPr>
          <w:p w:rsidR="00EB0DBF"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427302" w:rsidRPr="00270F49" w:rsidRDefault="00EB0DBF" w:rsidP="00DC78C3">
            <w:pPr>
              <w:spacing w:after="0" w:line="240" w:lineRule="auto"/>
              <w:jc w:val="center"/>
              <w:rPr>
                <w:rFonts w:ascii="Times New Roman" w:eastAsia="Times New Roman" w:hAnsi="Times New Roman" w:cs="Times New Roman"/>
                <w:b/>
                <w:color w:val="000000"/>
                <w:sz w:val="18"/>
                <w:szCs w:val="18"/>
              </w:rPr>
            </w:pPr>
            <w:r w:rsidRPr="00270F49">
              <w:rPr>
                <w:rFonts w:ascii="Times New Roman" w:eastAsia="Times New Roman" w:hAnsi="Times New Roman" w:cs="Times New Roman"/>
                <w:b/>
                <w:color w:val="000000"/>
                <w:sz w:val="18"/>
                <w:szCs w:val="18"/>
              </w:rPr>
              <w:t>2.50</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270F49" w:rsidRDefault="00270F49" w:rsidP="00DC78C3">
            <w:pPr>
              <w:spacing w:after="0" w:line="240" w:lineRule="auto"/>
              <w:jc w:val="center"/>
              <w:rPr>
                <w:rFonts w:ascii="Times New Roman" w:eastAsia="Times New Roman" w:hAnsi="Times New Roman" w:cs="Times New Roman"/>
                <w:b/>
                <w:sz w:val="20"/>
                <w:szCs w:val="20"/>
              </w:rPr>
            </w:pPr>
            <w:r w:rsidRPr="00270F49">
              <w:rPr>
                <w:rFonts w:ascii="Times New Roman" w:eastAsia="Times New Roman" w:hAnsi="Times New Roman" w:cs="Times New Roman"/>
                <w:b/>
                <w:sz w:val="20"/>
                <w:szCs w:val="20"/>
              </w:rPr>
              <w:t>(0.38,4.82</w:t>
            </w:r>
            <w:r w:rsidR="00427302" w:rsidRPr="00270F49">
              <w:rPr>
                <w:rFonts w:ascii="Times New Roman" w:eastAsia="Times New Roman" w:hAnsi="Times New Roman" w:cs="Times New Roman"/>
                <w:b/>
                <w:sz w:val="20"/>
                <w:szCs w:val="20"/>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990" w:type="dxa"/>
            <w:tcBorders>
              <w:top w:val="nil"/>
              <w:left w:val="nil"/>
              <w:bottom w:val="nil"/>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5D6D68"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026"/>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w:t>
      </w:r>
      <w:r w:rsidR="006622E9">
        <w:rPr>
          <w:rFonts w:ascii="Times New Roman" w:hAnsi="Times New Roman" w:cs="Times New Roman"/>
          <w:sz w:val="20"/>
          <w:szCs w:val="20"/>
        </w:rPr>
        <w:t xml:space="preserve"> 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w:t>
      </w:r>
      <w:r>
        <w:rPr>
          <w:rFonts w:ascii="Times New Roman" w:hAnsi="Times New Roman" w:cs="Times New Roman"/>
          <w:sz w:val="24"/>
          <w:szCs w:val="24"/>
        </w:rPr>
        <w:lastRenderedPageBreak/>
        <w:t xml:space="preserve">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w:t>
      </w:r>
      <w:r w:rsidRPr="00A96F49">
        <w:rPr>
          <w:rFonts w:ascii="Times New Roman" w:hAnsi="Times New Roman" w:cs="Times New Roman"/>
          <w:bCs/>
          <w:sz w:val="24"/>
          <w:szCs w:val="24"/>
        </w:rPr>
        <w:lastRenderedPageBreak/>
        <w:t>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w:t>
      </w:r>
      <w:r w:rsidRPr="00A96F49">
        <w:rPr>
          <w:rFonts w:ascii="Times New Roman" w:hAnsi="Times New Roman" w:cs="Times New Roman"/>
          <w:bCs/>
          <w:sz w:val="24"/>
          <w:szCs w:val="24"/>
        </w:rPr>
        <w:lastRenderedPageBreak/>
        <w:t>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77A9"/>
    <w:rsid w:val="0010471C"/>
    <w:rsid w:val="00105193"/>
    <w:rsid w:val="001101ED"/>
    <w:rsid w:val="00110BEE"/>
    <w:rsid w:val="0011393B"/>
    <w:rsid w:val="00114996"/>
    <w:rsid w:val="0012118B"/>
    <w:rsid w:val="00126CCC"/>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4F14"/>
    <w:rsid w:val="001C7DE6"/>
    <w:rsid w:val="001C7F74"/>
    <w:rsid w:val="001D094C"/>
    <w:rsid w:val="001D4B03"/>
    <w:rsid w:val="001E2531"/>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4B68"/>
    <w:rsid w:val="006F61B2"/>
    <w:rsid w:val="00710195"/>
    <w:rsid w:val="007115B6"/>
    <w:rsid w:val="00712023"/>
    <w:rsid w:val="00713EEE"/>
    <w:rsid w:val="0071688F"/>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258E"/>
    <w:rsid w:val="00863148"/>
    <w:rsid w:val="0086513E"/>
    <w:rsid w:val="00865CEC"/>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4724"/>
    <w:rsid w:val="00AC6350"/>
    <w:rsid w:val="00AC68A5"/>
    <w:rsid w:val="00AC6AF4"/>
    <w:rsid w:val="00AC7BFD"/>
    <w:rsid w:val="00AC7FDA"/>
    <w:rsid w:val="00AD082B"/>
    <w:rsid w:val="00AD1AAC"/>
    <w:rsid w:val="00AE2805"/>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1482"/>
    <w:rsid w:val="00C4264B"/>
    <w:rsid w:val="00C44519"/>
    <w:rsid w:val="00C46183"/>
    <w:rsid w:val="00C46D6D"/>
    <w:rsid w:val="00C51C22"/>
    <w:rsid w:val="00C53F60"/>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4394</TotalTime>
  <Pages>38</Pages>
  <Words>18573</Words>
  <Characters>105867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303</cp:revision>
  <dcterms:created xsi:type="dcterms:W3CDTF">2018-10-07T19:17:00Z</dcterms:created>
  <dcterms:modified xsi:type="dcterms:W3CDTF">2018-11-05T23:58:00Z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