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w:t>
      </w:r>
      <w:r w:rsidR="009315EF">
        <w:rPr>
          <w:rFonts w:ascii="Times New Roman" w:hAnsi="Times New Roman" w:cs="Times New Roman"/>
          <w:bCs/>
          <w:sz w:val="24"/>
          <w:szCs w:val="24"/>
        </w:rPr>
        <w:lastRenderedPageBreak/>
        <w:t xml:space="preserve">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w:t>
      </w:r>
      <w:bookmarkStart w:id="0" w:name="_GoBack"/>
      <w:bookmarkEnd w:id="0"/>
      <w:r w:rsidR="00025100">
        <w:rPr>
          <w:rFonts w:ascii="Times New Roman" w:hAnsi="Times New Roman" w:cs="Times New Roman"/>
          <w:bCs/>
          <w:sz w:val="24"/>
          <w:szCs w:val="24"/>
        </w:rPr>
        <w:t>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separating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lastRenderedPageBreak/>
        <w:t>oak woodland and</w:t>
      </w:r>
      <w:r w:rsidRPr="00C966A8">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50238D">
        <w:rPr>
          <w:rFonts w:ascii="Times New Roman" w:hAnsi="Times New Roman" w:cs="Times New Roman"/>
          <w:sz w:val="24"/>
        </w:rPr>
        <w:t>MBS</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(XX Proper term??)</w:t>
      </w:r>
      <w:r w:rsidR="00E804FA">
        <w:rPr>
          <w:rFonts w:ascii="Times New Roman" w:hAnsi="Times New Roman" w:cs="Times New Roman"/>
          <w:sz w:val="24"/>
          <w:szCs w:val="24"/>
        </w:rPr>
        <w:t xml:space="preserve"> (</w:t>
      </w:r>
      <w:proofErr w:type="spellStart"/>
      <w:r w:rsidR="00E804FA">
        <w:rPr>
          <w:rFonts w:ascii="Times New Roman" w:hAnsi="Times New Roman" w:cs="Times New Roman"/>
          <w:sz w:val="24"/>
          <w:szCs w:val="24"/>
        </w:rPr>
        <w:t>Wovcha</w:t>
      </w:r>
      <w:proofErr w:type="spellEnd"/>
      <w:r w:rsidR="00E804FA">
        <w:rPr>
          <w:rFonts w:ascii="Times New Roman" w:hAnsi="Times New Roman" w:cs="Times New Roman"/>
          <w:sz w:val="24"/>
          <w:szCs w:val="24"/>
        </w:rPr>
        <w:t xml:space="preserve">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E268FF" w:rsidP="003F792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At the time of the</w:t>
      </w:r>
      <w:r>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 of the A</w:t>
      </w:r>
      <w:r>
        <w:rPr>
          <w:rFonts w:ascii="Times New Roman" w:hAnsi="Times New Roman" w:cs="Times New Roman"/>
          <w:sz w:val="24"/>
          <w:szCs w:val="24"/>
        </w:rPr>
        <w:t>noka Sand Plain</w:t>
      </w:r>
      <w:r w:rsidRPr="00C966A8">
        <w:rPr>
          <w:rFonts w:ascii="Times New Roman" w:hAnsi="Times New Roman" w:cs="Times New Roman"/>
          <w:sz w:val="24"/>
          <w:szCs w:val="24"/>
        </w:rPr>
        <w:t xml:space="preserve"> was</w:t>
      </w:r>
      <w:r>
        <w:rPr>
          <w:rFonts w:ascii="Times New Roman" w:hAnsi="Times New Roman" w:cs="Times New Roman"/>
          <w:sz w:val="24"/>
          <w:szCs w:val="24"/>
        </w:rPr>
        <w:t xml:space="preserve"> oak woodland and </w:t>
      </w:r>
      <w:proofErr w:type="spellStart"/>
      <w:r>
        <w:rPr>
          <w:rFonts w:ascii="Times New Roman" w:hAnsi="Times New Roman" w:cs="Times New Roman"/>
          <w:sz w:val="24"/>
          <w:szCs w:val="24"/>
        </w:rPr>
        <w:t>brushland</w:t>
      </w:r>
      <w:proofErr w:type="spellEnd"/>
      <w:r>
        <w:rPr>
          <w:rFonts w:ascii="Times New Roman" w:hAnsi="Times New Roman" w:cs="Times New Roman"/>
          <w:sz w:val="24"/>
          <w:szCs w:val="24"/>
        </w:rPr>
        <w:t xml:space="preserve"> interspersed with</w:t>
      </w:r>
      <w:r w:rsidRPr="00C966A8">
        <w:rPr>
          <w:rFonts w:ascii="Times New Roman" w:hAnsi="Times New Roman" w:cs="Times New Roman"/>
          <w:sz w:val="24"/>
          <w:szCs w:val="24"/>
        </w:rPr>
        <w:t xml:space="preserve"> oak savanna</w:t>
      </w:r>
      <w:r>
        <w:rPr>
          <w:rFonts w:ascii="Times New Roman" w:hAnsi="Times New Roman" w:cs="Times New Roman"/>
          <w:sz w:val="24"/>
          <w:szCs w:val="24"/>
        </w:rPr>
        <w:t>,</w:t>
      </w:r>
      <w:r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Pr>
          <w:rFonts w:ascii="Times New Roman" w:hAnsi="Times New Roman" w:cs="Times New Roman"/>
          <w:sz w:val="24"/>
          <w:szCs w:val="24"/>
        </w:rPr>
        <w:t xml:space="preserve"> wetland complexes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Pr>
          <w:rFonts w:ascii="Times New Roman" w:hAnsi="Times New Roman" w:cs="Times New Roman"/>
          <w:sz w:val="24"/>
          <w:szCs w:val="24"/>
        </w:rPr>
        <w:fldChar w:fldCharType="separate"/>
      </w:r>
      <w:r w:rsidRPr="00377011">
        <w:rPr>
          <w:rFonts w:ascii="Times New Roman" w:hAnsi="Times New Roman" w:cs="Times New Roman"/>
          <w:sz w:val="24"/>
        </w:rPr>
        <w:t>(</w:t>
      </w:r>
      <w:proofErr w:type="spellStart"/>
      <w:r w:rsidRPr="00377011">
        <w:rPr>
          <w:rFonts w:ascii="Times New Roman" w:hAnsi="Times New Roman" w:cs="Times New Roman"/>
          <w:sz w:val="24"/>
        </w:rPr>
        <w:t>Marschner</w:t>
      </w:r>
      <w:proofErr w:type="spellEnd"/>
      <w:r w:rsidRPr="00377011">
        <w:rPr>
          <w:rFonts w:ascii="Times New Roman" w:hAnsi="Times New Roman" w:cs="Times New Roman"/>
          <w:sz w:val="24"/>
        </w:rPr>
        <w:t xml:space="preserve"> 1974</w:t>
      </w:r>
      <w:r>
        <w:rPr>
          <w:rFonts w:ascii="Times New Roman" w:hAnsi="Times New Roman" w:cs="Times New Roman"/>
          <w:sz w:val="24"/>
        </w:rPr>
        <w:t>, Wovcha et al. 1995, MN DNR 2006</w:t>
      </w:r>
      <w:r w:rsidRPr="00377011">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E68BF">
        <w:rPr>
          <w:rFonts w:ascii="Times New Roman" w:hAnsi="Times New Roman" w:cs="Times New Roman"/>
          <w:sz w:val="24"/>
          <w:szCs w:val="24"/>
        </w:rPr>
        <w:t xml:space="preserve">The area 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16373A">
        <w:rPr>
          <w:rFonts w:ascii="Times New Roman" w:hAnsi="Times New Roman" w:cs="Times New Roman"/>
          <w:sz w:val="24"/>
          <w:szCs w:val="24"/>
        </w:rPr>
        <w:t>oak</w:t>
      </w:r>
      <w:r w:rsidR="00683719">
        <w:rPr>
          <w:rFonts w:ascii="Times New Roman" w:hAnsi="Times New Roman" w:cs="Times New Roman"/>
          <w:sz w:val="24"/>
          <w:szCs w:val="24"/>
        </w:rPr>
        <w:t xml:space="preserve"> s</w:t>
      </w:r>
      <w:r w:rsidR="00ED04D5">
        <w:rPr>
          <w:rFonts w:ascii="Times New Roman" w:hAnsi="Times New Roman" w:cs="Times New Roman"/>
          <w:sz w:val="24"/>
          <w:szCs w:val="24"/>
        </w:rPr>
        <w:t>avannas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B7329B">
        <w:rPr>
          <w:rFonts w:ascii="Times New Roman" w:hAnsi="Times New Roman" w:cs="Times New Roman"/>
          <w:sz w:val="24"/>
          <w:szCs w:val="24"/>
        </w:rPr>
        <w:t>Mesic savanna is</w:t>
      </w:r>
      <w:r w:rsidR="00AC36C5">
        <w:rPr>
          <w:rFonts w:ascii="Times New Roman" w:hAnsi="Times New Roman" w:cs="Times New Roman"/>
          <w:sz w:val="24"/>
          <w:szCs w:val="24"/>
        </w:rPr>
        <w:t xml:space="preserve"> 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(XX</w:t>
      </w:r>
      <w:r w:rsidR="00EF1600">
        <w:rPr>
          <w:rFonts w:ascii="Times New Roman" w:hAnsi="Times New Roman" w:cs="Times New Roman"/>
          <w:sz w:val="24"/>
          <w:szCs w:val="24"/>
        </w:rPr>
        <w:t xml:space="preserve"> add native plant comm. book</w:t>
      </w:r>
      <w:r w:rsidR="00353FE1">
        <w:rPr>
          <w:rFonts w:ascii="Times New Roman" w:hAnsi="Times New Roman" w:cs="Times New Roman"/>
          <w:sz w:val="24"/>
          <w:szCs w:val="24"/>
        </w:rPr>
        <w:t xml:space="preserve">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w:t>
      </w:r>
      <w:r w:rsidR="009135F3">
        <w:rPr>
          <w:rFonts w:ascii="Times New Roman" w:hAnsi="Times New Roman" w:cs="Times New Roman"/>
          <w:sz w:val="24"/>
          <w:szCs w:val="24"/>
        </w:rPr>
        <w:t>remaining</w:t>
      </w:r>
      <w:r w:rsidR="009135F3">
        <w:rPr>
          <w:rFonts w:ascii="Times New Roman" w:hAnsi="Times New Roman" w:cs="Times New Roman"/>
          <w:sz w:val="24"/>
          <w:szCs w:val="24"/>
        </w:rPr>
        <w:t xml:space="preserve">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probably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 woodland</w:t>
      </w:r>
      <w:r w:rsidR="002F39EB">
        <w:rPr>
          <w:rFonts w:ascii="Times New Roman" w:hAnsi="Times New Roman" w:cs="Times New Roman"/>
          <w:sz w:val="24"/>
          <w:szCs w:val="24"/>
        </w:rPr>
        <w:t xml:space="preserve"> (XX </w:t>
      </w:r>
      <w:proofErr w:type="spellStart"/>
      <w:r w:rsidR="002F39EB">
        <w:rPr>
          <w:rFonts w:ascii="Times New Roman" w:hAnsi="Times New Roman" w:cs="Times New Roman"/>
          <w:sz w:val="24"/>
          <w:szCs w:val="24"/>
        </w:rPr>
        <w:t>Wovcha</w:t>
      </w:r>
      <w:proofErr w:type="spellEnd"/>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anthropocentric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documented</w:t>
      </w:r>
      <w:r w:rsidR="009135F3">
        <w:rPr>
          <w:rFonts w:ascii="Times New Roman" w:hAnsi="Times New Roman" w:cs="Times New Roman"/>
          <w:sz w:val="24"/>
          <w:szCs w:val="24"/>
        </w:rPr>
        <w:t xml:space="preserve">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C1004C">
        <w:rPr>
          <w:rFonts w:ascii="Times New Roman" w:hAnsi="Times New Roman" w:cs="Times New Roman"/>
          <w:sz w:val="24"/>
          <w:szCs w:val="24"/>
        </w:rPr>
        <w:t xml:space="preserve">(XX Better transition)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00A859CC"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00A859CC"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00A859CC"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w:t>
      </w:r>
      <w:r w:rsidRPr="00C966A8">
        <w:rPr>
          <w:rFonts w:ascii="Times New Roman" w:hAnsi="Times New Roman" w:cs="Times New Roman"/>
          <w:bCs/>
          <w:sz w:val="24"/>
          <w:szCs w:val="24"/>
        </w:rPr>
        <w:lastRenderedPageBreak/>
        <w:t>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 xml:space="preserve">According to the MN DNR rare species guide, grassland </w:t>
      </w:r>
      <w:r w:rsidRPr="00C966A8">
        <w:rPr>
          <w:rFonts w:ascii="Times New Roman" w:hAnsi="Times New Roman" w:cs="Times New Roman"/>
          <w:bCs/>
          <w:sz w:val="24"/>
          <w:szCs w:val="24"/>
        </w:rPr>
        <w:lastRenderedPageBreak/>
        <w:t>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lastRenderedPageBreak/>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041E9"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w:t>
      </w:r>
      <w:r>
        <w:rPr>
          <w:rFonts w:ascii="Times New Roman" w:hAnsi="Times New Roman" w:cs="Times New Roman"/>
          <w:bCs/>
          <w:sz w:val="24"/>
          <w:szCs w:val="24"/>
        </w:rPr>
        <w:lastRenderedPageBreak/>
        <w:t xml:space="preserve">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w:t>
      </w:r>
      <w:r w:rsidRPr="00C966A8">
        <w:rPr>
          <w:rFonts w:ascii="Times New Roman" w:hAnsi="Times New Roman" w:cs="Times New Roman"/>
          <w:bCs/>
          <w:sz w:val="24"/>
          <w:szCs w:val="24"/>
        </w:rPr>
        <w:lastRenderedPageBreak/>
        <w:t xml:space="preserve">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 xml:space="preserve">population </w:t>
      </w:r>
      <w:r w:rsidR="007C275C">
        <w:rPr>
          <w:rFonts w:ascii="Times New Roman" w:hAnsi="Times New Roman" w:cs="Times New Roman"/>
          <w:sz w:val="24"/>
          <w:szCs w:val="24"/>
        </w:rPr>
        <w:lastRenderedPageBreak/>
        <w:t>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EE68BF"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EE68BF"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EE68BF"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EE68BF"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EE68BF"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EE68BF"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EE68BF"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w:t>
      </w:r>
      <w:r w:rsidR="00413315">
        <w:rPr>
          <w:rFonts w:ascii="Times New Roman" w:eastAsiaTheme="minorEastAsia" w:hAnsi="Times New Roman" w:cs="Times New Roman"/>
          <w:sz w:val="24"/>
          <w:szCs w:val="24"/>
        </w:rPr>
        <w:lastRenderedPageBreak/>
        <w:t xml:space="preserve">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EE68BF"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As a result, our final models are not directly predictive and cannot be used to extrapolate actual species abundance or occupancy.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Poisson distributions to determine which baseline model provided the best fit for our data, where “best” was determined based on minimum values of the </w:t>
      </w:r>
      <w:r w:rsidR="00320962">
        <w:rPr>
          <w:rFonts w:ascii="Times New Roman" w:hAnsi="Times New Roman" w:cs="Times New Roman"/>
          <w:sz w:val="24"/>
          <w:szCs w:val="24"/>
        </w:rPr>
        <w:lastRenderedPageBreak/>
        <w:t>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EE68BF"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EE68BF"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EE68BF"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EE68BF"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EE68BF"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EE68BF"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E68BF"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EE68BF"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E68BF"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E68BF"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E68BF"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E68BF"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lastRenderedPageBreak/>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St. Paul, MN</w:t>
      </w:r>
      <w:r>
        <w:rPr>
          <w:rFonts w:ascii="Times New Roman" w:hAnsi="Times New Roman" w:cs="Times New Roman"/>
          <w:sz w:val="24"/>
          <w:szCs w:val="24"/>
        </w:rPr>
        <w:t xml:space="preserve">.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03E"/>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EAC"/>
    <w:rsid w:val="002F0A0D"/>
    <w:rsid w:val="002F39EB"/>
    <w:rsid w:val="00306D62"/>
    <w:rsid w:val="00310202"/>
    <w:rsid w:val="003132E0"/>
    <w:rsid w:val="00320962"/>
    <w:rsid w:val="00321590"/>
    <w:rsid w:val="00323408"/>
    <w:rsid w:val="00325B77"/>
    <w:rsid w:val="003338DA"/>
    <w:rsid w:val="003419C2"/>
    <w:rsid w:val="00346324"/>
    <w:rsid w:val="003533FD"/>
    <w:rsid w:val="00353FE1"/>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808"/>
    <w:rsid w:val="00550C2F"/>
    <w:rsid w:val="00555DFE"/>
    <w:rsid w:val="0055650C"/>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491E"/>
    <w:rsid w:val="008C726B"/>
    <w:rsid w:val="008D05FA"/>
    <w:rsid w:val="008D0EBA"/>
    <w:rsid w:val="008E0A7F"/>
    <w:rsid w:val="008E1426"/>
    <w:rsid w:val="008E2389"/>
    <w:rsid w:val="008E2660"/>
    <w:rsid w:val="008F17C5"/>
    <w:rsid w:val="008F7AD8"/>
    <w:rsid w:val="0090105A"/>
    <w:rsid w:val="009073BD"/>
    <w:rsid w:val="00913006"/>
    <w:rsid w:val="0091303F"/>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242D"/>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87F"/>
    <w:rsid w:val="00E75EE6"/>
    <w:rsid w:val="00E804FA"/>
    <w:rsid w:val="00E81529"/>
    <w:rsid w:val="00E81F23"/>
    <w:rsid w:val="00E82CA1"/>
    <w:rsid w:val="00E91166"/>
    <w:rsid w:val="00E91485"/>
    <w:rsid w:val="00E91A70"/>
    <w:rsid w:val="00E91C77"/>
    <w:rsid w:val="00E92564"/>
    <w:rsid w:val="00E950DA"/>
    <w:rsid w:val="00E9570F"/>
    <w:rsid w:val="00E95767"/>
    <w:rsid w:val="00E96B99"/>
    <w:rsid w:val="00EA2A5B"/>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03D1F-A52A-41D4-AB18-BA5A6436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39</Pages>
  <Words>17997</Words>
  <Characters>102587</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406</cp:revision>
  <dcterms:created xsi:type="dcterms:W3CDTF">2018-10-07T19:17:00Z</dcterms:created>
  <dcterms:modified xsi:type="dcterms:W3CDTF">2019-02-17T03:53:00Z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