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422190">
        <w:rPr>
          <w:rFonts w:ascii="Times New Roman" w:hAnsi="Times New Roman" w:cs="Times New Roman"/>
          <w:sz w:val="24"/>
          <w:szCs w:val="24"/>
        </w:rPr>
        <w:t>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proofErr w:type="spellStart"/>
      <w:r w:rsidR="00422190" w:rsidRPr="00C44519">
        <w:rPr>
          <w:rFonts w:ascii="Times New Roman" w:hAnsi="Times New Roman" w:cs="Times New Roman"/>
          <w:sz w:val="24"/>
          <w:szCs w:val="24"/>
        </w:rPr>
        <w:t>XX</w:t>
      </w:r>
      <w:r w:rsidRPr="00C44519">
        <w:rPr>
          <w:rFonts w:ascii="Times New Roman" w:hAnsi="Times New Roman" w:cs="Times New Roman"/>
          <w:sz w:val="24"/>
          <w:szCs w:val="24"/>
        </w:rPr>
        <w:t>Marshner</w:t>
      </w:r>
      <w:proofErr w:type="spellEnd"/>
      <w:r w:rsidRPr="00C44519">
        <w:rPr>
          <w:rFonts w:ascii="Times New Roman" w:hAnsi="Times New Roman" w:cs="Times New Roman"/>
          <w:sz w:val="24"/>
          <w:szCs w:val="24"/>
        </w:rPr>
        <w:t xml:space="preserve">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422190">
        <w:rPr>
          <w:rFonts w:ascii="Times New Roman" w:hAnsi="Times New Roman" w:cs="Times New Roman"/>
          <w:sz w:val="24"/>
          <w:szCs w:val="24"/>
        </w:rPr>
        <w:t>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422190">
        <w:rPr>
          <w:rFonts w:ascii="Times New Roman" w:hAnsi="Times New Roman" w:cs="Times New Roman"/>
          <w:sz w:val="24"/>
          <w:szCs w:val="24"/>
        </w:rPr>
        <w:t>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w:t>
      </w:r>
      <w:r w:rsidR="00697B24" w:rsidRPr="00C966A8">
        <w:rPr>
          <w:rFonts w:ascii="Times New Roman" w:hAnsi="Times New Roman" w:cs="Times New Roman"/>
          <w:sz w:val="24"/>
          <w:szCs w:val="24"/>
        </w:rPr>
        <w:lastRenderedPageBreak/>
        <w:t xml:space="preserve">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permanently manage for rare plant and animal species and the unique habitats on which they 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proofErr w:type="spellStart"/>
      <w:r w:rsidR="00422190" w:rsidRPr="008D05FA">
        <w:rPr>
          <w:rFonts w:ascii="Times New Roman" w:hAnsi="Times New Roman" w:cs="Times New Roman"/>
          <w:bCs/>
          <w:sz w:val="24"/>
          <w:szCs w:val="24"/>
        </w:rPr>
        <w:t>XX</w:t>
      </w:r>
      <w:r w:rsidR="00152F05" w:rsidRPr="008D05FA">
        <w:rPr>
          <w:rFonts w:ascii="Times New Roman" w:hAnsi="Times New Roman" w:cs="Times New Roman"/>
          <w:bCs/>
          <w:sz w:val="24"/>
          <w:szCs w:val="24"/>
        </w:rPr>
        <w:t>appendix</w:t>
      </w:r>
      <w:proofErr w:type="spellEnd"/>
      <w:r w:rsidR="00152F05" w:rsidRPr="008D05FA">
        <w:rPr>
          <w:rFonts w:ascii="Times New Roman" w:hAnsi="Times New Roman" w:cs="Times New Roman"/>
          <w:bCs/>
          <w:sz w:val="24"/>
          <w:szCs w:val="24"/>
        </w:rPr>
        <w:t xml:space="preserve">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proofErr w:type="spellStart"/>
      <w:r w:rsidR="00422190" w:rsidRPr="008D05FA">
        <w:rPr>
          <w:rFonts w:ascii="Times New Roman" w:hAnsi="Times New Roman" w:cs="Times New Roman"/>
          <w:bCs/>
          <w:sz w:val="24"/>
          <w:szCs w:val="24"/>
        </w:rPr>
        <w:t>XX</w:t>
      </w:r>
      <w:r w:rsidR="00A859CC" w:rsidRPr="008D05FA">
        <w:rPr>
          <w:rFonts w:ascii="Times New Roman" w:hAnsi="Times New Roman" w:cs="Times New Roman"/>
          <w:bCs/>
          <w:sz w:val="24"/>
          <w:szCs w:val="24"/>
        </w:rPr>
        <w:t>Harper</w:t>
      </w:r>
      <w:proofErr w:type="spellEnd"/>
      <w:r w:rsidR="00A859CC" w:rsidRPr="008D05FA">
        <w:rPr>
          <w:rFonts w:ascii="Times New Roman" w:hAnsi="Times New Roman" w:cs="Times New Roman"/>
          <w:bCs/>
          <w:sz w:val="24"/>
          <w:szCs w:val="24"/>
        </w:rPr>
        <w:t xml:space="preserve">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 xml:space="preserve">arrens tiger </w:t>
      </w:r>
      <w:bookmarkStart w:id="0" w:name="_GoBack"/>
      <w:r w:rsidR="00E82CA1" w:rsidRPr="00C966A8">
        <w:rPr>
          <w:rFonts w:ascii="Times New Roman" w:hAnsi="Times New Roman" w:cs="Times New Roman"/>
          <w:bCs/>
          <w:sz w:val="24"/>
          <w:szCs w:val="24"/>
        </w:rPr>
        <w:t>b</w:t>
      </w:r>
      <w:r w:rsidR="00D73177">
        <w:rPr>
          <w:rFonts w:ascii="Times New Roman" w:hAnsi="Times New Roman" w:cs="Times New Roman"/>
          <w:bCs/>
          <w:sz w:val="24"/>
          <w:szCs w:val="24"/>
        </w:rPr>
        <w:t>eetle</w:t>
      </w:r>
      <w:bookmarkEnd w:id="0"/>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422190">
        <w:rPr>
          <w:rFonts w:ascii="Times New Roman" w:hAnsi="Times New Roman" w:cs="Times New Roman"/>
          <w:bCs/>
          <w:sz w:val="24"/>
          <w:szCs w:val="24"/>
        </w:rPr>
        <w:t>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24%</w:t>
      </w:r>
      <w:r w:rsidRPr="00C966A8">
        <w:rPr>
          <w:rFonts w:ascii="Times New Roman" w:hAnsi="Times New Roman" w:cs="Times New Roman"/>
          <w:bCs/>
          <w:sz w:val="24"/>
          <w:szCs w:val="24"/>
        </w:rPr>
        <w:t xml:space="preserve"> (</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lastRenderedPageBreak/>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 xml:space="preserv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422190">
        <w:rPr>
          <w:rFonts w:ascii="Times New Roman" w:hAnsi="Times New Roman" w:cs="Times New Roman"/>
          <w:bCs/>
          <w:sz w:val="24"/>
          <w:szCs w:val="24"/>
        </w:rPr>
        <w:t>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proofErr w:type="gram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w:t>
      </w:r>
      <w:proofErr w:type="spellEnd"/>
      <w:proofErr w:type="gram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w:t>
      </w:r>
      <w:r w:rsidR="00422190">
        <w:rPr>
          <w:rFonts w:ascii="Times New Roman" w:hAnsi="Times New Roman" w:cs="Times New Roman"/>
          <w:bCs/>
          <w:sz w:val="24"/>
          <w:szCs w:val="24"/>
        </w:rPr>
        <w:t>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422190">
        <w:rPr>
          <w:rFonts w:ascii="Times New Roman" w:hAnsi="Times New Roman" w:cs="Times New Roman"/>
          <w:bCs/>
          <w:sz w:val="24"/>
          <w:szCs w:val="24"/>
        </w:rPr>
        <w:t>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422190">
        <w:rPr>
          <w:rFonts w:ascii="Times New Roman" w:hAnsi="Times New Roman" w:cs="Times New Roman"/>
          <w:bCs/>
          <w:sz w:val="24"/>
          <w:szCs w:val="24"/>
        </w:rPr>
        <w:t>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422190">
        <w:rPr>
          <w:rFonts w:ascii="Times New Roman" w:hAnsi="Times New Roman" w:cs="Times New Roman"/>
          <w:bCs/>
          <w:sz w:val="24"/>
          <w:szCs w:val="24"/>
        </w:rPr>
        <w:t>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422190">
        <w:rPr>
          <w:rFonts w:ascii="Times New Roman" w:hAnsi="Times New Roman" w:cs="Times New Roman"/>
          <w:bCs/>
          <w:sz w:val="24"/>
          <w:szCs w:val="24"/>
        </w:rPr>
        <w:t>XX</w:t>
      </w:r>
      <w:r w:rsidR="00B731B5" w:rsidRPr="00C966A8">
        <w:rPr>
          <w:rFonts w:ascii="Times New Roman" w:hAnsi="Times New Roman" w:cs="Times New Roman"/>
          <w:bCs/>
          <w:sz w:val="24"/>
          <w:szCs w:val="24"/>
        </w:rPr>
        <w:t>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foraging. They re-emerge in spring, mate, lay eggs, and die off as summer progresses. This </w:t>
      </w:r>
      <w:r w:rsidRPr="00C966A8">
        <w:rPr>
          <w:rFonts w:ascii="Times New Roman" w:hAnsi="Times New Roman" w:cs="Times New Roman"/>
          <w:bCs/>
          <w:sz w:val="24"/>
          <w:szCs w:val="24"/>
        </w:rPr>
        <w:lastRenderedPageBreak/>
        <w:t xml:space="preserve">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geologically and ecologically significant features, as well as diverse native plant communities </w:t>
      </w:r>
      <w:r w:rsidRPr="00C966A8">
        <w:rPr>
          <w:rFonts w:ascii="Times New Roman" w:hAnsi="Times New Roman" w:cs="Times New Roman"/>
          <w:sz w:val="24"/>
          <w:szCs w:val="24"/>
        </w:rPr>
        <w:lastRenderedPageBreak/>
        <w:t>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w:t>
      </w:r>
      <w:r w:rsidR="001504C7" w:rsidRPr="00C966A8">
        <w:rPr>
          <w:rFonts w:ascii="Times New Roman" w:hAnsi="Times New Roman" w:cs="Times New Roman"/>
          <w:sz w:val="24"/>
          <w:szCs w:val="24"/>
        </w:rPr>
        <w:lastRenderedPageBreak/>
        <w:t xml:space="preserve">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citation needed? </w:t>
      </w:r>
      <w:proofErr w:type="spellStart"/>
      <w:r w:rsidR="008D05FA">
        <w:rPr>
          <w:rFonts w:ascii="Times New Roman" w:hAnsi="Times New Roman" w:cs="Times New Roman"/>
          <w:sz w:val="24"/>
          <w:szCs w:val="24"/>
        </w:rPr>
        <w:t>Royle</w:t>
      </w:r>
      <w:proofErr w:type="spellEnd"/>
      <w:r w:rsidR="008D05FA">
        <w:rPr>
          <w:rFonts w:ascii="Times New Roman" w:hAnsi="Times New Roman" w:cs="Times New Roman"/>
          <w:sz w:val="24"/>
          <w:szCs w:val="24"/>
        </w:rPr>
        <w:t>,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oMath>
      <w:r w:rsidR="00F74C7F">
        <w:rPr>
          <w:rFonts w:ascii="Times New Roman" w:hAnsi="Times New Roman" w:cs="Times New Roman"/>
          <w:sz w:val="24"/>
          <w:szCs w:val="24"/>
        </w:rPr>
        <w:t xml:space="preserve">), </w:t>
      </w:r>
      <w:r w:rsidR="00F03388">
        <w:rPr>
          <w:rFonts w:ascii="Times New Roman" w:hAnsi="Times New Roman" w:cs="Times New Roman"/>
          <w:sz w:val="24"/>
          <w:szCs w:val="24"/>
        </w:rPr>
        <w:t>abundance at subsequent time periods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oMath>
      <w:r w:rsidR="00F03388">
        <w:rPr>
          <w:rFonts w:ascii="Times New Roman" w:hAnsi="Times New Roman" w:cs="Times New Roman"/>
          <w:sz w:val="24"/>
          <w:szCs w:val="24"/>
        </w:rPr>
        <w:t xml:space="preserve">), and the detection process </w:t>
      </w:r>
      <w:r w:rsidR="004F08FD" w:rsidRPr="00E269C1">
        <w:rPr>
          <w:rFonts w:ascii="Times New Roman" w:eastAsiaTheme="minorEastAsia" w:hAnsi="Times New Roman" w:cs="Times New Roman"/>
          <w:sz w:val="24"/>
          <w:szCs w:val="24"/>
        </w:rPr>
        <w:t>(</w:t>
      </w:r>
      <w:r w:rsidR="004F08FD" w:rsidRPr="00E269C1">
        <w:rPr>
          <w:rFonts w:ascii="Times New Roman" w:eastAsiaTheme="minorEastAsia" w:hAnsi="Times New Roman" w:cs="Times New Roman"/>
          <w:i/>
          <w:sz w:val="24"/>
          <w:szCs w:val="24"/>
        </w:rPr>
        <w:t>p</w:t>
      </w:r>
      <w:r w:rsidR="004F08FD" w:rsidRPr="00E269C1">
        <w:rPr>
          <w:rFonts w:ascii="Times New Roman" w:eastAsiaTheme="minorEastAsia" w:hAnsi="Times New Roman" w:cs="Times New Roman"/>
          <w:i/>
          <w:sz w:val="24"/>
          <w:szCs w:val="24"/>
          <w:vertAlign w:val="subscript"/>
        </w:rPr>
        <w:t>h</w:t>
      </w:r>
      <w:proofErr w:type="gramStart"/>
      <w:r w:rsidR="004F08FD" w:rsidRPr="00E269C1">
        <w:rPr>
          <w:rFonts w:ascii="Times New Roman" w:eastAsiaTheme="minorEastAsia" w:hAnsi="Times New Roman" w:cs="Times New Roman"/>
          <w:i/>
          <w:sz w:val="24"/>
          <w:szCs w:val="24"/>
          <w:vertAlign w:val="subscript"/>
        </w:rPr>
        <w:t>,i,t</w:t>
      </w:r>
      <w:proofErr w:type="gramEnd"/>
      <w:r w:rsidR="004F08FD">
        <w:rPr>
          <w:rFonts w:ascii="Times New Roman" w:eastAsiaTheme="minorEastAsia" w:hAnsi="Times New Roman" w:cs="Times New Roman"/>
          <w:sz w:val="24"/>
          <w:szCs w:val="24"/>
        </w:rPr>
        <w:t>)</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 xml:space="preserve">factors that are </w:t>
      </w:r>
      <w:r w:rsidR="00FF4C9A">
        <w:rPr>
          <w:rFonts w:ascii="Times New Roman" w:hAnsi="Times New Roman" w:cs="Times New Roman"/>
          <w:sz w:val="24"/>
          <w:szCs w:val="24"/>
        </w:rPr>
        <w:lastRenderedPageBreak/>
        <w:t>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(unless explained by state variables) (XX confirm and rewrite assumptions).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CA67A6"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w:t>
      </w:r>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CA67A6"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 xml:space="preserve">pending approach described by </w:t>
      </w:r>
      <w:proofErr w:type="spellStart"/>
      <w:r w:rsidR="008D05FA">
        <w:rPr>
          <w:rFonts w:ascii="Times New Roman" w:hAnsi="Times New Roman" w:cs="Times New Roman"/>
          <w:sz w:val="24"/>
          <w:szCs w:val="24"/>
        </w:rPr>
        <w:t>Giu</w:t>
      </w:r>
      <w:r w:rsidR="003B6F3F">
        <w:rPr>
          <w:rFonts w:ascii="Times New Roman" w:hAnsi="Times New Roman" w:cs="Times New Roman"/>
          <w:sz w:val="24"/>
          <w:szCs w:val="24"/>
        </w:rPr>
        <w:t>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CA67A6"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CA67A6"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CA67A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CA67A6"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CA67A6"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CA67A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CA67A6"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CA67A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CA67A6"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CA67A6"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CA67A6"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CA67A6"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xml:space="preserve">). The Bayesian model-based approach was implemented using jagsUI (CITE XX) in Program R. We </w:t>
      </w:r>
      <w:r>
        <w:rPr>
          <w:rFonts w:ascii="Times New Roman" w:hAnsi="Times New Roman" w:cs="Times New Roman"/>
          <w:sz w:val="24"/>
          <w:szCs w:val="24"/>
        </w:rPr>
        <w:lastRenderedPageBreak/>
        <w:t>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B76BAA">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990"/>
        <w:gridCol w:w="666"/>
        <w:gridCol w:w="945"/>
        <w:gridCol w:w="1269"/>
        <w:gridCol w:w="672"/>
      </w:tblGrid>
      <w:tr w:rsidR="00B76BAA" w:rsidRPr="00AC7BFD" w:rsidTr="00266C7F">
        <w:tc>
          <w:tcPr>
            <w:tcW w:w="1260" w:type="dxa"/>
            <w:tcBorders>
              <w:top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266C7F">
        <w:tc>
          <w:tcPr>
            <w:tcW w:w="1260"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666"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1269"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672"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rsidTr="00266C7F">
        <w:tc>
          <w:tcPr>
            <w:tcW w:w="1260" w:type="dxa"/>
            <w:tcBorders>
              <w:top w:val="single" w:sz="4" w:space="0" w:color="auto"/>
            </w:tcBorders>
          </w:tcPr>
          <w:p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666" w:type="dxa"/>
            <w:tcBorders>
              <w:top w:val="single" w:sz="4" w:space="0" w:color="auto"/>
            </w:tcBorders>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45"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990" w:type="dxa"/>
          </w:tcPr>
          <w:p w:rsidR="00B76BAA" w:rsidRPr="00D92C51" w:rsidRDefault="00C80CE5"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-2.00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D92C51" w:rsidRDefault="00874E54"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-1.48</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90"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990"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45"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266C7F">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990"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66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266C7F">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990"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66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266C7F">
        <w:tc>
          <w:tcPr>
            <w:tcW w:w="1260" w:type="dxa"/>
            <w:tcBorders>
              <w:bottom w:val="single" w:sz="4" w:space="0" w:color="auto"/>
            </w:tcBorders>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990"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666"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1504C7">
      <w:pPr>
        <w:autoSpaceDE w:val="0"/>
        <w:autoSpaceDN w:val="0"/>
        <w:spacing w:line="360" w:lineRule="auto"/>
        <w:rPr>
          <w:rFonts w:ascii="Times New Roman" w:hAnsi="Times New Roman" w:cs="Times New Roman"/>
          <w:sz w:val="24"/>
          <w:szCs w:val="24"/>
        </w:rPr>
      </w:pPr>
    </w:p>
    <w:p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Leonard’s skipper</w:t>
      </w:r>
      <w:r w:rsidR="00B6130E">
        <w:rPr>
          <w:rFonts w:ascii="Times New Roman" w:hAnsi="Times New Roman" w:cs="Times New Roman"/>
          <w:sz w:val="20"/>
          <w:szCs w:val="20"/>
        </w:rPr>
        <w:t xml:space="preserve"> occupancy models </w:t>
      </w:r>
      <w:r w:rsidR="00B6130E" w:rsidRPr="00B25E21">
        <w:rPr>
          <w:rFonts w:ascii="Times New Roman" w:hAnsi="Times New Roman" w:cs="Times New Roman"/>
          <w:sz w:val="20"/>
          <w:szCs w:val="20"/>
        </w:rPr>
        <w:t xml:space="preserve">ranked by </w:t>
      </w:r>
      <w:proofErr w:type="spellStart"/>
      <w:r w:rsidR="00B6130E" w:rsidRPr="004078FC">
        <w:rPr>
          <w:rFonts w:ascii="Times New Roman" w:hAnsi="Times New Roman" w:cs="Times New Roman"/>
          <w:sz w:val="20"/>
          <w:szCs w:val="20"/>
        </w:rPr>
        <w:t>Akaike</w:t>
      </w:r>
      <w:proofErr w:type="spellEnd"/>
      <w:r w:rsidR="00B6130E" w:rsidRPr="004078FC">
        <w:rPr>
          <w:rFonts w:ascii="Times New Roman" w:hAnsi="Times New Roman" w:cs="Times New Roman"/>
          <w:sz w:val="20"/>
          <w:szCs w:val="20"/>
        </w:rPr>
        <w:t xml:space="preserv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990"/>
        <w:gridCol w:w="756"/>
        <w:gridCol w:w="945"/>
        <w:gridCol w:w="945"/>
        <w:gridCol w:w="996"/>
      </w:tblGrid>
      <w:tr w:rsidR="0044386F" w:rsidRPr="00AC7BFD" w:rsidTr="00D56991">
        <w:tc>
          <w:tcPr>
            <w:tcW w:w="1260" w:type="dxa"/>
            <w:tcBorders>
              <w:top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D56991">
        <w:tc>
          <w:tcPr>
            <w:tcW w:w="126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990"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756"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epsilon</w:t>
            </w:r>
          </w:p>
        </w:tc>
        <w:tc>
          <w:tcPr>
            <w:tcW w:w="945"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rsidTr="00D56991">
        <w:tc>
          <w:tcPr>
            <w:tcW w:w="1260" w:type="dxa"/>
            <w:tcBorders>
              <w:top w:val="single" w:sz="4" w:space="0" w:color="auto"/>
            </w:tcBorders>
          </w:tcPr>
          <w:p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-2.25,-0.99</w:t>
            </w:r>
            <w:r w:rsidRPr="00647720">
              <w:rPr>
                <w:rFonts w:ascii="Times New Roman" w:hAnsi="Times New Roman" w:cs="Times New Roman"/>
                <w:sz w:val="18"/>
                <w:szCs w:val="18"/>
              </w:rPr>
              <w:t>)</w:t>
            </w:r>
          </w:p>
        </w:tc>
        <w:tc>
          <w:tcPr>
            <w:tcW w:w="90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0.16,1.34</w:t>
            </w:r>
            <w:r w:rsidRPr="00647720">
              <w:rPr>
                <w:rFonts w:ascii="Times New Roman" w:hAnsi="Times New Roman" w:cs="Times New Roman"/>
                <w:sz w:val="18"/>
                <w:szCs w:val="18"/>
              </w:rPr>
              <w:t>)</w:t>
            </w:r>
          </w:p>
        </w:tc>
        <w:tc>
          <w:tcPr>
            <w:tcW w:w="990" w:type="dxa"/>
            <w:tcBorders>
              <w:top w:val="single" w:sz="4" w:space="0" w:color="auto"/>
            </w:tcBorders>
          </w:tcPr>
          <w:p w:rsidR="0044386F" w:rsidRPr="00647720"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-1.45,-0.60</w:t>
            </w:r>
            <w:r w:rsidRPr="00647720">
              <w:rPr>
                <w:rFonts w:ascii="Times New Roman" w:hAnsi="Times New Roman" w:cs="Times New Roman"/>
                <w:sz w:val="18"/>
                <w:szCs w:val="18"/>
              </w:rPr>
              <w:t>)</w:t>
            </w:r>
          </w:p>
        </w:tc>
        <w:tc>
          <w:tcPr>
            <w:tcW w:w="756" w:type="dxa"/>
            <w:tcBorders>
              <w:top w:val="single" w:sz="4" w:space="0" w:color="auto"/>
            </w:tcBorders>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647720"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FA2944">
              <w:rPr>
                <w:rFonts w:ascii="Times New Roman" w:hAnsi="Times New Roman" w:cs="Times New Roman"/>
                <w:sz w:val="18"/>
                <w:szCs w:val="18"/>
              </w:rPr>
              <w:t>-2.03,-0.90</w:t>
            </w:r>
            <w:r w:rsidRPr="00647720">
              <w:rPr>
                <w:rFonts w:ascii="Times New Roman" w:hAnsi="Times New Roman" w:cs="Times New Roman"/>
                <w:sz w:val="18"/>
                <w:szCs w:val="18"/>
              </w:rPr>
              <w:t>)</w:t>
            </w:r>
          </w:p>
        </w:tc>
        <w:tc>
          <w:tcPr>
            <w:tcW w:w="900"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FA2944">
              <w:rPr>
                <w:rFonts w:ascii="Times New Roman" w:hAnsi="Times New Roman" w:cs="Times New Roman"/>
                <w:sz w:val="18"/>
                <w:szCs w:val="18"/>
              </w:rPr>
              <w:t>-1.42,-0.60</w:t>
            </w:r>
            <w:r w:rsidRPr="00647720">
              <w:rPr>
                <w:rFonts w:ascii="Times New Roman" w:hAnsi="Times New Roman" w:cs="Times New Roman"/>
                <w:sz w:val="18"/>
                <w:szCs w:val="18"/>
              </w:rPr>
              <w:t>)</w:t>
            </w:r>
          </w:p>
        </w:tc>
        <w:tc>
          <w:tcPr>
            <w:tcW w:w="756"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-1.51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-2.10,-0.92</w:t>
            </w:r>
            <w:r w:rsidRPr="00647720">
              <w:rPr>
                <w:rFonts w:ascii="Times New Roman" w:hAnsi="Times New Roman" w:cs="Times New Roman"/>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-1.43,-0.60</w:t>
            </w:r>
            <w:r w:rsidRPr="00647720">
              <w:rPr>
                <w:rFonts w:ascii="Times New Roman" w:hAnsi="Times New Roman" w:cs="Times New Roman"/>
                <w:sz w:val="18"/>
                <w:szCs w:val="18"/>
              </w:rPr>
              <w:t>)</w:t>
            </w:r>
          </w:p>
        </w:tc>
        <w:tc>
          <w:tcPr>
            <w:tcW w:w="756"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lastRenderedPageBreak/>
              <w:t>Litter</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-2.03,-0.90</w:t>
            </w:r>
            <w:r w:rsidRPr="00647720">
              <w:rPr>
                <w:rFonts w:ascii="Times New Roman" w:hAnsi="Times New Roman" w:cs="Times New Roman"/>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-1.43,-0.60</w:t>
            </w:r>
            <w:r w:rsidRPr="00647720">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D56991">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-2.03,-0.90</w:t>
            </w:r>
            <w:r>
              <w:rPr>
                <w:rFonts w:ascii="Times New Roman" w:hAnsi="Times New Roman" w:cs="Times New Roman"/>
                <w:sz w:val="18"/>
                <w:szCs w:val="18"/>
              </w:rPr>
              <w:t>)</w:t>
            </w:r>
          </w:p>
        </w:tc>
        <w:tc>
          <w:tcPr>
            <w:tcW w:w="90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99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-1.42,-0.60</w:t>
            </w:r>
            <w:r>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D56991">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-2.03,0.90</w:t>
            </w:r>
            <w:r>
              <w:rPr>
                <w:rFonts w:ascii="Times New Roman" w:hAnsi="Times New Roman" w:cs="Times New Roman"/>
                <w:sz w:val="18"/>
                <w:szCs w:val="18"/>
              </w:rPr>
              <w:t>)</w:t>
            </w:r>
          </w:p>
        </w:tc>
        <w:tc>
          <w:tcPr>
            <w:tcW w:w="90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99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-1.43,-0.60</w:t>
            </w:r>
            <w:r>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D56991">
        <w:tc>
          <w:tcPr>
            <w:tcW w:w="1260" w:type="dxa"/>
            <w:tcBorders>
              <w:bottom w:val="single" w:sz="4" w:space="0" w:color="auto"/>
            </w:tcBorders>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-1.50</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-2.24,-0.75</w:t>
            </w:r>
            <w:r>
              <w:rPr>
                <w:rFonts w:ascii="Times New Roman" w:hAnsi="Times New Roman" w:cs="Times New Roman"/>
                <w:sz w:val="18"/>
                <w:szCs w:val="18"/>
              </w:rPr>
              <w:t>)</w:t>
            </w:r>
          </w:p>
        </w:tc>
        <w:tc>
          <w:tcPr>
            <w:tcW w:w="90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99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-1.42,-0.60</w:t>
            </w:r>
            <w:r>
              <w:rPr>
                <w:rFonts w:ascii="Times New Roman" w:hAnsi="Times New Roman" w:cs="Times New Roman"/>
                <w:sz w:val="18"/>
                <w:szCs w:val="18"/>
              </w:rPr>
              <w:t>)</w:t>
            </w:r>
          </w:p>
        </w:tc>
        <w:tc>
          <w:tcPr>
            <w:tcW w:w="756" w:type="dxa"/>
            <w:tcBorders>
              <w:bottom w:val="single" w:sz="4" w:space="0" w:color="auto"/>
            </w:tcBorders>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Borders>
              <w:bottom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1504C7">
      <w:pPr>
        <w:autoSpaceDE w:val="0"/>
        <w:autoSpaceDN w:val="0"/>
        <w:spacing w:line="360" w:lineRule="auto"/>
        <w:rPr>
          <w:rFonts w:ascii="Times New Roman" w:hAnsi="Times New Roman" w:cs="Times New Roman"/>
          <w:sz w:val="24"/>
          <w:szCs w:val="24"/>
        </w:rPr>
      </w:pPr>
    </w:p>
    <w:p w:rsidR="00AC7BFD" w:rsidRDefault="00AC7BFD" w:rsidP="001504C7">
      <w:pPr>
        <w:autoSpaceDE w:val="0"/>
        <w:autoSpaceDN w:val="0"/>
        <w:spacing w:line="360" w:lineRule="auto"/>
        <w:rPr>
          <w:rFonts w:ascii="Times New Roman" w:hAnsi="Times New Roman" w:cs="Times New Roman"/>
          <w:sz w:val="24"/>
          <w:szCs w:val="24"/>
        </w:rPr>
      </w:pPr>
    </w:p>
    <w:p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D543B0">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005" w:type="dxa"/>
            <w:tcBorders>
              <w:bottom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005" w:type="dxa"/>
            <w:tcBorders>
              <w:top w:val="single" w:sz="4" w:space="0" w:color="auto"/>
            </w:tcBorders>
          </w:tcPr>
          <w:p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Borders>
              <w:top w:val="single" w:sz="4" w:space="0" w:color="auto"/>
            </w:tcBorders>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D543B0">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00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D543B0">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Pr>
          <w:p w:rsidR="00AC7BFD" w:rsidRPr="00AC7BFD" w:rsidRDefault="00D543B0" w:rsidP="00D543B0">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D543B0">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00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Borders>
              <w:bottom w:val="single" w:sz="4" w:space="0" w:color="auto"/>
            </w:tcBorders>
          </w:tcPr>
          <w:p w:rsidR="00AC7BFD" w:rsidRPr="00AC7BFD" w:rsidRDefault="00D543B0" w:rsidP="00D543B0">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1504C7">
      <w:pPr>
        <w:autoSpaceDE w:val="0"/>
        <w:autoSpaceDN w:val="0"/>
        <w:spacing w:line="360" w:lineRule="auto"/>
        <w:rPr>
          <w:rFonts w:ascii="Times New Roman" w:hAnsi="Times New Roman" w:cs="Times New Roman"/>
          <w:sz w:val="24"/>
          <w:szCs w:val="24"/>
        </w:rPr>
      </w:pPr>
    </w:p>
    <w:p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proofErr w:type="spellStart"/>
      <w:r w:rsidR="00F41278" w:rsidRPr="004078FC">
        <w:rPr>
          <w:rFonts w:ascii="Times New Roman" w:hAnsi="Times New Roman" w:cs="Times New Roman"/>
          <w:sz w:val="20"/>
          <w:szCs w:val="20"/>
        </w:rPr>
        <w:t>Akaike</w:t>
      </w:r>
      <w:proofErr w:type="spellEnd"/>
      <w:r w:rsidR="00F41278" w:rsidRPr="004078FC">
        <w:rPr>
          <w:rFonts w:ascii="Times New Roman" w:hAnsi="Times New Roman" w:cs="Times New Roman"/>
          <w:sz w:val="20"/>
          <w:szCs w:val="20"/>
        </w:rPr>
        <w:t xml:space="preserve"> </w:t>
      </w:r>
      <w:r w:rsidR="00F41278">
        <w:rPr>
          <w:rFonts w:ascii="Times New Roman" w:hAnsi="Times New Roman" w:cs="Times New Roman"/>
          <w:sz w:val="20"/>
          <w:szCs w:val="20"/>
        </w:rPr>
        <w:t>information criterion</w:t>
      </w:r>
      <w:r w:rsidR="00F41278">
        <w:rPr>
          <w:rFonts w:ascii="Times New Roman" w:hAnsi="Times New Roman" w:cs="Times New Roman"/>
          <w:sz w:val="20"/>
          <w:szCs w:val="20"/>
        </w:rPr>
        <w:t xml:space="preserve">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951"/>
        <w:gridCol w:w="885"/>
        <w:gridCol w:w="945"/>
        <w:gridCol w:w="945"/>
        <w:gridCol w:w="996"/>
      </w:tblGrid>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EB18B3">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951"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epsilon</w:t>
            </w:r>
          </w:p>
        </w:tc>
        <w:tc>
          <w:tcPr>
            <w:tcW w:w="94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r>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951" w:type="dxa"/>
            <w:tcBorders>
              <w:top w:val="single" w:sz="4" w:space="0" w:color="auto"/>
            </w:tcBorders>
          </w:tcPr>
          <w:p w:rsidR="003661F5" w:rsidRPr="00647720" w:rsidRDefault="00275F4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885" w:type="dxa"/>
            <w:tcBorders>
              <w:top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EB18B3">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951" w:type="dxa"/>
          </w:tcPr>
          <w:p w:rsidR="003661F5" w:rsidRPr="00647720" w:rsidRDefault="000871D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88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EB18B3">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51"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88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EB18B3">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951"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885" w:type="dxa"/>
            <w:tcBorders>
              <w:bottom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1504C7">
      <w:pPr>
        <w:autoSpaceDE w:val="0"/>
        <w:autoSpaceDN w:val="0"/>
        <w:spacing w:line="360" w:lineRule="auto"/>
        <w:rPr>
          <w:rFonts w:ascii="Times New Roman" w:hAnsi="Times New Roman" w:cs="Times New Roman"/>
          <w:sz w:val="24"/>
          <w:szCs w:val="24"/>
        </w:rPr>
      </w:pP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1B2A38" w:rsidRDefault="001B2A38" w:rsidP="001504C7">
      <w:pPr>
        <w:autoSpaceDE w:val="0"/>
        <w:autoSpaceDN w:val="0"/>
        <w:spacing w:line="360" w:lineRule="auto"/>
        <w:rPr>
          <w:rFonts w:ascii="Times New Roman" w:hAnsi="Times New Roman" w:cs="Times New Roman"/>
          <w:sz w:val="20"/>
          <w:szCs w:val="20"/>
        </w:rPr>
      </w:pPr>
    </w:p>
    <w:p w:rsidR="001B2A38" w:rsidRDefault="001B2A38" w:rsidP="001504C7">
      <w:pPr>
        <w:autoSpaceDE w:val="0"/>
        <w:autoSpaceDN w:val="0"/>
        <w:spacing w:line="360" w:lineRule="auto"/>
        <w:rPr>
          <w:rFonts w:ascii="Times New Roman" w:hAnsi="Times New Roman" w:cs="Times New Roman"/>
          <w:sz w:val="20"/>
          <w:szCs w:val="20"/>
        </w:rPr>
      </w:pPr>
    </w:p>
    <w:p w:rsidR="00647720" w:rsidRPr="00B76BAA" w:rsidRDefault="00647720" w:rsidP="00647720">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Pr="00B25E21">
        <w:rPr>
          <w:rFonts w:ascii="Times New Roman" w:hAnsi="Times New Roman" w:cs="Times New Roman"/>
          <w:sz w:val="20"/>
          <w:szCs w:val="20"/>
        </w:rPr>
        <w:t xml:space="preserve">XX. </w:t>
      </w:r>
      <w:r>
        <w:rPr>
          <w:rFonts w:ascii="Times New Roman" w:hAnsi="Times New Roman" w:cs="Times New Roman"/>
          <w:sz w:val="20"/>
          <w:szCs w:val="20"/>
        </w:rPr>
        <w:t>Blank table</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647720" w:rsidRPr="00AC7BFD" w:rsidTr="00CA67A6">
        <w:tc>
          <w:tcPr>
            <w:tcW w:w="1176" w:type="dxa"/>
            <w:tcBorders>
              <w:top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647720" w:rsidRPr="00AC7BFD" w:rsidTr="00CA67A6">
        <w:tc>
          <w:tcPr>
            <w:tcW w:w="117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00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r>
      <w:tr w:rsidR="00647720" w:rsidRPr="00AC7BFD" w:rsidTr="00CA67A6">
        <w:tc>
          <w:tcPr>
            <w:tcW w:w="1176" w:type="dxa"/>
            <w:tcBorders>
              <w:top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Borders>
              <w:top w:val="single" w:sz="4" w:space="0" w:color="auto"/>
            </w:tcBorders>
          </w:tcPr>
          <w:p w:rsid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Borders>
              <w:bottom w:val="single" w:sz="4" w:space="0" w:color="auto"/>
            </w:tcBorders>
          </w:tcPr>
          <w:p w:rsid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bl>
    <w:p w:rsidR="00647720" w:rsidRPr="008B2F37" w:rsidRDefault="00647720" w:rsidP="001504C7">
      <w:pPr>
        <w:autoSpaceDE w:val="0"/>
        <w:autoSpaceDN w:val="0"/>
        <w:spacing w:line="360" w:lineRule="auto"/>
        <w:rPr>
          <w:rFonts w:ascii="Times New Roman" w:hAnsi="Times New Roman" w:cs="Times New Roman"/>
          <w:sz w:val="20"/>
          <w:szCs w:val="20"/>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w:t>
      </w:r>
      <w:r w:rsidR="00265982" w:rsidRPr="00C966A8">
        <w:rPr>
          <w:rFonts w:ascii="Times New Roman" w:hAnsi="Times New Roman" w:cs="Times New Roman"/>
          <w:bCs/>
          <w:sz w:val="24"/>
          <w:szCs w:val="24"/>
        </w:rPr>
        <w:lastRenderedPageBreak/>
        <w:t>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our target invertebrate species (Dana,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w:t>
      </w:r>
      <w:r w:rsidRPr="00A96F49">
        <w:rPr>
          <w:rFonts w:ascii="Times New Roman" w:hAnsi="Times New Roman" w:cs="Times New Roman"/>
          <w:bCs/>
          <w:sz w:val="24"/>
          <w:szCs w:val="24"/>
        </w:rPr>
        <w:lastRenderedPageBreak/>
        <w:t xml:space="preserve">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Pr="00A96F49">
        <w:rPr>
          <w:rFonts w:ascii="Times New Roman" w:hAnsi="Times New Roman" w:cs="Times New Roman"/>
          <w:bCs/>
          <w:sz w:val="24"/>
          <w:szCs w:val="24"/>
        </w:rPr>
        <w:t>Moranz</w:t>
      </w:r>
      <w:proofErr w:type="spellEnd"/>
      <w:r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Pr="00A96F49">
        <w:rPr>
          <w:rFonts w:ascii="Times New Roman" w:hAnsi="Times New Roman" w:cs="Times New Roman"/>
          <w:bCs/>
          <w:sz w:val="24"/>
          <w:szCs w:val="24"/>
        </w:rPr>
        <w:lastRenderedPageBreak/>
        <w:t xml:space="preserve">restoration activities may need to be conducted at relatively small scales in order to provide </w:t>
      </w:r>
      <w:proofErr w:type="spellStart"/>
      <w:r w:rsidRPr="00A96F49">
        <w:rPr>
          <w:rFonts w:ascii="Times New Roman" w:hAnsi="Times New Roman" w:cs="Times New Roman"/>
          <w:bCs/>
          <w:sz w:val="24"/>
          <w:szCs w:val="24"/>
        </w:rPr>
        <w:t>refugium</w:t>
      </w:r>
      <w:proofErr w:type="spellEnd"/>
      <w:r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Pr="00A96F49">
        <w:rPr>
          <w:rFonts w:ascii="Times New Roman" w:hAnsi="Times New Roman" w:cs="Times New Roman"/>
          <w:bCs/>
          <w:sz w:val="24"/>
          <w:szCs w:val="24"/>
        </w:rPr>
        <w:t>Guillera-Arroita</w:t>
      </w:r>
      <w:proofErr w:type="spellEnd"/>
      <w:r w:rsidRPr="00A96F49">
        <w:rPr>
          <w:rFonts w:ascii="Times New Roman" w:hAnsi="Times New Roman" w:cs="Times New Roman"/>
          <w:bCs/>
          <w:sz w:val="24"/>
          <w:szCs w:val="24"/>
        </w:rPr>
        <w:t xml:space="preserve">, </w:t>
      </w:r>
      <w:proofErr w:type="spellStart"/>
      <w:r w:rsidRPr="00A96F49">
        <w:rPr>
          <w:rFonts w:ascii="Times New Roman" w:hAnsi="Times New Roman" w:cs="Times New Roman"/>
          <w:bCs/>
          <w:sz w:val="24"/>
          <w:szCs w:val="24"/>
        </w:rPr>
        <w:t>Ridout</w:t>
      </w:r>
      <w:proofErr w:type="spellEnd"/>
      <w:r w:rsidRPr="00A96F49">
        <w:rPr>
          <w:rFonts w:ascii="Times New Roman" w:hAnsi="Times New Roman" w:cs="Times New Roman"/>
          <w:bCs/>
          <w:sz w:val="24"/>
          <w:szCs w:val="24"/>
        </w:rPr>
        <w:t xml:space="preserve">, &amp; Morgan, 2010; Mackenzie &amp;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w:t>
      </w:r>
      <w:r w:rsidR="00F002BB">
        <w:rPr>
          <w:rFonts w:ascii="Times New Roman" w:hAnsi="Times New Roman" w:cs="Times New Roman"/>
          <w:bCs/>
          <w:sz w:val="24"/>
          <w:szCs w:val="24"/>
        </w:rPr>
        <w:lastRenderedPageBreak/>
        <w:t>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871D8"/>
    <w:rsid w:val="000A5C75"/>
    <w:rsid w:val="000E19BD"/>
    <w:rsid w:val="000E4049"/>
    <w:rsid w:val="000E7157"/>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46324"/>
    <w:rsid w:val="00355A3D"/>
    <w:rsid w:val="00362B95"/>
    <w:rsid w:val="003661F5"/>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3573"/>
    <w:rsid w:val="005C3625"/>
    <w:rsid w:val="005C6716"/>
    <w:rsid w:val="005E5B39"/>
    <w:rsid w:val="005F0564"/>
    <w:rsid w:val="005F2C24"/>
    <w:rsid w:val="00601419"/>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7D1F"/>
    <w:rsid w:val="00A9124F"/>
    <w:rsid w:val="00A96F49"/>
    <w:rsid w:val="00AA39E4"/>
    <w:rsid w:val="00AA5ACA"/>
    <w:rsid w:val="00AB3E22"/>
    <w:rsid w:val="00AB6518"/>
    <w:rsid w:val="00AB723B"/>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6130E"/>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B18B3"/>
    <w:rsid w:val="00EC2EE7"/>
    <w:rsid w:val="00ED47A0"/>
    <w:rsid w:val="00EE028A"/>
    <w:rsid w:val="00EF36D6"/>
    <w:rsid w:val="00EF656B"/>
    <w:rsid w:val="00F002BB"/>
    <w:rsid w:val="00F03388"/>
    <w:rsid w:val="00F06679"/>
    <w:rsid w:val="00F2093E"/>
    <w:rsid w:val="00F24403"/>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23</Pages>
  <Words>7268</Words>
  <Characters>41431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113</cp:revision>
  <dcterms:created xsi:type="dcterms:W3CDTF">2018-10-07T19:17:00Z</dcterms:created>
  <dcterms:modified xsi:type="dcterms:W3CDTF">2018-10-17T22:29:00Z</dcterms:modified>
</cp:coreProperties>
</file>