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Habitat Restoration </w:t>
      </w:r>
      <w:r w:rsidR="00865CEC" w:rsidRPr="00181A18">
        <w:rPr>
          <w:rFonts w:ascii="Times New Roman" w:hAnsi="Times New Roman" w:cs="Times New Roman"/>
          <w:caps/>
          <w:sz w:val="24"/>
          <w:szCs w:val="24"/>
        </w:rPr>
        <w:t xml:space="preserve">for Species in Greatest Conservation Need </w:t>
      </w:r>
      <w:r w:rsidR="001E6C9A" w:rsidRPr="00181A18">
        <w:rPr>
          <w:rFonts w:ascii="Times New Roman" w:hAnsi="Times New Roman" w:cs="Times New Roman"/>
          <w:caps/>
          <w:sz w:val="24"/>
          <w:szCs w:val="24"/>
        </w:rPr>
        <w:t>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w:t>
      </w:r>
      <w:proofErr w:type="spellStart"/>
      <w:r w:rsidR="00753073" w:rsidRPr="00753073">
        <w:rPr>
          <w:rFonts w:ascii="Times New Roman" w:hAnsi="Times New Roman" w:cs="Times New Roman"/>
          <w:sz w:val="24"/>
        </w:rPr>
        <w:t>Nuzzo</w:t>
      </w:r>
      <w:proofErr w:type="spellEnd"/>
      <w:r w:rsidR="00753073" w:rsidRPr="00753073">
        <w:rPr>
          <w:rFonts w:ascii="Times New Roman" w:hAnsi="Times New Roman" w:cs="Times New Roman"/>
          <w:sz w:val="24"/>
        </w:rPr>
        <w:t xml:space="preserve">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w:t>
      </w:r>
      <w:proofErr w:type="spellStart"/>
      <w:r w:rsidR="00961869">
        <w:rPr>
          <w:rFonts w:ascii="Times New Roman" w:hAnsi="Times New Roman" w:cs="Times New Roman"/>
          <w:sz w:val="24"/>
        </w:rPr>
        <w:t>Nuzzo</w:t>
      </w:r>
      <w:proofErr w:type="spellEnd"/>
      <w:r w:rsidR="00961869">
        <w:rPr>
          <w:rFonts w:ascii="Times New Roman" w:hAnsi="Times New Roman" w:cs="Times New Roman"/>
          <w:sz w:val="24"/>
        </w:rPr>
        <w:t xml:space="preserve">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w:t>
      </w:r>
      <w:r w:rsidR="00877434">
        <w:rPr>
          <w:rFonts w:ascii="Times New Roman" w:hAnsi="Times New Roman" w:cs="Times New Roman"/>
          <w:sz w:val="24"/>
          <w:szCs w:val="24"/>
          <w:highlight w:val="yellow"/>
        </w:rPr>
        <w:t>4842</w:t>
      </w:r>
      <w:r w:rsidR="0026311A" w:rsidRPr="00C53F60">
        <w:rPr>
          <w:rFonts w:ascii="Times New Roman" w:hAnsi="Times New Roman" w:cs="Times New Roman"/>
          <w:sz w:val="24"/>
          <w:szCs w:val="24"/>
          <w:highlight w:val="yellow"/>
        </w:rPr>
        <w:t xml:space="preserve"> hectares </w:t>
      </w:r>
      <w:r w:rsidR="002B0E59" w:rsidRPr="00C53F60">
        <w:rPr>
          <w:rFonts w:ascii="Times New Roman" w:hAnsi="Times New Roman" w:cs="Times New Roman"/>
          <w:sz w:val="24"/>
          <w:szCs w:val="24"/>
          <w:highlight w:val="yellow"/>
        </w:rPr>
        <w:t>remain</w:t>
      </w:r>
      <w:r w:rsidR="00C53F60">
        <w:rPr>
          <w:rFonts w:ascii="Times New Roman" w:hAnsi="Times New Roman" w:cs="Times New Roman"/>
          <w:sz w:val="24"/>
          <w:szCs w:val="24"/>
          <w:highlight w:val="yellow"/>
        </w:rPr>
        <w:t>ed when the Minnesota Biological Survey</w:t>
      </w:r>
      <w:r w:rsidR="00877434">
        <w:rPr>
          <w:rFonts w:ascii="Times New Roman" w:hAnsi="Times New Roman" w:cs="Times New Roman"/>
          <w:sz w:val="24"/>
          <w:szCs w:val="24"/>
          <w:highlight w:val="yellow"/>
        </w:rPr>
        <w:t xml:space="preserve"> (hereafter, MBS)</w:t>
      </w:r>
      <w:r w:rsidR="00C53F60">
        <w:rPr>
          <w:rFonts w:ascii="Times New Roman" w:hAnsi="Times New Roman" w:cs="Times New Roman"/>
          <w:sz w:val="24"/>
          <w:szCs w:val="24"/>
          <w:highlight w:val="yellow"/>
        </w:rPr>
        <w:t xml:space="preserve"> mapped native </w:t>
      </w:r>
      <w:r w:rsidR="00877434">
        <w:rPr>
          <w:rFonts w:ascii="Times New Roman" w:hAnsi="Times New Roman" w:cs="Times New Roman"/>
          <w:sz w:val="24"/>
          <w:szCs w:val="24"/>
          <w:highlight w:val="yellow"/>
        </w:rPr>
        <w:t xml:space="preserve">prairie and savanna </w:t>
      </w:r>
      <w:r w:rsidR="00C53F60">
        <w:rPr>
          <w:rFonts w:ascii="Times New Roman" w:hAnsi="Times New Roman" w:cs="Times New Roman"/>
          <w:sz w:val="24"/>
          <w:szCs w:val="24"/>
          <w:highlight w:val="yellow"/>
        </w:rPr>
        <w:t xml:space="preserve">habitat in the state between </w:t>
      </w:r>
      <w:r w:rsidR="00877434">
        <w:rPr>
          <w:rFonts w:ascii="Times New Roman" w:hAnsi="Times New Roman" w:cs="Times New Roman"/>
          <w:sz w:val="24"/>
          <w:szCs w:val="24"/>
          <w:highlight w:val="yellow"/>
        </w:rPr>
        <w:t>1991 and 2009</w:t>
      </w:r>
      <w:r w:rsidR="0026311A" w:rsidRPr="00C53F60">
        <w:rPr>
          <w:rFonts w:ascii="Times New Roman" w:hAnsi="Times New Roman" w:cs="Times New Roman"/>
          <w:sz w:val="24"/>
          <w:szCs w:val="24"/>
          <w:highlight w:val="yellow"/>
        </w:rPr>
        <w:t xml:space="preserve"> </w:t>
      </w:r>
      <w:r w:rsidR="002B0E59" w:rsidRPr="00C53F60">
        <w:rPr>
          <w:rFonts w:ascii="Times New Roman" w:hAnsi="Times New Roman" w:cs="Times New Roman"/>
          <w:sz w:val="24"/>
          <w:szCs w:val="24"/>
          <w:highlight w:val="yellow"/>
        </w:rPr>
        <w:t>(XX cite NHIS, MBS).</w:t>
      </w:r>
      <w:r w:rsidR="0026311A" w:rsidRPr="00C966A8">
        <w:rPr>
          <w:rFonts w:ascii="Times New Roman" w:hAnsi="Times New Roman" w:cs="Times New Roman"/>
          <w:sz w:val="24"/>
          <w:szCs w:val="24"/>
        </w:rPr>
        <w:t xml:space="preserve"> </w:t>
      </w:r>
      <w:r w:rsidR="00C53F60" w:rsidRPr="00877434">
        <w:rPr>
          <w:rFonts w:ascii="Times New Roman" w:hAnsi="Times New Roman" w:cs="Times New Roman"/>
          <w:sz w:val="24"/>
          <w:szCs w:val="24"/>
          <w:highlight w:val="yellow"/>
        </w:rPr>
        <w:t xml:space="preserve">The loss has continued, with an estimated </w:t>
      </w:r>
      <w:r w:rsidR="00877434" w:rsidRPr="00877434">
        <w:rPr>
          <w:rFonts w:ascii="Times New Roman" w:hAnsi="Times New Roman" w:cs="Times New Roman"/>
          <w:sz w:val="24"/>
          <w:szCs w:val="24"/>
          <w:highlight w:val="yellow"/>
        </w:rPr>
        <w:t>309</w:t>
      </w:r>
      <w:r w:rsidR="00C53F60" w:rsidRPr="00877434">
        <w:rPr>
          <w:rFonts w:ascii="Times New Roman" w:hAnsi="Times New Roman" w:cs="Times New Roman"/>
          <w:sz w:val="24"/>
          <w:szCs w:val="24"/>
          <w:highlight w:val="yellow"/>
        </w:rPr>
        <w:t xml:space="preserve"> ha of oak savanna destroyed by</w:t>
      </w:r>
      <w:r w:rsidR="00877434" w:rsidRPr="00877434">
        <w:rPr>
          <w:rFonts w:ascii="Times New Roman" w:hAnsi="Times New Roman" w:cs="Times New Roman"/>
          <w:sz w:val="24"/>
          <w:szCs w:val="24"/>
          <w:highlight w:val="yellow"/>
        </w:rPr>
        <w:t xml:space="preserve"> urban expansion</w:t>
      </w:r>
      <w:r w:rsidR="00877434">
        <w:rPr>
          <w:rFonts w:ascii="Times New Roman" w:hAnsi="Times New Roman" w:cs="Times New Roman"/>
          <w:sz w:val="24"/>
          <w:szCs w:val="24"/>
          <w:highlight w:val="yellow"/>
        </w:rPr>
        <w:t>,</w:t>
      </w:r>
      <w:r w:rsidR="00C53F60" w:rsidRP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conversion to agriculture</w:t>
      </w:r>
      <w:r w:rsidR="009A4862" w:rsidRPr="00877434">
        <w:rPr>
          <w:rFonts w:ascii="Times New Roman" w:hAnsi="Times New Roman" w:cs="Times New Roman"/>
          <w:sz w:val="24"/>
          <w:szCs w:val="24"/>
          <w:highlight w:val="yellow"/>
        </w:rPr>
        <w:t xml:space="preserve">, and mining between </w:t>
      </w:r>
      <w:r w:rsidR="00877434" w:rsidRPr="00877434">
        <w:rPr>
          <w:rFonts w:ascii="Times New Roman" w:hAnsi="Times New Roman" w:cs="Times New Roman"/>
          <w:sz w:val="24"/>
          <w:szCs w:val="24"/>
          <w:highlight w:val="yellow"/>
        </w:rPr>
        <w:t>the year it was</w:t>
      </w:r>
      <w:r w:rsid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mapped</w:t>
      </w:r>
      <w:r w:rsidR="00877434">
        <w:rPr>
          <w:rFonts w:ascii="Times New Roman" w:hAnsi="Times New Roman" w:cs="Times New Roman"/>
          <w:sz w:val="24"/>
          <w:szCs w:val="24"/>
          <w:highlight w:val="yellow"/>
        </w:rPr>
        <w:t xml:space="preserve"> by the biological survey and the most recent assessment in 2</w:t>
      </w:r>
      <w:r w:rsidR="009A4862" w:rsidRPr="00877434">
        <w:rPr>
          <w:rFonts w:ascii="Times New Roman" w:hAnsi="Times New Roman" w:cs="Times New Roman"/>
          <w:sz w:val="24"/>
          <w:szCs w:val="24"/>
          <w:highlight w:val="yellow"/>
        </w:rPr>
        <w:t>017</w:t>
      </w:r>
      <w:r w:rsidR="00877434" w:rsidRPr="00877434">
        <w:rPr>
          <w:rFonts w:ascii="Times New Roman" w:hAnsi="Times New Roman" w:cs="Times New Roman"/>
          <w:sz w:val="24"/>
          <w:szCs w:val="24"/>
          <w:highlight w:val="yellow"/>
        </w:rPr>
        <w:t xml:space="preserve"> (XX)</w:t>
      </w:r>
      <w:r w:rsidR="009A4862" w:rsidRPr="00877434">
        <w:rPr>
          <w:rFonts w:ascii="Times New Roman" w:hAnsi="Times New Roman" w:cs="Times New Roman"/>
          <w:sz w:val="24"/>
          <w:szCs w:val="24"/>
          <w:highlight w:val="yellow"/>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Pr>
          <w:rFonts w:ascii="Times New Roman" w:hAnsi="Times New Roman" w:cs="Times New Roman"/>
          <w:bCs/>
          <w:sz w:val="24"/>
          <w:szCs w:val="24"/>
        </w:rPr>
        <w:t>,</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t>plains hog-nosed 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(XX add martin and </w:t>
      </w:r>
      <w:proofErr w:type="spellStart"/>
      <w:r w:rsidR="00D741EF">
        <w:rPr>
          <w:rFonts w:ascii="Times New Roman" w:hAnsi="Times New Roman" w:cs="Times New Roman"/>
          <w:bCs/>
          <w:sz w:val="24"/>
          <w:szCs w:val="24"/>
        </w:rPr>
        <w:t>parrish</w:t>
      </w:r>
      <w:proofErr w:type="spellEnd"/>
      <w:r w:rsidR="00453680">
        <w:rPr>
          <w:rFonts w:ascii="Times New Roman" w:hAnsi="Times New Roman" w:cs="Times New Roman"/>
          <w:bCs/>
          <w:sz w:val="24"/>
          <w:szCs w:val="24"/>
        </w:rPr>
        <w:t xml:space="preserve"> and other data from </w:t>
      </w:r>
      <w:proofErr w:type="spellStart"/>
      <w:r w:rsidR="00453680">
        <w:rPr>
          <w:rFonts w:ascii="Times New Roman" w:hAnsi="Times New Roman" w:cs="Times New Roman"/>
          <w:bCs/>
          <w:sz w:val="24"/>
          <w:szCs w:val="24"/>
        </w:rPr>
        <w:t>cornell</w:t>
      </w:r>
      <w:proofErr w:type="spellEnd"/>
      <w:r w:rsidR="00453680">
        <w:rPr>
          <w:rFonts w:ascii="Times New Roman" w:hAnsi="Times New Roman" w:cs="Times New Roman"/>
          <w:bCs/>
          <w:sz w:val="24"/>
          <w:szCs w:val="24"/>
        </w:rPr>
        <w:t xml:space="preserve"> All about birds</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w:t>
      </w:r>
      <w:proofErr w:type="spellStart"/>
      <w:r w:rsidR="00B666CF" w:rsidRPr="00B666CF">
        <w:rPr>
          <w:rFonts w:ascii="Times New Roman" w:hAnsi="Times New Roman" w:cs="Times New Roman"/>
          <w:sz w:val="24"/>
        </w:rPr>
        <w:t>Pfannmuller</w:t>
      </w:r>
      <w:proofErr w:type="spellEnd"/>
      <w:r w:rsidR="00B666CF" w:rsidRPr="00B666CF">
        <w:rPr>
          <w:rFonts w:ascii="Times New Roman" w:hAnsi="Times New Roman" w:cs="Times New Roman"/>
          <w:sz w:val="24"/>
        </w:rPr>
        <w:t xml:space="preserve">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w:t>
      </w:r>
      <w:proofErr w:type="spellStart"/>
      <w:r w:rsidR="00435FEB" w:rsidRPr="00435FEB">
        <w:rPr>
          <w:rFonts w:ascii="Times New Roman" w:hAnsi="Times New Roman" w:cs="Times New Roman"/>
          <w:sz w:val="24"/>
        </w:rPr>
        <w:t>Royle</w:t>
      </w:r>
      <w:proofErr w:type="spellEnd"/>
      <w:r w:rsidR="00435FEB" w:rsidRPr="00435FEB">
        <w:rPr>
          <w:rFonts w:ascii="Times New Roman" w:hAnsi="Times New Roman" w:cs="Times New Roman"/>
          <w:sz w:val="24"/>
        </w:rPr>
        <w:t xml:space="preserv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323408">
        <w:rPr>
          <w:rFonts w:ascii="Times New Roman" w:hAnsi="Times New Roman" w:cs="Times New Roman"/>
          <w:bCs/>
          <w:sz w:val="24"/>
          <w:szCs w:val="24"/>
        </w:rPr>
        <w:t xml:space="preserve"> (XX </w:t>
      </w:r>
      <w:proofErr w:type="spellStart"/>
      <w:r w:rsidR="00323408">
        <w:rPr>
          <w:rFonts w:ascii="Times New Roman" w:hAnsi="Times New Roman" w:cs="Times New Roman"/>
          <w:bCs/>
          <w:sz w:val="24"/>
          <w:szCs w:val="24"/>
        </w:rPr>
        <w:t>Hutto</w:t>
      </w:r>
      <w:proofErr w:type="spellEnd"/>
      <w:r w:rsidR="0032340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 xml:space="preserve">percent cover of bunchgrass, non-bunchgrass, and little bluestem </w:t>
      </w:r>
      <w:r w:rsidR="00B22B07">
        <w:rPr>
          <w:rFonts w:ascii="Times New Roman" w:hAnsi="Times New Roman" w:cs="Times New Roman"/>
          <w:sz w:val="24"/>
          <w:szCs w:val="24"/>
        </w:rPr>
        <w:t>(</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xml:space="preserve">); number of stems of woody vegetation (i.e. shrubby species &lt; 0.5 m tall), blazing star </w:t>
      </w:r>
      <w:r w:rsidR="00B22B07">
        <w:rPr>
          <w:rFonts w:ascii="Times New Roman" w:hAnsi="Times New Roman" w:cs="Times New Roman"/>
          <w:sz w:val="24"/>
          <w:szCs w:val="24"/>
        </w:rPr>
        <w:t>(</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w:t>
      </w:r>
      <w:r w:rsidR="00B22B07">
        <w:rPr>
          <w:rFonts w:ascii="Times New Roman" w:hAnsi="Times New Roman" w:cs="Times New Roman"/>
          <w:sz w:val="24"/>
          <w:szCs w:val="24"/>
        </w:rPr>
        <w:t>)</w:t>
      </w:r>
      <w:r w:rsidR="00B22B07">
        <w:rPr>
          <w:rFonts w:ascii="Times New Roman" w:hAnsi="Times New Roman" w:cs="Times New Roman"/>
          <w:sz w:val="24"/>
          <w:szCs w:val="24"/>
        </w:rPr>
        <w:t>,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 xml:space="preserve">loss </w:t>
      </w:r>
      <w:r w:rsidR="00E11718">
        <w:rPr>
          <w:rFonts w:ascii="Times New Roman" w:hAnsi="Times New Roman" w:cs="Times New Roman"/>
          <w:sz w:val="24"/>
          <w:szCs w:val="24"/>
        </w:rPr>
        <w:lastRenderedPageBreak/>
        <w:t>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877434"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proofErr w:type="spellStart"/>
      <w:proofErr w:type="gramStart"/>
      <w:r w:rsidR="00141F35">
        <w:rPr>
          <w:rFonts w:ascii="Times New Roman" w:eastAsiaTheme="minorEastAsia" w:hAnsi="Times New Roman" w:cs="Times New Roman"/>
          <w:sz w:val="24"/>
          <w:szCs w:val="24"/>
        </w:rPr>
        <w:t>eq</w:t>
      </w:r>
      <w:proofErr w:type="spellEnd"/>
      <w:proofErr w:type="gramEnd"/>
      <w:r w:rsidR="004C1D5D">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1)</w:t>
      </w:r>
    </w:p>
    <w:p w:rsidR="00E269C1" w:rsidRPr="00E269C1" w:rsidRDefault="00877434"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w:t>
      </w:r>
      <w:proofErr w:type="spellStart"/>
      <w:proofErr w:type="gramStart"/>
      <w:r w:rsidR="00141F35">
        <w:rPr>
          <w:rFonts w:ascii="Times New Roman" w:eastAsiaTheme="minorEastAsia" w:hAnsi="Times New Roman" w:cs="Times New Roman"/>
          <w:sz w:val="24"/>
          <w:szCs w:val="24"/>
        </w:rPr>
        <w:t>eq</w:t>
      </w:r>
      <w:proofErr w:type="spellEnd"/>
      <w:proofErr w:type="gramEnd"/>
      <w:r w:rsidR="004C1D5D">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2)</w:t>
      </w:r>
    </w:p>
    <w:p w:rsidR="00E269C1" w:rsidRPr="00E269C1" w:rsidRDefault="00877434"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w:t>
      </w:r>
      <w:proofErr w:type="spellStart"/>
      <w:proofErr w:type="gramStart"/>
      <w:r w:rsidR="00830AA5">
        <w:rPr>
          <w:rFonts w:ascii="Times New Roman" w:eastAsiaTheme="minorEastAsia" w:hAnsi="Times New Roman" w:cs="Times New Roman"/>
          <w:sz w:val="24"/>
          <w:szCs w:val="24"/>
        </w:rPr>
        <w:t>eq</w:t>
      </w:r>
      <w:proofErr w:type="spellEnd"/>
      <w:proofErr w:type="gramEnd"/>
      <w:r w:rsidR="004C1D5D">
        <w:rPr>
          <w:rFonts w:ascii="Times New Roman" w:eastAsiaTheme="minorEastAsia" w:hAnsi="Times New Roman" w:cs="Times New Roman"/>
          <w:sz w:val="24"/>
          <w:szCs w:val="24"/>
        </w:rPr>
        <w:t xml:space="preserve"> </w:t>
      </w:r>
      <w:r w:rsidR="00830AA5">
        <w:rPr>
          <w:rFonts w:ascii="Times New Roman" w:eastAsiaTheme="minorEastAsia" w:hAnsi="Times New Roman" w:cs="Times New Roman"/>
          <w:sz w:val="24"/>
          <w:szCs w:val="24"/>
        </w:rPr>
        <w:t>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877434"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w:t>
      </w:r>
      <w:proofErr w:type="spellStart"/>
      <w:proofErr w:type="gramStart"/>
      <w:r w:rsidR="00830AA5">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830AA5">
        <w:rPr>
          <w:rFonts w:ascii="Times New Roman" w:eastAsiaTheme="minorEastAsia" w:hAnsi="Times New Roman" w:cs="Times New Roman"/>
          <w:sz w:val="24"/>
          <w:szCs w:val="24"/>
        </w:rPr>
        <w:t>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877434"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w:t>
      </w:r>
      <w:proofErr w:type="spellStart"/>
      <w:proofErr w:type="gramStart"/>
      <w:r w:rsidR="002947F8">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5)</w:t>
      </w:r>
    </w:p>
    <w:p w:rsidR="00E269C1" w:rsidRPr="00E269C1" w:rsidRDefault="00877434"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w:t>
      </w:r>
      <w:proofErr w:type="spellStart"/>
      <w:proofErr w:type="gramStart"/>
      <w:r w:rsidR="002947F8">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6)</w:t>
      </w:r>
    </w:p>
    <w:p w:rsidR="00E269C1" w:rsidRPr="00E269C1" w:rsidRDefault="00877434"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proofErr w:type="spellStart"/>
      <w:proofErr w:type="gramStart"/>
      <w:r w:rsidR="00C46D6D">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877434"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w:t>
      </w:r>
      <w:proofErr w:type="spellStart"/>
      <w:proofErr w:type="gramStart"/>
      <w:r w:rsidR="00966443">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966443">
        <w:rPr>
          <w:rFonts w:ascii="Times New Roman" w:eastAsiaTheme="minorEastAsia" w:hAnsi="Times New Roman" w:cs="Times New Roman"/>
          <w:sz w:val="24"/>
          <w:szCs w:val="24"/>
        </w:rPr>
        <w:t>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w:t>
      </w:r>
      <w:proofErr w:type="spellStart"/>
      <w:proofErr w:type="gramStart"/>
      <w:r w:rsidR="00966443" w:rsidRPr="00966443">
        <w:rPr>
          <w:rFonts w:ascii="Times New Roman" w:eastAsiaTheme="minorEastAsia" w:hAnsi="Times New Roman" w:cs="Times New Roman"/>
          <w:sz w:val="24"/>
          <w:szCs w:val="24"/>
        </w:rPr>
        <w:t>eq</w:t>
      </w:r>
      <w:proofErr w:type="spellEnd"/>
      <w:proofErr w:type="gramEnd"/>
      <w:r w:rsidR="00413315">
        <w:rPr>
          <w:rFonts w:ascii="Times New Roman" w:eastAsiaTheme="minorEastAsia" w:hAnsi="Times New Roman" w:cs="Times New Roman"/>
          <w:sz w:val="24"/>
          <w:szCs w:val="24"/>
        </w:rPr>
        <w:t xml:space="preserve"> </w:t>
      </w:r>
      <w:r w:rsidR="00966443" w:rsidRPr="00966443">
        <w:rPr>
          <w:rFonts w:ascii="Times New Roman" w:eastAsiaTheme="minorEastAsia" w:hAnsi="Times New Roman" w:cs="Times New Roman"/>
          <w:sz w:val="24"/>
          <w:szCs w:val="24"/>
        </w:rPr>
        <w:t>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bookmarkStart w:id="0" w:name="_GoBack"/>
      <w:bookmarkEnd w:id="0"/>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r w:rsidR="006B09FA">
        <w:rPr>
          <w:rFonts w:ascii="Times New Roman" w:hAnsi="Times New Roman" w:cs="Times New Roman"/>
          <w:sz w:val="24"/>
        </w:rPr>
        <w:t>Giudice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e chose not to include covariate 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 xml:space="preserve">hierarchical modeling </w:t>
      </w:r>
      <w:r w:rsidR="00AF575F">
        <w:rPr>
          <w:rFonts w:ascii="Times New Roman" w:hAnsi="Times New Roman" w:cs="Times New Roman"/>
          <w:sz w:val="24"/>
          <w:szCs w:val="24"/>
        </w:rPr>
        <w:lastRenderedPageBreak/>
        <w:t>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877434"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877434"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87743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877434"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877434"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87743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877434"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87743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877434"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877434"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877434"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877434"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5279A8" w:rsidP="005279A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lastRenderedPageBreak/>
        <w:t>W</w:t>
      </w:r>
      <w:r w:rsidR="00011824">
        <w:rPr>
          <w:rFonts w:ascii="Times New Roman" w:hAnsi="Times New Roman" w:cs="Times New Roman"/>
          <w:sz w:val="24"/>
          <w:szCs w:val="24"/>
        </w:rPr>
        <w:t xml:space="preserve">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r w:rsidR="00011824" w:rsidRPr="00C966A8">
        <w:rPr>
          <w:rFonts w:ascii="Times New Roman" w:hAnsi="Times New Roman" w:cs="Times New Roman"/>
          <w:bCs/>
          <w:sz w:val="24"/>
          <w:szCs w:val="24"/>
        </w:rPr>
        <w:t>The Leonard’s skipper seems to favor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although d</w:t>
      </w:r>
      <w:r w:rsidR="00011824" w:rsidRPr="00C966A8">
        <w:rPr>
          <w:rFonts w:ascii="Times New Roman" w:hAnsi="Times New Roman" w:cs="Times New Roman"/>
          <w:bCs/>
          <w:sz w:val="24"/>
          <w:szCs w:val="24"/>
        </w:rPr>
        <w:t xml:space="preserve">efinitive information is not </w:t>
      </w:r>
      <w:r w:rsidR="00011824">
        <w:rPr>
          <w:rFonts w:ascii="Times New Roman" w:hAnsi="Times New Roman" w:cs="Times New Roman"/>
          <w:bCs/>
          <w:sz w:val="24"/>
          <w:szCs w:val="24"/>
        </w:rPr>
        <w:t>available,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they</w:t>
      </w:r>
      <w:r w:rsidR="00011824" w:rsidRPr="00C966A8">
        <w:rPr>
          <w:rFonts w:ascii="Times New Roman" w:hAnsi="Times New Roman" w:cs="Times New Roman"/>
          <w:bCs/>
          <w:sz w:val="24"/>
          <w:szCs w:val="24"/>
        </w:rPr>
        <w:t xml:space="preserve"> 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wind speed</w:t>
      </w:r>
      <w:r w:rsidR="00011824">
        <w:rPr>
          <w:rFonts w:ascii="Times New Roman" w:hAnsi="Times New Roman" w:cs="Times New Roman"/>
          <w:bCs/>
          <w:sz w:val="24"/>
          <w:szCs w:val="24"/>
        </w:rPr>
        <w:t xml:space="preserve">. Northern barrens tiger beetles are chase and ambush predators known </w:t>
      </w:r>
      <w:r w:rsidR="00011824">
        <w:rPr>
          <w:rFonts w:ascii="Times New Roman" w:hAnsi="Times New Roman" w:cs="Times New Roman"/>
          <w:bCs/>
          <w:sz w:val="24"/>
          <w:szCs w:val="24"/>
        </w:rPr>
        <w:lastRenderedPageBreak/>
        <w:t xml:space="preserve">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011824">
        <w:rPr>
          <w:rFonts w:ascii="Times New Roman" w:hAnsi="Times New Roman" w:cs="Times New Roman"/>
          <w:bCs/>
          <w:sz w:val="24"/>
          <w:szCs w:val="24"/>
        </w:rPr>
        <w:t xml:space="preserve"> (Christopher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lastRenderedPageBreak/>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 and the mean abundance in plots where skippers were encountered was 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990" w:type="dxa"/>
            <w:tcBorders>
              <w:top w:val="single" w:sz="4" w:space="0" w:color="auto"/>
              <w:left w:val="nil"/>
              <w:bottom w:val="nil"/>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CB399F" w:rsidRPr="00AB4ADE" w:rsidTr="00BE00CE">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990" w:type="dxa"/>
            <w:tcBorders>
              <w:top w:val="nil"/>
              <w:left w:val="nil"/>
              <w:bottom w:val="single" w:sz="4" w:space="0" w:color="auto"/>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990" w:type="dxa"/>
            <w:tcBorders>
              <w:top w:val="single" w:sz="4" w:space="0" w:color="auto"/>
              <w:left w:val="nil"/>
              <w:bottom w:val="nil"/>
              <w:right w:val="nil"/>
            </w:tcBorders>
            <w:shd w:val="clear" w:color="auto" w:fill="auto"/>
            <w:noWrap/>
            <w:vAlign w:val="center"/>
            <w:hideMark/>
          </w:tcPr>
          <w:p w:rsidR="00EB0DBF"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427302" w:rsidRPr="00270F49" w:rsidRDefault="00EB0DBF" w:rsidP="00DC78C3">
            <w:pPr>
              <w:spacing w:after="0" w:line="240" w:lineRule="auto"/>
              <w:jc w:val="center"/>
              <w:rPr>
                <w:rFonts w:ascii="Times New Roman" w:eastAsia="Times New Roman" w:hAnsi="Times New Roman" w:cs="Times New Roman"/>
                <w:b/>
                <w:color w:val="000000"/>
                <w:sz w:val="18"/>
                <w:szCs w:val="18"/>
              </w:rPr>
            </w:pPr>
            <w:r w:rsidRPr="00270F49">
              <w:rPr>
                <w:rFonts w:ascii="Times New Roman" w:eastAsia="Times New Roman" w:hAnsi="Times New Roman" w:cs="Times New Roman"/>
                <w:b/>
                <w:color w:val="000000"/>
                <w:sz w:val="18"/>
                <w:szCs w:val="18"/>
              </w:rPr>
              <w:t>2.50</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270F49" w:rsidRDefault="00270F49" w:rsidP="00DC78C3">
            <w:pPr>
              <w:spacing w:after="0" w:line="240" w:lineRule="auto"/>
              <w:jc w:val="center"/>
              <w:rPr>
                <w:rFonts w:ascii="Times New Roman" w:eastAsia="Times New Roman" w:hAnsi="Times New Roman" w:cs="Times New Roman"/>
                <w:b/>
                <w:sz w:val="20"/>
                <w:szCs w:val="20"/>
              </w:rPr>
            </w:pPr>
            <w:r w:rsidRPr="00270F49">
              <w:rPr>
                <w:rFonts w:ascii="Times New Roman" w:eastAsia="Times New Roman" w:hAnsi="Times New Roman" w:cs="Times New Roman"/>
                <w:b/>
                <w:sz w:val="20"/>
                <w:szCs w:val="20"/>
              </w:rPr>
              <w:t>(0.38,4.82</w:t>
            </w:r>
            <w:r w:rsidR="00427302" w:rsidRPr="00270F49">
              <w:rPr>
                <w:rFonts w:ascii="Times New Roman" w:eastAsia="Times New Roman" w:hAnsi="Times New Roman" w:cs="Times New Roman"/>
                <w:b/>
                <w:sz w:val="20"/>
                <w:szCs w:val="20"/>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990" w:type="dxa"/>
            <w:tcBorders>
              <w:top w:val="nil"/>
              <w:left w:val="nil"/>
              <w:bottom w:val="nil"/>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5D6D68"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026"/>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w:t>
      </w:r>
      <w:r w:rsidR="006622E9">
        <w:rPr>
          <w:rFonts w:ascii="Times New Roman" w:hAnsi="Times New Roman" w:cs="Times New Roman"/>
          <w:sz w:val="20"/>
          <w:szCs w:val="20"/>
        </w:rPr>
        <w:t xml:space="preserve"> 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w:t>
      </w:r>
      <w:r w:rsidR="00AA501F">
        <w:rPr>
          <w:rFonts w:ascii="Times New Roman" w:hAnsi="Times New Roman" w:cs="Times New Roman"/>
          <w:bCs/>
          <w:sz w:val="24"/>
          <w:szCs w:val="24"/>
        </w:rPr>
        <w:lastRenderedPageBreak/>
        <w:t>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w:t>
      </w:r>
      <w:r w:rsidRPr="00A96F49">
        <w:rPr>
          <w:rFonts w:ascii="Times New Roman" w:hAnsi="Times New Roman" w:cs="Times New Roman"/>
          <w:bCs/>
          <w:sz w:val="24"/>
          <w:szCs w:val="24"/>
        </w:rPr>
        <w:lastRenderedPageBreak/>
        <w:t>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w:t>
      </w:r>
      <w:r w:rsidRPr="00A96F49">
        <w:rPr>
          <w:rFonts w:ascii="Times New Roman" w:hAnsi="Times New Roman" w:cs="Times New Roman"/>
          <w:bCs/>
          <w:sz w:val="24"/>
          <w:szCs w:val="24"/>
        </w:rPr>
        <w:lastRenderedPageBreak/>
        <w:t xml:space="preserve">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w:t>
      </w:r>
      <w:r w:rsidR="00A96F49" w:rsidRPr="00A96F49">
        <w:rPr>
          <w:rFonts w:ascii="Times New Roman" w:hAnsi="Times New Roman" w:cs="Times New Roman"/>
          <w:bCs/>
          <w:sz w:val="24"/>
          <w:szCs w:val="24"/>
        </w:rPr>
        <w:lastRenderedPageBreak/>
        <w:t xml:space="preserve">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w:t>
      </w:r>
      <w:r w:rsidRPr="00A96F49">
        <w:rPr>
          <w:rFonts w:ascii="Times New Roman" w:hAnsi="Times New Roman" w:cs="Times New Roman"/>
          <w:bCs/>
          <w:sz w:val="24"/>
          <w:szCs w:val="24"/>
        </w:rPr>
        <w:lastRenderedPageBreak/>
        <w:t>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5A94"/>
    <w:rsid w:val="000F77A9"/>
    <w:rsid w:val="0010471C"/>
    <w:rsid w:val="00105193"/>
    <w:rsid w:val="001101ED"/>
    <w:rsid w:val="00110BEE"/>
    <w:rsid w:val="0011393B"/>
    <w:rsid w:val="00114996"/>
    <w:rsid w:val="0012118B"/>
    <w:rsid w:val="00126CCC"/>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4F14"/>
    <w:rsid w:val="001C7DE6"/>
    <w:rsid w:val="001C7F74"/>
    <w:rsid w:val="001D094C"/>
    <w:rsid w:val="001D4B03"/>
    <w:rsid w:val="001E2531"/>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3408"/>
    <w:rsid w:val="00325B77"/>
    <w:rsid w:val="003338DA"/>
    <w:rsid w:val="003419C2"/>
    <w:rsid w:val="00346324"/>
    <w:rsid w:val="003533FD"/>
    <w:rsid w:val="00355A3D"/>
    <w:rsid w:val="00357842"/>
    <w:rsid w:val="00360D84"/>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386F"/>
    <w:rsid w:val="0044788E"/>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1D5D"/>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4B68"/>
    <w:rsid w:val="006F61B2"/>
    <w:rsid w:val="00710195"/>
    <w:rsid w:val="007115B6"/>
    <w:rsid w:val="00712023"/>
    <w:rsid w:val="00713EEE"/>
    <w:rsid w:val="0071688F"/>
    <w:rsid w:val="00716A81"/>
    <w:rsid w:val="00716E3F"/>
    <w:rsid w:val="007212C5"/>
    <w:rsid w:val="00726C90"/>
    <w:rsid w:val="00732171"/>
    <w:rsid w:val="00732FD0"/>
    <w:rsid w:val="007341DD"/>
    <w:rsid w:val="00737789"/>
    <w:rsid w:val="0074174E"/>
    <w:rsid w:val="007444B5"/>
    <w:rsid w:val="00746A8A"/>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30911"/>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4724"/>
    <w:rsid w:val="00AC6350"/>
    <w:rsid w:val="00AC68A5"/>
    <w:rsid w:val="00AC6AF4"/>
    <w:rsid w:val="00AC7BFD"/>
    <w:rsid w:val="00AC7FDA"/>
    <w:rsid w:val="00AD082B"/>
    <w:rsid w:val="00AD1AAC"/>
    <w:rsid w:val="00AE2805"/>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40047"/>
    <w:rsid w:val="00C41482"/>
    <w:rsid w:val="00C4264B"/>
    <w:rsid w:val="00C44519"/>
    <w:rsid w:val="00C46183"/>
    <w:rsid w:val="00C46D6D"/>
    <w:rsid w:val="00C51C22"/>
    <w:rsid w:val="00C53F60"/>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02D7"/>
    <w:rsid w:val="00DE1B4C"/>
    <w:rsid w:val="00DE4235"/>
    <w:rsid w:val="00DF26BB"/>
    <w:rsid w:val="00DF534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4515</TotalTime>
  <Pages>36</Pages>
  <Words>17181</Words>
  <Characters>97938</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317</cp:revision>
  <dcterms:created xsi:type="dcterms:W3CDTF">2018-10-07T19:17:00Z</dcterms:created>
  <dcterms:modified xsi:type="dcterms:W3CDTF">2018-11-06T02:24:00Z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