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Habitat Restoration </w:t>
      </w:r>
      <w:r w:rsidR="00865CEC" w:rsidRPr="00181A18">
        <w:rPr>
          <w:rFonts w:ascii="Times New Roman" w:hAnsi="Times New Roman" w:cs="Times New Roman"/>
          <w:caps/>
          <w:sz w:val="24"/>
          <w:szCs w:val="24"/>
        </w:rPr>
        <w:t xml:space="preserve">for Species in Greatest Conservation Need </w:t>
      </w:r>
      <w:r w:rsidR="001E6C9A" w:rsidRPr="00181A18">
        <w:rPr>
          <w:rFonts w:ascii="Times New Roman" w:hAnsi="Times New Roman" w:cs="Times New Roman"/>
          <w:caps/>
          <w:sz w:val="24"/>
          <w:szCs w:val="24"/>
        </w:rPr>
        <w:t>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w:t>
      </w:r>
      <w:r w:rsidR="009315EF">
        <w:rPr>
          <w:rFonts w:ascii="Times New Roman" w:hAnsi="Times New Roman" w:cs="Times New Roman"/>
          <w:bCs/>
          <w:sz w:val="24"/>
          <w:szCs w:val="24"/>
        </w:rPr>
        <w:lastRenderedPageBreak/>
        <w:t xml:space="preserve">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t>
      </w:r>
      <w:r w:rsidRPr="00C966A8">
        <w:rPr>
          <w:rFonts w:ascii="Times New Roman" w:hAnsi="Times New Roman" w:cs="Times New Roman"/>
          <w:bCs/>
          <w:sz w:val="24"/>
          <w:szCs w:val="24"/>
        </w:rPr>
        <w:lastRenderedPageBreak/>
        <w:t xml:space="preserve">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w:t>
      </w:r>
      <w:r w:rsidR="00877434">
        <w:rPr>
          <w:rFonts w:ascii="Times New Roman" w:hAnsi="Times New Roman" w:cs="Times New Roman"/>
          <w:sz w:val="24"/>
          <w:szCs w:val="24"/>
          <w:highlight w:val="yellow"/>
        </w:rPr>
        <w:t>4842</w:t>
      </w:r>
      <w:r w:rsidR="0026311A" w:rsidRPr="00C53F60">
        <w:rPr>
          <w:rFonts w:ascii="Times New Roman" w:hAnsi="Times New Roman" w:cs="Times New Roman"/>
          <w:sz w:val="24"/>
          <w:szCs w:val="24"/>
          <w:highlight w:val="yellow"/>
        </w:rPr>
        <w:t xml:space="preserve"> hectares </w:t>
      </w:r>
      <w:r w:rsidR="002B0E59" w:rsidRPr="00C53F60">
        <w:rPr>
          <w:rFonts w:ascii="Times New Roman" w:hAnsi="Times New Roman" w:cs="Times New Roman"/>
          <w:sz w:val="24"/>
          <w:szCs w:val="24"/>
          <w:highlight w:val="yellow"/>
        </w:rPr>
        <w:t>remain</w:t>
      </w:r>
      <w:r w:rsidR="00C53F60">
        <w:rPr>
          <w:rFonts w:ascii="Times New Roman" w:hAnsi="Times New Roman" w:cs="Times New Roman"/>
          <w:sz w:val="24"/>
          <w:szCs w:val="24"/>
          <w:highlight w:val="yellow"/>
        </w:rPr>
        <w:t>ed when the Minnesota Biological Survey</w:t>
      </w:r>
      <w:r w:rsidR="00877434">
        <w:rPr>
          <w:rFonts w:ascii="Times New Roman" w:hAnsi="Times New Roman" w:cs="Times New Roman"/>
          <w:sz w:val="24"/>
          <w:szCs w:val="24"/>
          <w:highlight w:val="yellow"/>
        </w:rPr>
        <w:t xml:space="preserve"> (hereafter, MBS)</w:t>
      </w:r>
      <w:r w:rsidR="00C53F60">
        <w:rPr>
          <w:rFonts w:ascii="Times New Roman" w:hAnsi="Times New Roman" w:cs="Times New Roman"/>
          <w:sz w:val="24"/>
          <w:szCs w:val="24"/>
          <w:highlight w:val="yellow"/>
        </w:rPr>
        <w:t xml:space="preserve"> mapped native </w:t>
      </w:r>
      <w:r w:rsidR="00877434">
        <w:rPr>
          <w:rFonts w:ascii="Times New Roman" w:hAnsi="Times New Roman" w:cs="Times New Roman"/>
          <w:sz w:val="24"/>
          <w:szCs w:val="24"/>
          <w:highlight w:val="yellow"/>
        </w:rPr>
        <w:t xml:space="preserve">prairie and savanna </w:t>
      </w:r>
      <w:r w:rsidR="00C53F60">
        <w:rPr>
          <w:rFonts w:ascii="Times New Roman" w:hAnsi="Times New Roman" w:cs="Times New Roman"/>
          <w:sz w:val="24"/>
          <w:szCs w:val="24"/>
          <w:highlight w:val="yellow"/>
        </w:rPr>
        <w:t xml:space="preserve">habitat in the state between </w:t>
      </w:r>
      <w:r w:rsidR="00877434">
        <w:rPr>
          <w:rFonts w:ascii="Times New Roman" w:hAnsi="Times New Roman" w:cs="Times New Roman"/>
          <w:sz w:val="24"/>
          <w:szCs w:val="24"/>
          <w:highlight w:val="yellow"/>
        </w:rPr>
        <w:t>1991 and 2009</w:t>
      </w:r>
      <w:r w:rsidR="0026311A" w:rsidRPr="00C53F60">
        <w:rPr>
          <w:rFonts w:ascii="Times New Roman" w:hAnsi="Times New Roman" w:cs="Times New Roman"/>
          <w:sz w:val="24"/>
          <w:szCs w:val="24"/>
          <w:highlight w:val="yellow"/>
        </w:rPr>
        <w:t xml:space="preserve"> </w:t>
      </w:r>
      <w:r w:rsidR="002B0E59" w:rsidRPr="00C53F60">
        <w:rPr>
          <w:rFonts w:ascii="Times New Roman" w:hAnsi="Times New Roman" w:cs="Times New Roman"/>
          <w:sz w:val="24"/>
          <w:szCs w:val="24"/>
          <w:highlight w:val="yellow"/>
        </w:rPr>
        <w:t>(XX cite NHIS, MBS).</w:t>
      </w:r>
      <w:r w:rsidR="0026311A" w:rsidRPr="00C966A8">
        <w:rPr>
          <w:rFonts w:ascii="Times New Roman" w:hAnsi="Times New Roman" w:cs="Times New Roman"/>
          <w:sz w:val="24"/>
          <w:szCs w:val="24"/>
        </w:rPr>
        <w:t xml:space="preserve"> </w:t>
      </w:r>
      <w:r w:rsidR="00C53F60" w:rsidRPr="00877434">
        <w:rPr>
          <w:rFonts w:ascii="Times New Roman" w:hAnsi="Times New Roman" w:cs="Times New Roman"/>
          <w:sz w:val="24"/>
          <w:szCs w:val="24"/>
          <w:highlight w:val="yellow"/>
        </w:rPr>
        <w:t xml:space="preserve">The loss has continued, with an estimated </w:t>
      </w:r>
      <w:r w:rsidR="00877434" w:rsidRPr="00877434">
        <w:rPr>
          <w:rFonts w:ascii="Times New Roman" w:hAnsi="Times New Roman" w:cs="Times New Roman"/>
          <w:sz w:val="24"/>
          <w:szCs w:val="24"/>
          <w:highlight w:val="yellow"/>
        </w:rPr>
        <w:t>309</w:t>
      </w:r>
      <w:r w:rsidR="00C53F60" w:rsidRPr="00877434">
        <w:rPr>
          <w:rFonts w:ascii="Times New Roman" w:hAnsi="Times New Roman" w:cs="Times New Roman"/>
          <w:sz w:val="24"/>
          <w:szCs w:val="24"/>
          <w:highlight w:val="yellow"/>
        </w:rPr>
        <w:t xml:space="preserve"> ha of oak savanna destroyed by</w:t>
      </w:r>
      <w:r w:rsidR="00877434" w:rsidRPr="00877434">
        <w:rPr>
          <w:rFonts w:ascii="Times New Roman" w:hAnsi="Times New Roman" w:cs="Times New Roman"/>
          <w:sz w:val="24"/>
          <w:szCs w:val="24"/>
          <w:highlight w:val="yellow"/>
        </w:rPr>
        <w:t xml:space="preserve"> urban expansion</w:t>
      </w:r>
      <w:r w:rsidR="00877434">
        <w:rPr>
          <w:rFonts w:ascii="Times New Roman" w:hAnsi="Times New Roman" w:cs="Times New Roman"/>
          <w:sz w:val="24"/>
          <w:szCs w:val="24"/>
          <w:highlight w:val="yellow"/>
        </w:rPr>
        <w:t>,</w:t>
      </w:r>
      <w:r w:rsidR="00C53F60" w:rsidRPr="00877434">
        <w:rPr>
          <w:rFonts w:ascii="Times New Roman" w:hAnsi="Times New Roman" w:cs="Times New Roman"/>
          <w:sz w:val="24"/>
          <w:szCs w:val="24"/>
          <w:highlight w:val="yellow"/>
        </w:rPr>
        <w:t xml:space="preserve"> </w:t>
      </w:r>
      <w:r w:rsidR="00877434" w:rsidRPr="00877434">
        <w:rPr>
          <w:rFonts w:ascii="Times New Roman" w:hAnsi="Times New Roman" w:cs="Times New Roman"/>
          <w:sz w:val="24"/>
          <w:szCs w:val="24"/>
          <w:highlight w:val="yellow"/>
        </w:rPr>
        <w:t>conversion to agriculture</w:t>
      </w:r>
      <w:r w:rsidR="009A4862" w:rsidRPr="00877434">
        <w:rPr>
          <w:rFonts w:ascii="Times New Roman" w:hAnsi="Times New Roman" w:cs="Times New Roman"/>
          <w:sz w:val="24"/>
          <w:szCs w:val="24"/>
          <w:highlight w:val="yellow"/>
        </w:rPr>
        <w:t xml:space="preserve">, and mining between </w:t>
      </w:r>
      <w:r w:rsidR="00877434" w:rsidRPr="00877434">
        <w:rPr>
          <w:rFonts w:ascii="Times New Roman" w:hAnsi="Times New Roman" w:cs="Times New Roman"/>
          <w:sz w:val="24"/>
          <w:szCs w:val="24"/>
          <w:highlight w:val="yellow"/>
        </w:rPr>
        <w:t>the year it was</w:t>
      </w:r>
      <w:r w:rsidR="00877434">
        <w:rPr>
          <w:rFonts w:ascii="Times New Roman" w:hAnsi="Times New Roman" w:cs="Times New Roman"/>
          <w:sz w:val="24"/>
          <w:szCs w:val="24"/>
          <w:highlight w:val="yellow"/>
        </w:rPr>
        <w:t xml:space="preserve"> </w:t>
      </w:r>
      <w:r w:rsidR="00877434" w:rsidRPr="00877434">
        <w:rPr>
          <w:rFonts w:ascii="Times New Roman" w:hAnsi="Times New Roman" w:cs="Times New Roman"/>
          <w:sz w:val="24"/>
          <w:szCs w:val="24"/>
          <w:highlight w:val="yellow"/>
        </w:rPr>
        <w:t>mapped</w:t>
      </w:r>
      <w:r w:rsidR="00877434">
        <w:rPr>
          <w:rFonts w:ascii="Times New Roman" w:hAnsi="Times New Roman" w:cs="Times New Roman"/>
          <w:sz w:val="24"/>
          <w:szCs w:val="24"/>
          <w:highlight w:val="yellow"/>
        </w:rPr>
        <w:t xml:space="preserve"> by the biological survey and the most recent assessment in 2</w:t>
      </w:r>
      <w:r w:rsidR="009A4862" w:rsidRPr="00877434">
        <w:rPr>
          <w:rFonts w:ascii="Times New Roman" w:hAnsi="Times New Roman" w:cs="Times New Roman"/>
          <w:sz w:val="24"/>
          <w:szCs w:val="24"/>
          <w:highlight w:val="yellow"/>
        </w:rPr>
        <w:t>017</w:t>
      </w:r>
      <w:r w:rsidR="00877434" w:rsidRPr="00877434">
        <w:rPr>
          <w:rFonts w:ascii="Times New Roman" w:hAnsi="Times New Roman" w:cs="Times New Roman"/>
          <w:sz w:val="24"/>
          <w:szCs w:val="24"/>
          <w:highlight w:val="yellow"/>
        </w:rPr>
        <w:t xml:space="preserve"> (XX)</w:t>
      </w:r>
      <w:r w:rsidR="009A4862" w:rsidRPr="00877434">
        <w:rPr>
          <w:rFonts w:ascii="Times New Roman" w:hAnsi="Times New Roman" w:cs="Times New Roman"/>
          <w:sz w:val="24"/>
          <w:szCs w:val="24"/>
          <w:highlight w:val="yellow"/>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Of the 309 ha of oak savanna that has been documented as converted or destroyed since the counties were originally mapped by MBS</w:t>
      </w:r>
      <w:bookmarkStart w:id="0" w:name="_GoBack"/>
      <w:bookmarkEnd w:id="0"/>
      <w:r w:rsidR="00C60953">
        <w:rPr>
          <w:rFonts w:ascii="Times New Roman" w:hAnsi="Times New Roman" w:cs="Times New Roman"/>
          <w:sz w:val="24"/>
          <w:szCs w:val="24"/>
        </w:rPr>
        <w:t xml:space="preserve">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w:t>
      </w:r>
      <w:r w:rsidR="00766B9A" w:rsidRPr="00C966A8">
        <w:rPr>
          <w:rFonts w:ascii="Times New Roman" w:hAnsi="Times New Roman" w:cs="Times New Roman"/>
          <w:sz w:val="24"/>
          <w:szCs w:val="24"/>
        </w:rPr>
        <w:lastRenderedPageBreak/>
        <w:t xml:space="preserve">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w:t>
      </w:r>
      <w:r w:rsidR="00A86056">
        <w:rPr>
          <w:rFonts w:ascii="Times New Roman" w:hAnsi="Times New Roman" w:cs="Times New Roman"/>
          <w:bCs/>
          <w:sz w:val="24"/>
          <w:szCs w:val="24"/>
        </w:rPr>
        <w:lastRenderedPageBreak/>
        <w:t xml:space="preserve">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(XX add martin and </w:t>
      </w:r>
      <w:proofErr w:type="spellStart"/>
      <w:r w:rsidR="00D741EF">
        <w:rPr>
          <w:rFonts w:ascii="Times New Roman" w:hAnsi="Times New Roman" w:cs="Times New Roman"/>
          <w:bCs/>
          <w:sz w:val="24"/>
          <w:szCs w:val="24"/>
        </w:rPr>
        <w:t>parrish</w:t>
      </w:r>
      <w:proofErr w:type="spellEnd"/>
      <w:r w:rsidR="00453680">
        <w:rPr>
          <w:rFonts w:ascii="Times New Roman" w:hAnsi="Times New Roman" w:cs="Times New Roman"/>
          <w:bCs/>
          <w:sz w:val="24"/>
          <w:szCs w:val="24"/>
        </w:rPr>
        <w:t xml:space="preserve"> and other data from </w:t>
      </w:r>
      <w:proofErr w:type="spellStart"/>
      <w:r w:rsidR="00453680">
        <w:rPr>
          <w:rFonts w:ascii="Times New Roman" w:hAnsi="Times New Roman" w:cs="Times New Roman"/>
          <w:bCs/>
          <w:sz w:val="24"/>
          <w:szCs w:val="24"/>
        </w:rPr>
        <w:t>cornell</w:t>
      </w:r>
      <w:proofErr w:type="spellEnd"/>
      <w:r w:rsidR="00453680">
        <w:rPr>
          <w:rFonts w:ascii="Times New Roman" w:hAnsi="Times New Roman" w:cs="Times New Roman"/>
          <w:bCs/>
          <w:sz w:val="24"/>
          <w:szCs w:val="24"/>
        </w:rPr>
        <w:t xml:space="preserve"> All about birds</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B666CF">
        <w:rPr>
          <w:rFonts w:ascii="Times New Roman" w:hAnsi="Times New Roman" w:cs="Times New Roman"/>
          <w:bCs/>
          <w:sz w:val="24"/>
          <w:szCs w:val="24"/>
        </w:rPr>
        <w:instrText xml:space="preserve"> ADDIN ZOTERO_ITEM CSL_CITATION {"citationID":"5zHavMgw","properties":{"formattedCitation":"(Pfannmuller et al. 2017)","plainCitation":"(Pfannmuller et al. 2017)","noteIndex":0},"citationItems":[{"id":300,"uris":["http://zotero.org/users/3700149/items/SELSQNDW"],"uri":["http://zotero.org/users/3700149/items/SELSQNDW"],"itemData":{"id":300,"type":"article","title":"Pfannmuller,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B666CF" w:rsidRPr="00B666CF">
        <w:rPr>
          <w:rFonts w:ascii="Times New Roman" w:hAnsi="Times New Roman" w:cs="Times New Roman"/>
          <w:sz w:val="24"/>
        </w:rPr>
        <w:t>(Pfannmuller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lastRenderedPageBreak/>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w:t>
      </w:r>
      <w:r w:rsidR="0012118B" w:rsidRPr="00C966A8">
        <w:rPr>
          <w:rFonts w:ascii="Times New Roman" w:hAnsi="Times New Roman" w:cs="Times New Roman"/>
          <w:sz w:val="24"/>
          <w:szCs w:val="24"/>
        </w:rPr>
        <w:lastRenderedPageBreak/>
        <w:t>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estoration beginning in 2014,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w:t>
      </w:r>
      <w:r w:rsidR="00191A3E">
        <w:rPr>
          <w:rFonts w:ascii="Times New Roman" w:hAnsi="Times New Roman" w:cs="Times New Roman"/>
          <w:sz w:val="24"/>
          <w:szCs w:val="24"/>
        </w:rPr>
        <w:lastRenderedPageBreak/>
        <w:t>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323408">
        <w:rPr>
          <w:rFonts w:ascii="Times New Roman" w:hAnsi="Times New Roman" w:cs="Times New Roman"/>
          <w:bCs/>
          <w:sz w:val="24"/>
          <w:szCs w:val="24"/>
        </w:rPr>
        <w:t xml:space="preserve"> (XX </w:t>
      </w:r>
      <w:proofErr w:type="spellStart"/>
      <w:r w:rsidR="00323408">
        <w:rPr>
          <w:rFonts w:ascii="Times New Roman" w:hAnsi="Times New Roman" w:cs="Times New Roman"/>
          <w:bCs/>
          <w:sz w:val="24"/>
          <w:szCs w:val="24"/>
        </w:rPr>
        <w:t>Hutto</w:t>
      </w:r>
      <w:proofErr w:type="spellEnd"/>
      <w:r w:rsidR="0032340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w:t>
      </w:r>
      <w:r w:rsidR="002B3A2B" w:rsidRPr="00C966A8">
        <w:rPr>
          <w:rFonts w:ascii="Times New Roman" w:hAnsi="Times New Roman" w:cs="Times New Roman"/>
          <w:sz w:val="24"/>
          <w:szCs w:val="24"/>
        </w:rPr>
        <w:lastRenderedPageBreak/>
        <w:t xml:space="preserve">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w:t>
      </w:r>
      <w:r w:rsidR="005F3336" w:rsidRPr="00C966A8">
        <w:rPr>
          <w:rFonts w:ascii="Times New Roman" w:hAnsi="Times New Roman" w:cs="Times New Roman"/>
          <w:sz w:val="24"/>
          <w:szCs w:val="24"/>
        </w:rPr>
        <w:lastRenderedPageBreak/>
        <w:t xml:space="preserve">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would be affected by Julian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w:t>
      </w:r>
      <w:r w:rsidRPr="00C966A8">
        <w:rPr>
          <w:rFonts w:ascii="Times New Roman" w:hAnsi="Times New Roman" w:cs="Times New Roman"/>
          <w:bCs/>
          <w:sz w:val="24"/>
          <w:szCs w:val="24"/>
        </w:rPr>
        <w:lastRenderedPageBreak/>
        <w:t xml:space="preserve">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affected by Julian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detection would be affected by Julian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proofErr w:type="spellStart"/>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w:t>
      </w:r>
      <w:proofErr w:type="spellEnd"/>
      <w:r w:rsidR="009977AF" w:rsidRPr="009977AF">
        <w:rPr>
          <w:rFonts w:ascii="Times New Roman" w:hAnsi="Times New Roman" w:cs="Times New Roman"/>
          <w:sz w:val="24"/>
        </w:rPr>
        <w:t xml:space="preserv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xml:space="preserve">. Although </w:t>
      </w:r>
      <w:r w:rsidR="00F03388">
        <w:rPr>
          <w:rFonts w:ascii="Times New Roman" w:hAnsi="Times New Roman" w:cs="Times New Roman"/>
          <w:sz w:val="24"/>
          <w:szCs w:val="24"/>
        </w:rPr>
        <w:lastRenderedPageBreak/>
        <w:t>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w:t>
      </w:r>
      <w:r w:rsidR="00FA0C4F">
        <w:rPr>
          <w:rFonts w:ascii="Times New Roman" w:hAnsi="Times New Roman" w:cs="Times New Roman"/>
          <w:sz w:val="24"/>
          <w:szCs w:val="24"/>
        </w:rPr>
        <w:lastRenderedPageBreak/>
        <w:t xml:space="preserve">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C60953"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C60953"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C60953"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C60953"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C60953"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C60953"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C60953"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C60953"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w:t>
      </w:r>
      <w:r w:rsidR="00320962">
        <w:rPr>
          <w:rFonts w:ascii="Times New Roman" w:hAnsi="Times New Roman" w:cs="Times New Roman"/>
          <w:sz w:val="24"/>
          <w:szCs w:val="24"/>
        </w:rPr>
        <w:lastRenderedPageBreak/>
        <w:t xml:space="preserve">step, we estimated initial abundance using either Poisson, negative binomial, or zero-inflated 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 xml:space="preserve">Finally, we considered a priori habitat variables hypothesized to affect abundance by modeling one habitat covariate at a time (XX </w:t>
      </w:r>
      <w:proofErr w:type="spellStart"/>
      <w:r w:rsidR="007B17D6">
        <w:rPr>
          <w:rFonts w:ascii="Times New Roman" w:hAnsi="Times New Roman" w:cs="Times New Roman"/>
          <w:sz w:val="24"/>
          <w:szCs w:val="24"/>
        </w:rPr>
        <w:t>Fondell</w:t>
      </w:r>
      <w:proofErr w:type="spellEnd"/>
      <w:r w:rsidR="007B17D6">
        <w:rPr>
          <w:rFonts w:ascii="Times New Roman" w:hAnsi="Times New Roman" w:cs="Times New Roman"/>
          <w:sz w:val="24"/>
          <w:szCs w:val="24"/>
        </w:rPr>
        <w:t xml:space="preserve"> 2008),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xml:space="preserve">) was a function of whether the plot was occupied </w:t>
      </w:r>
      <w:r w:rsidR="00186A94" w:rsidRPr="00186A94">
        <w:rPr>
          <w:rFonts w:ascii="Times New Roman" w:hAnsi="Times New Roman" w:cs="Times New Roman"/>
          <w:sz w:val="24"/>
          <w:szCs w:val="24"/>
        </w:rPr>
        <w:lastRenderedPageBreak/>
        <w:t>(</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C60953"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C60953"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C60953"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C60953"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C60953"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C60953"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proofErr w:type="gramStart"/>
      <w:r w:rsidRPr="00186A94">
        <w:rPr>
          <w:rFonts w:ascii="Times New Roman" w:hAnsi="Times New Roman" w:cs="Times New Roman"/>
          <w:sz w:val="24"/>
          <w:szCs w:val="24"/>
        </w:rPr>
        <w:t>where</w:t>
      </w:r>
      <w:proofErr w:type="gramEnd"/>
      <w:r w:rsidRPr="00186A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that we identified during preliminary analyses using R package unmarked (XX cite Fiske and Chandler).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C60953"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C60953"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C60953"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C60953"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C60953"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C60953"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In plots where they were observed, mean counts were 1.43 +/- 0.14 SE individuals. 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w:t>
      </w:r>
      <w:r w:rsidR="003F1EA6">
        <w:rPr>
          <w:rFonts w:ascii="Times New Roman" w:hAnsi="Times New Roman" w:cs="Times New Roman"/>
          <w:sz w:val="24"/>
          <w:szCs w:val="24"/>
        </w:rPr>
        <w:lastRenderedPageBreak/>
        <w:t xml:space="preserve">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In plots where they were observed, mean counts were 1.51 +/- 0.05 SE individuals.</w:t>
      </w:r>
      <w:r w:rsidR="006C19EE">
        <w:rPr>
          <w:rFonts w:ascii="Times New Roman" w:hAnsi="Times New Roman" w:cs="Times New Roman"/>
          <w:sz w:val="24"/>
          <w:szCs w:val="24"/>
        </w:rPr>
        <w:t xml:space="preserve"> 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Leonard’s skippers were observed in ten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Mean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0.975</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R-hat</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Occupancy</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-0.69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-2.08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5.78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1.02</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11.11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24.60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103.90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1.42</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Disturbance</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-3.79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1.27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-6.49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-1.40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proofErr w:type="spellStart"/>
            <w:r w:rsidRPr="001442AB">
              <w:rPr>
                <w:rFonts w:ascii="Times New Roman" w:eastAsia="Times New Roman" w:hAnsi="Times New Roman" w:cs="Times New Roman"/>
                <w:color w:val="000000"/>
                <w:sz w:val="18"/>
                <w:szCs w:val="18"/>
              </w:rPr>
              <w:t>Liatris</w:t>
            </w:r>
            <w:proofErr w:type="spellEnd"/>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0.92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0.76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-0.37</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2.55</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1.05</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1.61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0.88</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4.02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1.16</w:t>
            </w:r>
          </w:p>
        </w:tc>
      </w:tr>
      <w:tr w:rsidR="001442AB" w:rsidRPr="001442AB" w:rsidTr="001442AB">
        <w:trPr>
          <w:trHeight w:val="300"/>
        </w:trPr>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 </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0.20</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3.29</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1.01</w:t>
            </w:r>
          </w:p>
        </w:tc>
      </w:tr>
      <w:tr w:rsidR="001442AB" w:rsidRPr="001442AB" w:rsidTr="001442AB">
        <w:trPr>
          <w:trHeight w:val="300"/>
        </w:trPr>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52.31</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61.84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3.96</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248.74</w:t>
            </w:r>
          </w:p>
        </w:tc>
        <w:tc>
          <w:tcPr>
            <w:tcW w:w="1260" w:type="dxa"/>
            <w:tcBorders>
              <w:top w:val="nil"/>
              <w:left w:val="nil"/>
              <w:bottom w:val="nil"/>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1.33</w:t>
            </w:r>
          </w:p>
        </w:tc>
      </w:tr>
      <w:tr w:rsidR="001442AB" w:rsidRPr="001442AB" w:rsidTr="001442AB">
        <w:trPr>
          <w:trHeight w:val="300"/>
        </w:trPr>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0.03</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0.09</w:t>
            </w:r>
          </w:p>
        </w:tc>
        <w:tc>
          <w:tcPr>
            <w:tcW w:w="1260" w:type="dxa"/>
            <w:tcBorders>
              <w:top w:val="nil"/>
              <w:left w:val="nil"/>
              <w:bottom w:val="single" w:sz="4" w:space="0" w:color="auto"/>
              <w:right w:val="nil"/>
            </w:tcBorders>
            <w:shd w:val="clear" w:color="auto" w:fill="auto"/>
            <w:noWrap/>
            <w:vAlign w:val="bottom"/>
            <w:hideMark/>
          </w:tcPr>
          <w:p w:rsidR="001442AB" w:rsidRPr="001442AB" w:rsidRDefault="001442AB" w:rsidP="001442AB">
            <w:pPr>
              <w:spacing w:after="0" w:line="240" w:lineRule="auto"/>
              <w:jc w:val="center"/>
              <w:rPr>
                <w:rFonts w:ascii="Times New Roman" w:eastAsia="Times New Roman" w:hAnsi="Times New Roman" w:cs="Times New Roman"/>
                <w:color w:val="000000"/>
                <w:sz w:val="18"/>
                <w:szCs w:val="18"/>
              </w:rPr>
            </w:pPr>
            <w:r w:rsidRPr="001442AB">
              <w:rPr>
                <w:rFonts w:ascii="Times New Roman" w:eastAsia="Times New Roman" w:hAnsi="Times New Roman" w:cs="Times New Roman"/>
                <w:color w:val="000000"/>
                <w:sz w:val="18"/>
                <w:szCs w:val="18"/>
              </w:rPr>
              <w:t>1.08</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EE5782">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AB4ADE">
        <w:trPr>
          <w:trHeight w:val="288"/>
        </w:trPr>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AB4ADE">
        <w:trPr>
          <w:trHeight w:val="288"/>
        </w:trPr>
        <w:tc>
          <w:tcPr>
            <w:tcW w:w="0" w:type="auto"/>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DB00F2">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560" w:type="dxa"/>
        <w:tblLook w:val="04A0" w:firstRow="1" w:lastRow="0" w:firstColumn="1" w:lastColumn="0" w:noHBand="0" w:noVBand="1"/>
      </w:tblPr>
      <w:tblGrid>
        <w:gridCol w:w="1260"/>
        <w:gridCol w:w="1260"/>
        <w:gridCol w:w="1260"/>
        <w:gridCol w:w="1260"/>
        <w:gridCol w:w="1260"/>
        <w:gridCol w:w="1260"/>
      </w:tblGrid>
      <w:tr w:rsidR="00442AFF" w:rsidRPr="00442AFF" w:rsidTr="00442AFF">
        <w:trPr>
          <w:trHeight w:val="300"/>
        </w:trPr>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Mean</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proofErr w:type="spellStart"/>
            <w:r w:rsidRPr="00442AFF">
              <w:rPr>
                <w:rFonts w:ascii="Times New Roman" w:eastAsia="Times New Roman" w:hAnsi="Times New Roman" w:cs="Times New Roman"/>
                <w:color w:val="000000"/>
                <w:sz w:val="18"/>
                <w:szCs w:val="18"/>
              </w:rPr>
              <w:t>sd</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0.975</w:t>
            </w:r>
          </w:p>
        </w:tc>
        <w:tc>
          <w:tcPr>
            <w:tcW w:w="1260" w:type="dxa"/>
            <w:tcBorders>
              <w:top w:val="single" w:sz="4" w:space="0" w:color="auto"/>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R-hat</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Occupancy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0.49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Abundance</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lastRenderedPageBreak/>
              <w:t>Intercept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11.17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42.45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1.22</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Elevation CV</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0.67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Canopy</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1.46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Random Effect</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2.04</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0.29</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1.56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2.73</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1.09</w:t>
            </w:r>
          </w:p>
        </w:tc>
      </w:tr>
      <w:tr w:rsidR="00442AFF" w:rsidRPr="00442AFF" w:rsidTr="00442AFF">
        <w:trPr>
          <w:trHeight w:val="300"/>
        </w:trPr>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b/>
                <w:color w:val="000000"/>
                <w:sz w:val="18"/>
                <w:szCs w:val="18"/>
              </w:rPr>
            </w:pPr>
            <w:r w:rsidRPr="00442AFF">
              <w:rPr>
                <w:rFonts w:ascii="Times New Roman" w:eastAsia="Times New Roman" w:hAnsi="Times New Roman" w:cs="Times New Roman"/>
                <w:b/>
                <w:color w:val="000000"/>
                <w:sz w:val="18"/>
                <w:szCs w:val="18"/>
              </w:rPr>
              <w:t>Detection</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c>
          <w:tcPr>
            <w:tcW w:w="1260" w:type="dxa"/>
            <w:tcBorders>
              <w:top w:val="single" w:sz="4" w:space="0" w:color="auto"/>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 </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alpha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0.57</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0.11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0.38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1.00</w:t>
            </w:r>
          </w:p>
        </w:tc>
      </w:tr>
      <w:tr w:rsidR="00442AFF" w:rsidRPr="00442AFF" w:rsidTr="00442AFF">
        <w:trPr>
          <w:trHeight w:val="300"/>
        </w:trPr>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beta</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50.82</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40.26</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8.88</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179.91</w:t>
            </w:r>
          </w:p>
        </w:tc>
        <w:tc>
          <w:tcPr>
            <w:tcW w:w="1260" w:type="dxa"/>
            <w:tcBorders>
              <w:top w:val="nil"/>
              <w:left w:val="nil"/>
              <w:bottom w:val="nil"/>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1.28</w:t>
            </w:r>
          </w:p>
        </w:tc>
      </w:tr>
      <w:tr w:rsidR="00442AFF" w:rsidRPr="00442AFF" w:rsidTr="00442AFF">
        <w:trPr>
          <w:trHeight w:val="300"/>
        </w:trPr>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p(derived)</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0.02</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0.01</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0.00</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0.05</w:t>
            </w:r>
          </w:p>
        </w:tc>
        <w:tc>
          <w:tcPr>
            <w:tcW w:w="1260" w:type="dxa"/>
            <w:tcBorders>
              <w:top w:val="nil"/>
              <w:left w:val="nil"/>
              <w:bottom w:val="single" w:sz="4" w:space="0" w:color="auto"/>
              <w:right w:val="nil"/>
            </w:tcBorders>
            <w:shd w:val="clear" w:color="auto" w:fill="auto"/>
            <w:noWrap/>
            <w:vAlign w:val="bottom"/>
            <w:hideMark/>
          </w:tcPr>
          <w:p w:rsidR="00442AFF" w:rsidRPr="00442AFF" w:rsidRDefault="00442AFF" w:rsidP="00442AFF">
            <w:pPr>
              <w:spacing w:after="0" w:line="240" w:lineRule="auto"/>
              <w:jc w:val="center"/>
              <w:rPr>
                <w:rFonts w:ascii="Times New Roman" w:eastAsia="Times New Roman" w:hAnsi="Times New Roman" w:cs="Times New Roman"/>
                <w:color w:val="000000"/>
                <w:sz w:val="18"/>
                <w:szCs w:val="18"/>
              </w:rPr>
            </w:pPr>
            <w:r w:rsidRPr="00442AFF">
              <w:rPr>
                <w:rFonts w:ascii="Times New Roman" w:eastAsia="Times New Roman" w:hAnsi="Times New Roman" w:cs="Times New Roman"/>
                <w:color w:val="000000"/>
                <w:sz w:val="18"/>
                <w:szCs w:val="18"/>
              </w:rPr>
              <w:t>1.32</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1C2100">
        <w:rPr>
          <w:rFonts w:ascii="Times New Roman" w:hAnsi="Times New Roman" w:cs="Times New Roman"/>
          <w:bCs/>
          <w:sz w:val="24"/>
          <w:szCs w:val="24"/>
        </w:rPr>
        <w:t>total</w:t>
      </w:r>
      <w:r w:rsidR="004E3BD9">
        <w:rPr>
          <w:rFonts w:ascii="Times New Roman" w:hAnsi="Times New Roman" w:cs="Times New Roman"/>
          <w:bCs/>
          <w:sz w:val="24"/>
          <w:szCs w:val="24"/>
        </w:rPr>
        <w:t xml:space="preserve"> absence of detection evens during replicate surveys</w:t>
      </w:r>
      <w:r w:rsidR="001C2100">
        <w:rPr>
          <w:rFonts w:ascii="Times New Roman" w:hAnsi="Times New Roman" w:cs="Times New Roman"/>
          <w:bCs/>
          <w:sz w:val="24"/>
          <w:szCs w:val="24"/>
        </w:rPr>
        <w:t xml:space="preserve"> intervals within the same </w:t>
      </w:r>
      <w:r w:rsidR="001C2100">
        <w:rPr>
          <w:rFonts w:ascii="Times New Roman" w:hAnsi="Times New Roman" w:cs="Times New Roman"/>
          <w:bCs/>
          <w:sz w:val="24"/>
          <w:szCs w:val="24"/>
        </w:rPr>
        <w:lastRenderedPageBreak/>
        <w:t>survey</w:t>
      </w:r>
      <w:r w:rsidR="004E3BD9">
        <w:rPr>
          <w:rFonts w:ascii="Times New Roman" w:hAnsi="Times New Roman" w:cs="Times New Roman"/>
          <w:bCs/>
          <w:sz w:val="24"/>
          <w:szCs w:val="24"/>
        </w:rPr>
        <w:t>, d</w:t>
      </w:r>
      <w:r w:rsidR="00E81529">
        <w:rPr>
          <w:rFonts w:ascii="Times New Roman" w:hAnsi="Times New Roman" w:cs="Times New Roman"/>
          <w:bCs/>
          <w:sz w:val="24"/>
          <w:szCs w:val="24"/>
        </w:rPr>
        <w:t>ata for both species of snakes was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Yacht et al. 2016, Davis et al. 2001,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1C2100">
        <w:rPr>
          <w:rFonts w:ascii="Times New Roman" w:hAnsi="Times New Roman" w:cs="Times New Roman"/>
          <w:bCs/>
          <w:sz w:val="24"/>
          <w:szCs w:val="24"/>
        </w:rPr>
        <w:t xml:space="preserve"> (XX </w:t>
      </w:r>
      <w:proofErr w:type="spellStart"/>
      <w:r w:rsidR="001C2100">
        <w:rPr>
          <w:rFonts w:ascii="Times New Roman" w:hAnsi="Times New Roman" w:cs="Times New Roman"/>
          <w:bCs/>
          <w:sz w:val="24"/>
          <w:szCs w:val="24"/>
        </w:rPr>
        <w:t>Swengel</w:t>
      </w:r>
      <w:proofErr w:type="spellEnd"/>
      <w:r w:rsidR="001C2100">
        <w:rPr>
          <w:rFonts w:ascii="Times New Roman" w:hAnsi="Times New Roman" w:cs="Times New Roman"/>
          <w:bCs/>
          <w:sz w:val="24"/>
          <w:szCs w:val="24"/>
        </w:rPr>
        <w:t>??)</w:t>
      </w:r>
      <w:r w:rsidRPr="00A96F49">
        <w:rPr>
          <w:rFonts w:ascii="Times New Roman" w:hAnsi="Times New Roman" w:cs="Times New Roman"/>
          <w:bCs/>
          <w:sz w:val="24"/>
          <w:szCs w:val="24"/>
        </w:rPr>
        <w:t xml:space="preserve">.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w:t>
      </w:r>
      <w:r w:rsidRPr="00A96F49">
        <w:rPr>
          <w:rFonts w:ascii="Times New Roman" w:hAnsi="Times New Roman" w:cs="Times New Roman"/>
          <w:bCs/>
          <w:sz w:val="24"/>
          <w:szCs w:val="24"/>
        </w:rPr>
        <w:lastRenderedPageBreak/>
        <w:t xml:space="preserve">habitat (i.e., understories with 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2B95"/>
    <w:rsid w:val="003661F5"/>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D7A78"/>
    <w:rsid w:val="004E22D3"/>
    <w:rsid w:val="004E315D"/>
    <w:rsid w:val="004E3BD9"/>
    <w:rsid w:val="004E6D6C"/>
    <w:rsid w:val="004F08FD"/>
    <w:rsid w:val="004F1174"/>
    <w:rsid w:val="004F17EB"/>
    <w:rsid w:val="004F1DBF"/>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3EEE"/>
    <w:rsid w:val="0071688F"/>
    <w:rsid w:val="00716A81"/>
    <w:rsid w:val="00716E3F"/>
    <w:rsid w:val="007212C5"/>
    <w:rsid w:val="00726C90"/>
    <w:rsid w:val="00732171"/>
    <w:rsid w:val="00732FD0"/>
    <w:rsid w:val="007341DD"/>
    <w:rsid w:val="00737789"/>
    <w:rsid w:val="0074174E"/>
    <w:rsid w:val="007444B5"/>
    <w:rsid w:val="00746A8A"/>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4807"/>
    <w:rsid w:val="00DB00F2"/>
    <w:rsid w:val="00DB1013"/>
    <w:rsid w:val="00DB554B"/>
    <w:rsid w:val="00DB607C"/>
    <w:rsid w:val="00DC3E7F"/>
    <w:rsid w:val="00DC55CA"/>
    <w:rsid w:val="00DC7714"/>
    <w:rsid w:val="00DC78C3"/>
    <w:rsid w:val="00DD2708"/>
    <w:rsid w:val="00DE02D7"/>
    <w:rsid w:val="00DE1B4C"/>
    <w:rsid w:val="00DE4235"/>
    <w:rsid w:val="00DF26BB"/>
    <w:rsid w:val="00DF5340"/>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D274E-35FC-4EDE-8A8D-BB3C284A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4751</TotalTime>
  <Pages>37</Pages>
  <Words>16843</Words>
  <Characters>96008</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Edwards</cp:lastModifiedBy>
  <cp:revision>346</cp:revision>
  <dcterms:created xsi:type="dcterms:W3CDTF">2018-10-07T19:17:00Z</dcterms:created>
  <dcterms:modified xsi:type="dcterms:W3CDTF">2018-11-06T07:17:00Z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id="rQqbHO3o"/&gt;&lt;style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