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w:t>
      </w:r>
      <w:r w:rsidR="00F44673">
        <w:rPr>
          <w:rFonts w:ascii="Times New Roman" w:hAnsi="Times New Roman" w:cs="Times New Roman"/>
          <w:sz w:val="24"/>
          <w:szCs w:val="24"/>
        </w:rPr>
        <w:lastRenderedPageBreak/>
        <w:t>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 xml:space="preserve">XX citation needed? </w:t>
      </w:r>
      <w:proofErr w:type="spellStart"/>
      <w:r w:rsidR="00321590">
        <w:rPr>
          <w:rFonts w:ascii="Times New Roman" w:hAnsi="Times New Roman" w:cs="Times New Roman"/>
          <w:sz w:val="24"/>
          <w:szCs w:val="24"/>
        </w:rPr>
        <w:t>Royle</w:t>
      </w:r>
      <w:proofErr w:type="spellEnd"/>
      <w:r w:rsidR="00321590">
        <w:rPr>
          <w:rFonts w:ascii="Times New Roman" w:hAnsi="Times New Roman" w:cs="Times New Roman"/>
          <w:sz w:val="24"/>
          <w:szCs w:val="24"/>
        </w:rPr>
        <w:t>, DM, of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sidRPr="00321590">
        <w:rPr>
          <w:rFonts w:ascii="Times New Roman" w:hAnsi="Times New Roman" w:cs="Times New Roman"/>
          <w:strike/>
          <w:sz w:val="24"/>
          <w:szCs w:val="24"/>
        </w:rPr>
        <w:t xml:space="preserve">We chose to not analyze snake occurrence or abundance </w:t>
      </w:r>
      <w:r w:rsidR="00DB554B" w:rsidRPr="00321590">
        <w:rPr>
          <w:rFonts w:ascii="Times New Roman" w:hAnsi="Times New Roman" w:cs="Times New Roman"/>
          <w:strike/>
          <w:sz w:val="24"/>
          <w:szCs w:val="24"/>
        </w:rPr>
        <w:t xml:space="preserve">because of a lack of </w:t>
      </w:r>
      <w:r w:rsidR="002B326C" w:rsidRPr="00321590">
        <w:rPr>
          <w:rFonts w:ascii="Times New Roman" w:hAnsi="Times New Roman" w:cs="Times New Roman"/>
          <w:strike/>
          <w:sz w:val="24"/>
          <w:szCs w:val="24"/>
        </w:rPr>
        <w:t xml:space="preserve">observations. Both </w:t>
      </w:r>
      <w:r w:rsidR="002B326C" w:rsidRPr="00321590">
        <w:rPr>
          <w:rFonts w:ascii="Times New Roman" w:hAnsi="Times New Roman" w:cs="Times New Roman"/>
          <w:bCs/>
          <w:i/>
          <w:strike/>
          <w:sz w:val="24"/>
          <w:szCs w:val="24"/>
        </w:rPr>
        <w:t xml:space="preserve">H. </w:t>
      </w:r>
      <w:proofErr w:type="spellStart"/>
      <w:r w:rsidR="002B326C" w:rsidRPr="00321590">
        <w:rPr>
          <w:rFonts w:ascii="Times New Roman" w:hAnsi="Times New Roman" w:cs="Times New Roman"/>
          <w:bCs/>
          <w:i/>
          <w:strike/>
          <w:sz w:val="24"/>
          <w:szCs w:val="24"/>
        </w:rPr>
        <w:t>nasicus</w:t>
      </w:r>
      <w:proofErr w:type="spellEnd"/>
      <w:r w:rsidR="002B326C" w:rsidRPr="00321590">
        <w:rPr>
          <w:rFonts w:ascii="Times New Roman" w:hAnsi="Times New Roman" w:cs="Times New Roman"/>
          <w:bCs/>
          <w:strike/>
          <w:sz w:val="24"/>
          <w:szCs w:val="24"/>
        </w:rPr>
        <w:t xml:space="preserve"> and </w:t>
      </w:r>
      <w:r w:rsidR="002B326C" w:rsidRPr="00321590">
        <w:rPr>
          <w:rFonts w:ascii="Times New Roman" w:hAnsi="Times New Roman" w:cs="Times New Roman"/>
          <w:bCs/>
          <w:i/>
          <w:strike/>
          <w:sz w:val="24"/>
          <w:szCs w:val="24"/>
        </w:rPr>
        <w:t xml:space="preserve">P. </w:t>
      </w:r>
      <w:proofErr w:type="spellStart"/>
      <w:r w:rsidR="002B326C" w:rsidRPr="00321590">
        <w:rPr>
          <w:rFonts w:ascii="Times New Roman" w:hAnsi="Times New Roman" w:cs="Times New Roman"/>
          <w:bCs/>
          <w:i/>
          <w:strike/>
          <w:sz w:val="24"/>
          <w:szCs w:val="24"/>
        </w:rPr>
        <w:t>catenifer</w:t>
      </w:r>
      <w:proofErr w:type="spellEnd"/>
      <w:r w:rsidR="002B326C" w:rsidRPr="00321590">
        <w:rPr>
          <w:rFonts w:ascii="Times New Roman" w:hAnsi="Times New Roman" w:cs="Times New Roman"/>
          <w:bCs/>
          <w:i/>
          <w:strike/>
          <w:sz w:val="24"/>
          <w:szCs w:val="24"/>
        </w:rPr>
        <w:t xml:space="preserve"> </w:t>
      </w:r>
      <w:r w:rsidR="002B326C" w:rsidRPr="00321590">
        <w:rPr>
          <w:rFonts w:ascii="Times New Roman" w:hAnsi="Times New Roman" w:cs="Times New Roman"/>
          <w:bCs/>
          <w:strike/>
          <w:sz w:val="24"/>
          <w:szCs w:val="24"/>
        </w:rPr>
        <w:t>are omitted from further discussion, unless specifically mentioned</w:t>
      </w:r>
      <w:r w:rsidRPr="00321590">
        <w:rPr>
          <w:rFonts w:ascii="Times New Roman" w:hAnsi="Times New Roman" w:cs="Times New Roman"/>
          <w:bCs/>
          <w:strike/>
          <w:sz w:val="24"/>
          <w:szCs w:val="24"/>
        </w:rPr>
        <w:t xml:space="preserve">. </w:t>
      </w:r>
      <w:proofErr w:type="spellStart"/>
      <w:r w:rsidR="00250ADE" w:rsidRPr="00321590">
        <w:rPr>
          <w:rFonts w:ascii="Times New Roman" w:hAnsi="Times New Roman" w:cs="Times New Roman"/>
          <w:strike/>
          <w:sz w:val="24"/>
          <w:szCs w:val="24"/>
        </w:rPr>
        <w:t>Gophersnakes</w:t>
      </w:r>
      <w:proofErr w:type="spellEnd"/>
      <w:r w:rsidR="00250ADE" w:rsidRPr="00321590">
        <w:rPr>
          <w:rFonts w:ascii="Times New Roman" w:hAnsi="Times New Roman" w:cs="Times New Roman"/>
          <w:strike/>
          <w:sz w:val="24"/>
          <w:szCs w:val="24"/>
        </w:rPr>
        <w:t xml:space="preserve"> were encountered: 2014; </w:t>
      </w:r>
      <w:r w:rsidR="00250ADE" w:rsidRPr="00321590">
        <w:rPr>
          <w:rFonts w:ascii="Times New Roman" w:hAnsi="Times New Roman" w:cs="Times New Roman"/>
          <w:bCs/>
          <w:strike/>
          <w:sz w:val="24"/>
          <w:szCs w:val="24"/>
        </w:rPr>
        <w:t xml:space="preserve">1 plot </w:t>
      </w:r>
      <w:r w:rsidR="00250ADE" w:rsidRPr="00321590">
        <w:rPr>
          <w:rFonts w:ascii="Times New Roman" w:hAnsi="Times New Roman" w:cs="Times New Roman"/>
          <w:bCs/>
          <w:strike/>
          <w:sz w:val="24"/>
          <w:szCs w:val="24"/>
        </w:rPr>
        <w:lastRenderedPageBreak/>
        <w:t>with encounter, no re-detections. Total observed (N=1), 2015; 7 plots with encounters, no re-detections. Total observed (N=8), 2016; 8 plots with encounters, no re-detections. Total observed (N=8). Plains hog-nosed snakes were encountered: 2014; 3 plots with encounters, no re-detections. Total observed (N=4), 2015; 0 plots with encounters, 2016; 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(XX Cut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proofErr w:type="gram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m:t>
          </m:r>
          <w:proofErr w:type="spellStart"/>
          <m:r>
            <m:rPr>
              <m:nor/>
            </m:rPr>
            <w:rPr>
              <w:rFonts w:ascii="Cambria Math" w:hAnsi="Cambria Math" w:cs="Times New Roman"/>
              <w:sz w:val="24"/>
              <w:szCs w:val="24"/>
            </w:rPr>
            <m:t>Pois</m:t>
          </m:r>
          <w:proofErr w:type="spellEn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w:t>
      </w:r>
      <w:proofErr w:type="gramStart"/>
      <w:r w:rsidRPr="00E269C1">
        <w:rPr>
          <w:rFonts w:ascii="Times New Roman" w:eastAsiaTheme="minorEastAsia" w:hAnsi="Times New Roman" w:cs="Times New Roman"/>
          <w:sz w:val="24"/>
          <w:szCs w:val="24"/>
        </w:rPr>
        <w:t>zeros).</w:t>
      </w:r>
      <w:proofErr w:type="gramEnd"/>
      <w:r w:rsidRPr="00E269C1">
        <w:rPr>
          <w:rFonts w:ascii="Times New Roman" w:eastAsiaTheme="minorEastAsia" w:hAnsi="Times New Roman" w:cs="Times New Roman"/>
          <w:sz w:val="24"/>
          <w:szCs w:val="24"/>
        </w:rPr>
        <w:t xml:space="preserve"> Plot-level mean abundance is modeled with log-linear regression of plot-level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proofErr w:type="spellEnd"/>
      <w:r w:rsidRPr="00E269C1">
        <w:rPr>
          <w:rFonts w:ascii="Times New Roman" w:eastAsiaTheme="minorEastAsia" w:hAnsi="Times New Roman" w:cs="Times New Roman"/>
          <w:sz w:val="24"/>
          <w:szCs w:val="24"/>
        </w:rPr>
        <w:t>) (e.g., habitat characteristics):</w:t>
      </w:r>
    </w:p>
    <w:p w:rsidR="00E269C1" w:rsidRPr="00E269C1" w:rsidRDefault="00E52E45"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proofErr w:type="spellStart"/>
      <w:proofErr w:type="gramStart"/>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proofErr w:type="spellEnd"/>
      <w:proofErr w:type="gramEnd"/>
      <w:r w:rsidRPr="00E269C1">
        <w:rPr>
          <w:rFonts w:ascii="Times New Roman" w:eastAsiaTheme="minorEastAsia" w:hAnsi="Times New Roman" w:cs="Times New Roman"/>
          <w:sz w:val="24"/>
          <w:szCs w:val="24"/>
        </w:rPr>
        <w:t>) and recruitment of new individuals into each plot (</w:t>
      </w:r>
      <w:proofErr w:type="spellStart"/>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w:t>
      </w:r>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proofErr w:type="spellEnd"/>
      <w:r w:rsidRPr="00E269C1">
        <w:rPr>
          <w:rFonts w:ascii="Times New Roman" w:eastAsiaTheme="minorEastAsia" w:hAnsi="Times New Roman" w:cs="Times New Roman"/>
          <w:sz w:val="24"/>
          <w:szCs w:val="24"/>
        </w:rPr>
        <w:t>, and the probability of detecting individuals (</w:t>
      </w:r>
      <w:proofErr w:type="spellStart"/>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which is assumed to be affected by survey-specific covariates (</w:t>
      </w:r>
      <w:proofErr w:type="spellStart"/>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 and which gives us our counts (</w:t>
      </w:r>
      <w:proofErr w:type="spellStart"/>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proofErr w:type="spellEnd"/>
      <w:r w:rsidRPr="00E269C1">
        <w:rPr>
          <w:rFonts w:ascii="Times New Roman" w:eastAsiaTheme="minorEastAsia" w:hAnsi="Times New Roman" w:cs="Times New Roman"/>
          <w:sz w:val="24"/>
          <w:szCs w:val="24"/>
        </w:rPr>
        <w:t>):</w:t>
      </w:r>
    </w:p>
    <w:p w:rsidR="00E269C1" w:rsidRPr="00E269C1" w:rsidRDefault="00E52E45"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used package unmarked (XX Fiske and Chandler 2011) in Program R (Cite XXX)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t>
      </w:r>
      <w:r w:rsidR="006B2B37">
        <w:rPr>
          <w:rFonts w:ascii="Times New Roman" w:hAnsi="Times New Roman" w:cs="Times New Roman"/>
          <w:sz w:val="24"/>
          <w:szCs w:val="24"/>
        </w:rPr>
        <w:lastRenderedPageBreak/>
        <w:t xml:space="preserve">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proofErr w:type="spellStart"/>
      <w:proofErr w:type="gram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proofErr w:type="gram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p>
    <w:p w:rsidR="00186A94" w:rsidRPr="00186A94" w:rsidRDefault="00E52E45"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E52E45"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E52E4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hAnsi="Times New Roman" w:cs="Times New Roman"/>
          <w:sz w:val="24"/>
          <w:szCs w:val="24"/>
        </w:rPr>
      </w:pPr>
    </w:p>
    <w:p w:rsidR="00186A94" w:rsidRPr="00186A94" w:rsidRDefault="00E52E45"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52E4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E52E45"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E52E4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52E45"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52E45"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52E45"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52E45"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xml:space="preserve">). The Bayesian model-based approach was implemented using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B25E21" w:rsidRPr="00B25E21">
        <w:rPr>
          <w:rFonts w:ascii="Times New Roman" w:hAnsi="Times New Roman" w:cs="Times New Roman"/>
          <w:sz w:val="20"/>
          <w:szCs w:val="20"/>
        </w:rPr>
        <w:t xml:space="preserve">XX. Eastern Towhee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bookmarkStart w:id="0" w:name="_GoBack"/>
      <w:bookmarkEnd w:id="0"/>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B17D8A" w:rsidRPr="00DB1013">
        <w:rPr>
          <w:rFonts w:ascii="Times New Roman" w:hAnsi="Times New Roman" w:cs="Times New Roman"/>
          <w:sz w:val="20"/>
          <w:szCs w:val="20"/>
        </w:rPr>
        <w:t xml:space="preserve">XX. Eastern Towhee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xml:space="preserve">, though </w:t>
      </w:r>
      <w:r w:rsidR="00CB79F9">
        <w:rPr>
          <w:rFonts w:ascii="Times New Roman" w:hAnsi="Times New Roman" w:cs="Times New Roman"/>
          <w:sz w:val="24"/>
          <w:szCs w:val="24"/>
        </w:rPr>
        <w:lastRenderedPageBreak/>
        <w:t>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manage habitat for the benefit of the native fauna as a whole. Although some of our target species’ responses to habitat were in direct conflict with one another, this was unsurprising given their individual life-histories. For example, within our study system lark sparrow and Leonard’s skipper had disparate associations with management disturbance (logging, burning, and grazing.) La</w:t>
      </w:r>
      <w:r w:rsidR="006B0BA9">
        <w:rPr>
          <w:rFonts w:ascii="Times New Roman" w:hAnsi="Times New Roman" w:cs="Times New Roman"/>
          <w:bCs/>
          <w:sz w:val="24"/>
          <w:szCs w:val="24"/>
        </w:rPr>
        <w:t>rk sparrow responded positively;</w:t>
      </w:r>
      <w:r w:rsidRPr="00A96F49">
        <w:rPr>
          <w:rFonts w:ascii="Times New Roman" w:hAnsi="Times New Roman" w:cs="Times New Roman"/>
          <w:bCs/>
          <w:sz w:val="24"/>
          <w:szCs w:val="24"/>
        </w:rPr>
        <w:t xml:space="preserve"> possibly because it is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 Although the benefits of fire and grazing as tools to restore and maintain prairie, savanna, and other upland habitats for native fauna are well-documented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(Bendel et al. 2018, Davis et al. 200,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1998). Burning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Bendel et al. 2018). On an invertebrate metapopulation level, balance between local establishment or re-establishment and local extinction has </w:t>
      </w:r>
      <w:proofErr w:type="gramStart"/>
      <w:r w:rsidRPr="00A96F49">
        <w:rPr>
          <w:rFonts w:ascii="Times New Roman" w:hAnsi="Times New Roman" w:cs="Times New Roman"/>
          <w:bCs/>
          <w:sz w:val="24"/>
          <w:szCs w:val="24"/>
        </w:rPr>
        <w:t>probably been</w:t>
      </w:r>
      <w:proofErr w:type="gramEnd"/>
      <w:r w:rsidRPr="00A96F49">
        <w:rPr>
          <w:rFonts w:ascii="Times New Roman" w:hAnsi="Times New Roman" w:cs="Times New Roman"/>
          <w:bCs/>
          <w:sz w:val="24"/>
          <w:szCs w:val="24"/>
        </w:rPr>
        <w:t xml:space="preserve"> 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proofErr w:type="spellStart"/>
      <w:r w:rsidRPr="00A96F49">
        <w:rPr>
          <w:rFonts w:ascii="Times New Roman" w:hAnsi="Times New Roman" w:cs="Times New Roman"/>
          <w:bCs/>
          <w:sz w:val="24"/>
          <w:szCs w:val="24"/>
        </w:rPr>
        <w:t>liatris</w:t>
      </w:r>
      <w:proofErr w:type="spellEnd"/>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Similarly, canopy cover was associated with abundance of our target species in different ways within the system. Lark sparrow abundance was negatively related to canopy cover, while Northern barrens tiger beetle abundance was positively related. Again, this is unsurprising given the natural history of each species and is one more example of the difficulty associated with managing habitat for multiple species. Manipulation of canopy cover can be relatively </w:t>
      </w:r>
      <w:r w:rsidRPr="00A96F49">
        <w:rPr>
          <w:rFonts w:ascii="Times New Roman" w:hAnsi="Times New Roman" w:cs="Times New Roman"/>
          <w:bCs/>
          <w:sz w:val="24"/>
          <w:szCs w:val="24"/>
        </w:rPr>
        <w:lastRenderedPageBreak/>
        <w:t xml:space="preserve">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w:t>
      </w:r>
      <w:r w:rsidRPr="00A96F49">
        <w:rPr>
          <w:rFonts w:ascii="Times New Roman" w:hAnsi="Times New Roman" w:cs="Times New Roman"/>
          <w:bCs/>
          <w:sz w:val="24"/>
          <w:szCs w:val="24"/>
        </w:rPr>
        <w:lastRenderedPageBreak/>
        <w:t>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such as the Leonard’s skipper, this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6183D"/>
    <w:rsid w:val="00182FEA"/>
    <w:rsid w:val="00186A94"/>
    <w:rsid w:val="001912D4"/>
    <w:rsid w:val="00191A3E"/>
    <w:rsid w:val="00193C65"/>
    <w:rsid w:val="0019529E"/>
    <w:rsid w:val="001A667E"/>
    <w:rsid w:val="001B14FB"/>
    <w:rsid w:val="001B6D64"/>
    <w:rsid w:val="001B7CEE"/>
    <w:rsid w:val="001C2D3F"/>
    <w:rsid w:val="001C7DE6"/>
    <w:rsid w:val="001C7F74"/>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55A3D"/>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34C6"/>
    <w:rsid w:val="00486C50"/>
    <w:rsid w:val="004875CE"/>
    <w:rsid w:val="00492140"/>
    <w:rsid w:val="00497B21"/>
    <w:rsid w:val="004B5B68"/>
    <w:rsid w:val="004D7A78"/>
    <w:rsid w:val="004F17EB"/>
    <w:rsid w:val="004F3B92"/>
    <w:rsid w:val="00501424"/>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247A"/>
    <w:rsid w:val="0062698A"/>
    <w:rsid w:val="0064511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803A2"/>
    <w:rsid w:val="00883463"/>
    <w:rsid w:val="0088613F"/>
    <w:rsid w:val="00892A6C"/>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50D19"/>
    <w:rsid w:val="00A634CE"/>
    <w:rsid w:val="00A67FEF"/>
    <w:rsid w:val="00A70E48"/>
    <w:rsid w:val="00A77E67"/>
    <w:rsid w:val="00A859CC"/>
    <w:rsid w:val="00A87D1F"/>
    <w:rsid w:val="00A9124F"/>
    <w:rsid w:val="00A96F49"/>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72B45"/>
    <w:rsid w:val="00B731B5"/>
    <w:rsid w:val="00B73514"/>
    <w:rsid w:val="00B745AE"/>
    <w:rsid w:val="00B747FC"/>
    <w:rsid w:val="00B749BC"/>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31906"/>
    <w:rsid w:val="00C32CBD"/>
    <w:rsid w:val="00C32E22"/>
    <w:rsid w:val="00C3694B"/>
    <w:rsid w:val="00C40047"/>
    <w:rsid w:val="00C51C22"/>
    <w:rsid w:val="00C54949"/>
    <w:rsid w:val="00C55E11"/>
    <w:rsid w:val="00C60D16"/>
    <w:rsid w:val="00C63817"/>
    <w:rsid w:val="00C659A5"/>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1013"/>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C2EE7"/>
    <w:rsid w:val="00ED47A0"/>
    <w:rsid w:val="00EF36D6"/>
    <w:rsid w:val="00EF656B"/>
    <w:rsid w:val="00F002BB"/>
    <w:rsid w:val="00F03388"/>
    <w:rsid w:val="00F06679"/>
    <w:rsid w:val="00F2093E"/>
    <w:rsid w:val="00F24403"/>
    <w:rsid w:val="00F27E1E"/>
    <w:rsid w:val="00F33CA4"/>
    <w:rsid w:val="00F42B5E"/>
    <w:rsid w:val="00F44673"/>
    <w:rsid w:val="00F47D57"/>
    <w:rsid w:val="00F5219E"/>
    <w:rsid w:val="00F67C2C"/>
    <w:rsid w:val="00F7282E"/>
    <w:rsid w:val="00F774E3"/>
    <w:rsid w:val="00F91DDD"/>
    <w:rsid w:val="00F95103"/>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214"/>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20</Pages>
  <Words>6848</Words>
  <Characters>39038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75</cp:revision>
  <dcterms:created xsi:type="dcterms:W3CDTF">2018-10-07T19:17:00Z</dcterms:created>
  <dcterms:modified xsi:type="dcterms:W3CDTF">2018-10-15T22:03:00Z</dcterms:modified>
</cp:coreProperties>
</file>