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69726A"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w:t>
      </w:r>
      <w:r w:rsidR="00732FD0">
        <w:rPr>
          <w:rFonts w:ascii="Times New Roman" w:hAnsi="Times New Roman" w:cs="Times New Roman"/>
          <w:sz w:val="24"/>
          <w:szCs w:val="24"/>
        </w:rPr>
        <w:t xml:space="preserve"> (Faber-</w:t>
      </w:r>
      <w:proofErr w:type="spellStart"/>
      <w:r w:rsidR="00732FD0">
        <w:rPr>
          <w:rFonts w:ascii="Times New Roman" w:hAnsi="Times New Roman" w:cs="Times New Roman"/>
          <w:sz w:val="24"/>
          <w:szCs w:val="24"/>
        </w:rPr>
        <w:t>Langendoen</w:t>
      </w:r>
      <w:proofErr w:type="spellEnd"/>
      <w:r w:rsidR="000F3B9B">
        <w:rPr>
          <w:rFonts w:ascii="Times New Roman" w:hAnsi="Times New Roman" w:cs="Times New Roman"/>
          <w:sz w:val="24"/>
          <w:szCs w:val="24"/>
        </w:rPr>
        <w:t>, 2001)</w:t>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w:t>
      </w:r>
      <w:r w:rsidR="00732FD0">
        <w:rPr>
          <w:rFonts w:ascii="Times New Roman" w:hAnsi="Times New Roman" w:cs="Times New Roman"/>
          <w:sz w:val="24"/>
          <w:szCs w:val="24"/>
        </w:rPr>
        <w:t>, McPherson 1997</w:t>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w:t>
      </w:r>
      <w:r w:rsidRPr="00C966A8">
        <w:rPr>
          <w:rFonts w:ascii="Times New Roman" w:hAnsi="Times New Roman" w:cs="Times New Roman"/>
          <w:sz w:val="24"/>
          <w:szCs w:val="24"/>
        </w:rPr>
        <w:lastRenderedPageBreak/>
        <w:t xml:space="preserve">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 xml:space="preserve">Though mostly flat, the </w:t>
      </w:r>
      <w:r w:rsidR="00E1310F">
        <w:rPr>
          <w:rFonts w:ascii="Times New Roman" w:hAnsi="Times New Roman" w:cs="Times New Roman"/>
          <w:sz w:val="24"/>
          <w:szCs w:val="24"/>
        </w:rPr>
        <w:t xml:space="preserve">Anoka Sand Plain </w:t>
      </w:r>
      <w:r w:rsidR="007A2CF9" w:rsidRPr="00C966A8">
        <w:rPr>
          <w:rFonts w:ascii="Times New Roman" w:hAnsi="Times New Roman" w:cs="Times New Roman"/>
          <w:sz w:val="24"/>
          <w:szCs w:val="24"/>
        </w:rPr>
        <w:t>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00E1310F">
        <w:rPr>
          <w:rFonts w:ascii="Times New Roman" w:hAnsi="Times New Roman" w:cs="Times New Roman"/>
          <w:sz w:val="24"/>
          <w:szCs w:val="24"/>
        </w:rPr>
        <w:t>.) The Anoka Sand Plain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but urban development is occurring at a rapid rate. As of 2006,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w:t>
      </w:r>
      <w:r w:rsidR="003F7A8A">
        <w:rPr>
          <w:rFonts w:ascii="Times New Roman" w:hAnsi="Times New Roman" w:cs="Times New Roman"/>
          <w:sz w:val="24"/>
          <w:szCs w:val="24"/>
        </w:rPr>
        <w:lastRenderedPageBreak/>
        <w:t>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8D05FA"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cy and abundance patterns of Anoka Sand Plain</w:t>
      </w:r>
      <w:r w:rsidR="005C3573" w:rsidRPr="00C966A8">
        <w:rPr>
          <w:rFonts w:ascii="Times New Roman" w:hAnsi="Times New Roman" w:cs="Times New Roman"/>
          <w:bCs/>
          <w:sz w:val="24"/>
          <w:szCs w:val="24"/>
        </w:rPr>
        <w:t xml:space="preserve"> 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permanently manage for rare plant and animal species and the unique habitats on which they 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 xml:space="preserve">2013 OP) </w:t>
      </w:r>
      <w:r w:rsidR="00152F05" w:rsidRPr="008D05FA">
        <w:rPr>
          <w:rFonts w:ascii="Times New Roman" w:hAnsi="Times New Roman" w:cs="Times New Roman"/>
          <w:bCs/>
          <w:sz w:val="24"/>
          <w:szCs w:val="24"/>
        </w:rPr>
        <w:t>This</w:t>
      </w:r>
      <w:r w:rsidR="00A859CC"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00A859CC" w:rsidRPr="008D05FA">
        <w:rPr>
          <w:rFonts w:ascii="Times New Roman" w:hAnsi="Times New Roman" w:cs="Times New Roman"/>
          <w:bCs/>
          <w:sz w:val="24"/>
          <w:szCs w:val="24"/>
        </w:rPr>
        <w:t xml:space="preserve"> to function in conjunction with th</w:t>
      </w:r>
      <w:r w:rsidR="00E1310F">
        <w:rPr>
          <w:rFonts w:ascii="Times New Roman" w:hAnsi="Times New Roman" w:cs="Times New Roman"/>
          <w:bCs/>
          <w:sz w:val="24"/>
          <w:szCs w:val="24"/>
        </w:rPr>
        <w:t>e 2013 operational plan for Sand Dunes</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00A859CC"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00A859CC" w:rsidRPr="008D05FA">
        <w:rPr>
          <w:rFonts w:ascii="Times New Roman" w:hAnsi="Times New Roman" w:cs="Times New Roman"/>
          <w:bCs/>
          <w:sz w:val="24"/>
          <w:szCs w:val="24"/>
        </w:rPr>
        <w:t>inform a process of ongoing management des</w:t>
      </w:r>
      <w:r w:rsidR="00E1310F">
        <w:rPr>
          <w:rFonts w:ascii="Times New Roman" w:hAnsi="Times New Roman" w:cs="Times New Roman"/>
          <w:bCs/>
          <w:sz w:val="24"/>
          <w:szCs w:val="24"/>
        </w:rPr>
        <w:t>igned to protect and restore Anoka Sand Plain</w:t>
      </w:r>
      <w:r w:rsidR="00A859CC" w:rsidRPr="008D05FA">
        <w:rPr>
          <w:rFonts w:ascii="Times New Roman" w:hAnsi="Times New Roman" w:cs="Times New Roman"/>
          <w:bCs/>
          <w:sz w:val="24"/>
          <w:szCs w:val="24"/>
        </w:rPr>
        <w:t xml:space="preserve"> habitats for rare native species, s</w:t>
      </w:r>
      <w:r>
        <w:rPr>
          <w:rFonts w:ascii="Times New Roman" w:hAnsi="Times New Roman" w:cs="Times New Roman"/>
          <w:bCs/>
          <w:sz w:val="24"/>
          <w:szCs w:val="24"/>
        </w:rPr>
        <w:t>pecifically MN Species in Greatest Conservation Need</w:t>
      </w:r>
      <w:r w:rsidR="00A859CC" w:rsidRPr="008D05FA">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00E1310F">
        <w:rPr>
          <w:rFonts w:ascii="Times New Roman" w:hAnsi="Times New Roman" w:cs="Times New Roman"/>
          <w:bCs/>
          <w:sz w:val="24"/>
          <w:szCs w:val="24"/>
        </w:rPr>
        <w:t>auna within the Anoka Sand Plain</w:t>
      </w:r>
      <w:r w:rsidRPr="008D05FA">
        <w:rPr>
          <w:rFonts w:ascii="Times New Roman" w:hAnsi="Times New Roman" w:cs="Times New Roman"/>
          <w:bCs/>
          <w:sz w:val="24"/>
          <w:szCs w:val="24"/>
        </w:rPr>
        <w:t>.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 xml:space="preserve">habitat specialists likely to provide sufficient sample sizes to </w:t>
      </w:r>
      <w:r w:rsidR="00A859CC" w:rsidRPr="00C966A8">
        <w:rPr>
          <w:rFonts w:ascii="Times New Roman" w:hAnsi="Times New Roman" w:cs="Times New Roman"/>
          <w:bCs/>
          <w:sz w:val="24"/>
          <w:szCs w:val="24"/>
        </w:rPr>
        <w:lastRenderedPageBreak/>
        <w:t>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xml:space="preserve">). 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9F19B2"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w:t>
      </w:r>
      <w:r w:rsidR="00E1310F">
        <w:rPr>
          <w:rFonts w:ascii="Times New Roman" w:hAnsi="Times New Roman" w:cs="Times New Roman"/>
          <w:bCs/>
          <w:sz w:val="24"/>
          <w:szCs w:val="24"/>
        </w:rPr>
        <w:t>anopy cover of less than 25</w:t>
      </w:r>
      <w:r w:rsidR="00C116C2"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xml:space="preserve">, although no studies have </w:t>
      </w:r>
      <w:r w:rsidR="00204E91" w:rsidRPr="00C966A8">
        <w:rPr>
          <w:rFonts w:ascii="Times New Roman" w:hAnsi="Times New Roman" w:cs="Times New Roman"/>
          <w:bCs/>
          <w:sz w:val="24"/>
          <w:szCs w:val="24"/>
        </w:rPr>
        <w:lastRenderedPageBreak/>
        <w:t>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p>
    <w:p w:rsidR="00012519" w:rsidRDefault="00012519"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AC68A5" w:rsidRDefault="00AC68A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sidR="00E1310F">
        <w:rPr>
          <w:rFonts w:ascii="Times New Roman" w:hAnsi="Times New Roman" w:cs="Times New Roman"/>
          <w:bCs/>
          <w:sz w:val="24"/>
          <w:szCs w:val="24"/>
        </w:rPr>
        <w:t>sed snake</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r w:rsidR="00E1310F">
        <w:rPr>
          <w:rFonts w:ascii="Times New Roman" w:hAnsi="Times New Roman" w:cs="Times New Roman"/>
          <w:bCs/>
          <w:sz w:val="24"/>
          <w:szCs w:val="24"/>
        </w:rPr>
        <w:t>They overwinter</w:t>
      </w:r>
      <w:r w:rsidRPr="00C966A8">
        <w:rPr>
          <w:rFonts w:ascii="Times New Roman" w:hAnsi="Times New Roman" w:cs="Times New Roman"/>
          <w:bCs/>
          <w:sz w:val="24"/>
          <w:szCs w:val="24"/>
        </w:rPr>
        <w:t xml:space="preserve">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9F19B2" w:rsidRDefault="00E1310F"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sidR="005C0F72">
        <w:rPr>
          <w:rFonts w:ascii="Times New Roman" w:hAnsi="Times New Roman" w:cs="Times New Roman"/>
          <w:bCs/>
          <w:sz w:val="24"/>
          <w:szCs w:val="24"/>
        </w:rPr>
        <w:t xml:space="preserve"> </w:t>
      </w:r>
      <w:r w:rsidR="00AC68A5"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AC68A5"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t>
      </w:r>
    </w:p>
    <w:p w:rsidR="009F19B2"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 xml:space="preserve">spp.) during previous studies within the </w:t>
      </w:r>
      <w:r w:rsidR="009F19B2">
        <w:rPr>
          <w:rFonts w:ascii="Times New Roman" w:hAnsi="Times New Roman" w:cs="Times New Roman"/>
          <w:bCs/>
          <w:sz w:val="24"/>
          <w:szCs w:val="24"/>
        </w:rPr>
        <w:t>Anoka Sand Plain</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t>
      </w:r>
    </w:p>
    <w:p w:rsidR="00027F33" w:rsidRPr="00C966A8" w:rsidRDefault="00036B39"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w:t>
      </w:r>
      <w:r w:rsidR="00026EF5" w:rsidRPr="00C966A8">
        <w:rPr>
          <w:rFonts w:ascii="Times New Roman" w:hAnsi="Times New Roman" w:cs="Times New Roman"/>
          <w:bCs/>
          <w:sz w:val="24"/>
          <w:szCs w:val="24"/>
        </w:rPr>
        <w:lastRenderedPageBreak/>
        <w:t xml:space="preserve">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E75EE6">
        <w:rPr>
          <w:rFonts w:ascii="Times New Roman" w:hAnsi="Times New Roman" w:cs="Times New Roman"/>
          <w:bCs/>
          <w:sz w:val="24"/>
          <w:szCs w:val="24"/>
        </w:rPr>
        <w:t xml:space="preserve"> (Christopher Smith, pers. communication)</w:t>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t>
      </w:r>
    </w:p>
    <w:p w:rsidR="00D55512" w:rsidRPr="00C966A8" w:rsidRDefault="00D55512"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Th</w:t>
      </w:r>
      <w:r w:rsidR="001B5153">
        <w:rPr>
          <w:rFonts w:ascii="Times New Roman" w:hAnsi="Times New Roman" w:cs="Times New Roman"/>
          <w:bCs/>
          <w:sz w:val="24"/>
          <w:szCs w:val="24"/>
        </w:rPr>
        <w:t>e main objective of our</w:t>
      </w:r>
      <w:r w:rsidR="00B36A28">
        <w:rPr>
          <w:rFonts w:ascii="Times New Roman" w:hAnsi="Times New Roman" w:cs="Times New Roman"/>
          <w:bCs/>
          <w:sz w:val="24"/>
          <w:szCs w:val="24"/>
        </w:rPr>
        <w:t xml:space="preserve"> study wa</w:t>
      </w:r>
      <w:r>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mixed oak savanna, oak </w:t>
      </w:r>
      <w:r w:rsidRPr="00C966A8">
        <w:rPr>
          <w:rFonts w:ascii="Times New Roman" w:hAnsi="Times New Roman" w:cs="Times New Roman"/>
          <w:sz w:val="24"/>
          <w:szCs w:val="24"/>
        </w:rPr>
        <w:lastRenderedPageBreak/>
        <w:t>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w:t>
      </w:r>
      <w:r>
        <w:rPr>
          <w:rFonts w:ascii="Times New Roman" w:hAnsi="Times New Roman" w:cs="Times New Roman"/>
          <w:bCs/>
          <w:sz w:val="24"/>
          <w:szCs w:val="24"/>
        </w:rPr>
        <w:lastRenderedPageBreak/>
        <w:t xml:space="preserve">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proofErr w:type="spellStart"/>
      <w:r w:rsidR="008D05FA">
        <w:rPr>
          <w:rFonts w:ascii="Times New Roman" w:hAnsi="Times New Roman" w:cs="Times New Roman"/>
          <w:sz w:val="24"/>
          <w:szCs w:val="24"/>
        </w:rPr>
        <w:t>Royle</w:t>
      </w:r>
      <w:proofErr w:type="spellEnd"/>
      <w:r w:rsidR="001B5153">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w:t>
      </w:r>
      <w:r w:rsidR="00595ED1" w:rsidRPr="00C966A8">
        <w:rPr>
          <w:rFonts w:ascii="Times New Roman" w:hAnsi="Times New Roman" w:cs="Times New Roman"/>
          <w:sz w:val="24"/>
          <w:szCs w:val="24"/>
        </w:rPr>
        <w:lastRenderedPageBreak/>
        <w:t>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D71E12">
        <w:rPr>
          <w:rFonts w:ascii="Times New Roman" w:hAnsi="Times New Roman" w:cs="Times New Roman"/>
          <w:sz w:val="24"/>
          <w:szCs w:val="24"/>
        </w:rPr>
        <w:t xml:space="preserve">at three to five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 xml:space="preserve">subplots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Habitat covariates were measured at </w:t>
      </w:r>
      <w:r w:rsidR="004F60AF">
        <w:rPr>
          <w:rFonts w:ascii="Times New Roman" w:hAnsi="Times New Roman" w:cs="Times New Roman"/>
          <w:sz w:val="24"/>
          <w:szCs w:val="24"/>
        </w:rPr>
        <w:t>different</w:t>
      </w:r>
      <w:r w:rsidRPr="00C966A8">
        <w:rPr>
          <w:rFonts w:ascii="Times New Roman" w:hAnsi="Times New Roman" w:cs="Times New Roman"/>
          <w:sz w:val="24"/>
          <w:szCs w:val="24"/>
        </w:rPr>
        <w:t xml:space="preserve">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Open oaks were defined by spreading, symmetrical and well-dev</w:t>
      </w:r>
      <w:r w:rsidR="000A4F34">
        <w:rPr>
          <w:rFonts w:ascii="Times New Roman" w:hAnsi="Times New Roman" w:cs="Times New Roman"/>
          <w:sz w:val="24"/>
          <w:szCs w:val="24"/>
        </w:rPr>
        <w:t>eloped canopies that had</w:t>
      </w:r>
      <w:r w:rsidR="004D7A78" w:rsidRPr="00C966A8">
        <w:rPr>
          <w:rFonts w:ascii="Times New Roman" w:hAnsi="Times New Roman" w:cs="Times New Roman"/>
          <w:sz w:val="24"/>
          <w:szCs w:val="24"/>
        </w:rPr>
        <w:t xml:space="preserve"> grown without the </w:t>
      </w:r>
      <w:r w:rsidR="000A4F34">
        <w:rPr>
          <w:rFonts w:ascii="Times New Roman" w:hAnsi="Times New Roman" w:cs="Times New Roman"/>
          <w:sz w:val="24"/>
          <w:szCs w:val="24"/>
        </w:rPr>
        <w:t xml:space="preserve">apparent </w:t>
      </w:r>
      <w:r w:rsidR="004D7A78" w:rsidRPr="00C966A8">
        <w:rPr>
          <w:rFonts w:ascii="Times New Roman" w:hAnsi="Times New Roman" w:cs="Times New Roman"/>
          <w:sz w:val="24"/>
          <w:szCs w:val="24"/>
        </w:rPr>
        <w:t xml:space="preserve">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lastRenderedPageBreak/>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w:t>
      </w:r>
      <w:r w:rsidR="00B6304B">
        <w:rPr>
          <w:rFonts w:ascii="Times New Roman" w:hAnsi="Times New Roman" w:cs="Times New Roman"/>
          <w:sz w:val="24"/>
          <w:szCs w:val="24"/>
        </w:rPr>
        <w:t xml:space="preserve"> dynamics such as recruitment and survival</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w:t>
      </w:r>
      <w:r w:rsidR="00B6304B">
        <w:rPr>
          <w:rFonts w:ascii="Times New Roman" w:hAnsi="Times New Roman" w:cs="Times New Roman"/>
          <w:sz w:val="24"/>
          <w:szCs w:val="24"/>
        </w:rPr>
        <w:t>s explained by state variables).</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E01C54"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gramEnd"/>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F27D39">
      <w:pPr>
        <w:spacing w:line="48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E64C9B" w:rsidRDefault="007B0687" w:rsidP="00F27D39">
      <w:pPr>
        <w:spacing w:line="48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w:t>
      </w:r>
      <w:r w:rsidR="00676122">
        <w:rPr>
          <w:rFonts w:ascii="Times New Roman" w:hAnsi="Times New Roman" w:cs="Times New Roman"/>
          <w:sz w:val="24"/>
          <w:szCs w:val="24"/>
        </w:rPr>
        <w:lastRenderedPageBreak/>
        <w:t xml:space="preserve">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E01C54"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E01C54"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E01C54"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E01C54"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E01C54"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E01C5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E01C54"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E01C54"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E01C54"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F19B2" w:rsidRDefault="009F19B2" w:rsidP="00F27D39">
      <w:pPr>
        <w:spacing w:line="480" w:lineRule="auto"/>
        <w:rPr>
          <w:rFonts w:ascii="Times New Roman" w:hAnsi="Times New Roman" w:cs="Times New Roman"/>
          <w:sz w:val="24"/>
          <w:szCs w:val="24"/>
        </w:rPr>
      </w:pPr>
      <w:r>
        <w:rPr>
          <w:rFonts w:ascii="Times New Roman" w:hAnsi="Times New Roman" w:cs="Times New Roman"/>
          <w:sz w:val="24"/>
          <w:szCs w:val="24"/>
        </w:rPr>
        <w:t>Covariates</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Based on this information, we 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Thus, we hypothesized that </w:t>
      </w:r>
      <w:r>
        <w:rPr>
          <w:rFonts w:ascii="Times New Roman" w:hAnsi="Times New Roman" w:cs="Times New Roman"/>
          <w:bCs/>
          <w:sz w:val="24"/>
          <w:szCs w:val="24"/>
        </w:rPr>
        <w:t>e</w:t>
      </w:r>
      <w:r w:rsidRPr="00C966A8">
        <w:rPr>
          <w:rFonts w:ascii="Times New Roman" w:hAnsi="Times New Roman" w:cs="Times New Roman"/>
          <w:bCs/>
          <w:sz w:val="24"/>
          <w:szCs w:val="24"/>
        </w:rPr>
        <w:t>astern towhee abundance would be inversely related with canopy cover, but also positively related to management activities that retain open savanna conditions (e.g., burning, grazing, or forest management).</w:t>
      </w:r>
    </w:p>
    <w:p w:rsidR="009F19B2"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open sand, percent grass, number of gopher mounds, and canopy cover would most affect initial snake abundance, and that temperature at the start of the survey would most affect detection.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We hypothesized that 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blazing star abundance and negatively related to canopy cover, litter depth, and management disturbances. We hypothesized that detection would relate to survey date and wind speed. </w:t>
      </w:r>
    </w:p>
    <w:p w:rsidR="009F19B2" w:rsidRPr="00C966A8" w:rsidRDefault="009F19B2" w:rsidP="009F19B2">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We hypothesized that tiger beetle abundance would be positively related to terrain roughness and negatively related with canopy cover and litter depth</w:t>
      </w:r>
      <w:r>
        <w:rPr>
          <w:rFonts w:ascii="Times New Roman" w:hAnsi="Times New Roman" w:cs="Times New Roman"/>
          <w:bCs/>
          <w:sz w:val="24"/>
          <w:szCs w:val="24"/>
        </w:rPr>
        <w:t>.</w:t>
      </w:r>
    </w:p>
    <w:p w:rsidR="009F19B2" w:rsidRDefault="009F19B2"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F27D39">
            <w:pPr>
              <w:autoSpaceDE w:val="0"/>
              <w:autoSpaceDN w:val="0"/>
              <w:spacing w:line="48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F27D39">
            <w:pPr>
              <w:autoSpaceDE w:val="0"/>
              <w:autoSpaceDN w:val="0"/>
              <w:spacing w:line="48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F27D39">
            <w:pPr>
              <w:autoSpaceDE w:val="0"/>
              <w:autoSpaceDN w:val="0"/>
              <w:spacing w:line="48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F27D39">
            <w:pPr>
              <w:autoSpaceDE w:val="0"/>
              <w:autoSpaceDN w:val="0"/>
              <w:spacing w:line="48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F27D39">
            <w:pPr>
              <w:autoSpaceDE w:val="0"/>
              <w:autoSpaceDN w:val="0"/>
              <w:spacing w:line="48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F27D39">
            <w:pPr>
              <w:autoSpaceDE w:val="0"/>
              <w:autoSpaceDN w:val="0"/>
              <w:spacing w:line="48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F27D39">
            <w:pPr>
              <w:autoSpaceDE w:val="0"/>
              <w:autoSpaceDN w:val="0"/>
              <w:spacing w:line="48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F27D39">
            <w:pPr>
              <w:autoSpaceDE w:val="0"/>
              <w:autoSpaceDN w:val="0"/>
              <w:spacing w:line="48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F27D39">
            <w:pPr>
              <w:autoSpaceDE w:val="0"/>
              <w:autoSpaceDN w:val="0"/>
              <w:spacing w:line="48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F27D39">
            <w:pPr>
              <w:autoSpaceDE w:val="0"/>
              <w:autoSpaceDN w:val="0"/>
              <w:spacing w:line="48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-1.12</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-1.94,-0.31</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-1.98</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-2.34-1.62</w:t>
            </w:r>
            <w:r w:rsidRPr="00D92C51">
              <w:rPr>
                <w:rFonts w:ascii="Times New Roman" w:hAnsi="Times New Roman" w:cs="Times New Roman"/>
                <w:b/>
                <w:sz w:val="18"/>
                <w:szCs w:val="18"/>
              </w:rPr>
              <w:t>)</w:t>
            </w:r>
          </w:p>
        </w:tc>
        <w:tc>
          <w:tcPr>
            <w:tcW w:w="36" w:type="dxa"/>
            <w:tcBorders>
              <w:top w:val="single" w:sz="4" w:space="0" w:color="auto"/>
            </w:tcBorders>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-1.47</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-2.24,-0.70</w:t>
            </w:r>
            <w:r w:rsidRPr="00D92C51">
              <w:rPr>
                <w:rFonts w:ascii="Times New Roman" w:hAnsi="Times New Roman" w:cs="Times New Roman"/>
                <w:b/>
                <w:sz w:val="18"/>
                <w:szCs w:val="18"/>
              </w:rPr>
              <w:t>)</w:t>
            </w:r>
          </w:p>
        </w:tc>
        <w:tc>
          <w:tcPr>
            <w:tcW w:w="1269"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lastRenderedPageBreak/>
              <w:t>(</w:t>
            </w:r>
            <w:r w:rsidR="00526FC0">
              <w:rPr>
                <w:rFonts w:ascii="Times New Roman" w:hAnsi="Times New Roman" w:cs="Times New Roman"/>
                <w:sz w:val="18"/>
                <w:szCs w:val="18"/>
              </w:rPr>
              <w:t>-0.47,1.15</w:t>
            </w:r>
            <w:r w:rsidRPr="00526FC0">
              <w:rPr>
                <w:rFonts w:ascii="Times New Roman" w:hAnsi="Times New Roman" w:cs="Times New Roman"/>
                <w:sz w:val="18"/>
                <w:szCs w:val="18"/>
              </w:rPr>
              <w:t>)</w:t>
            </w:r>
          </w:p>
        </w:tc>
        <w:tc>
          <w:tcPr>
            <w:tcW w:w="990" w:type="dxa"/>
          </w:tcPr>
          <w:p w:rsidR="00B76BAA" w:rsidRPr="00D92C51" w:rsidRDefault="00526FC0"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-1.50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D92C51" w:rsidRDefault="00C80CE5"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-2.00</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526FC0" w:rsidRPr="00D92C51">
              <w:rPr>
                <w:rFonts w:ascii="Times New Roman" w:hAnsi="Times New Roman" w:cs="Times New Roman"/>
                <w:b/>
                <w:sz w:val="18"/>
                <w:szCs w:val="18"/>
              </w:rPr>
              <w:t>-2.36,-1.63</w:t>
            </w:r>
            <w:r w:rsidRPr="00D92C51">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D92C51" w:rsidRDefault="00874E54"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-1.48</w:t>
            </w:r>
          </w:p>
          <w:p w:rsidR="00B76BAA" w:rsidRPr="00D92C51" w:rsidRDefault="00B76BAA" w:rsidP="00F27D39">
            <w:pPr>
              <w:autoSpaceDE w:val="0"/>
              <w:autoSpaceDN w:val="0"/>
              <w:spacing w:line="480" w:lineRule="auto"/>
              <w:jc w:val="center"/>
              <w:rPr>
                <w:rFonts w:ascii="Times New Roman" w:hAnsi="Times New Roman" w:cs="Times New Roman"/>
                <w:b/>
                <w:sz w:val="18"/>
                <w:szCs w:val="18"/>
              </w:rPr>
            </w:pPr>
            <w:r w:rsidRPr="00D92C51">
              <w:rPr>
                <w:rFonts w:ascii="Times New Roman" w:hAnsi="Times New Roman" w:cs="Times New Roman"/>
                <w:b/>
                <w:sz w:val="18"/>
                <w:szCs w:val="18"/>
              </w:rPr>
              <w:lastRenderedPageBreak/>
              <w:t>(</w:t>
            </w:r>
            <w:r w:rsidR="00874E54" w:rsidRPr="00D92C51">
              <w:rPr>
                <w:rFonts w:ascii="Times New Roman" w:hAnsi="Times New Roman" w:cs="Times New Roman"/>
                <w:b/>
                <w:sz w:val="18"/>
                <w:szCs w:val="18"/>
              </w:rPr>
              <w:t>-2.26,-0.71</w:t>
            </w:r>
            <w:r w:rsidRPr="00D92C51">
              <w:rPr>
                <w:rFonts w:ascii="Times New Roman" w:hAnsi="Times New Roman" w:cs="Times New Roman"/>
                <w:b/>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-11.04</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lastRenderedPageBreak/>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lastRenderedPageBreak/>
              <w:t>216.62</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-0.06</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784E0B" w:rsidRDefault="00874E54"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-2.00</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-2.37,-1.63</w:t>
            </w:r>
            <w:r w:rsidRPr="00784E0B">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784E0B" w:rsidRDefault="00874E54"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874E5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784E0B" w:rsidRDefault="00266C7F"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C80CE5" w:rsidRPr="00784E0B">
              <w:rPr>
                <w:rFonts w:ascii="Times New Roman" w:hAnsi="Times New Roman" w:cs="Times New Roman"/>
                <w:b/>
                <w:sz w:val="18"/>
                <w:szCs w:val="18"/>
              </w:rPr>
              <w:t>2.00</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-2.36,-1.62</w:t>
            </w:r>
            <w:r w:rsidRPr="00784E0B">
              <w:rPr>
                <w:rFonts w:ascii="Times New Roman" w:hAnsi="Times New Roman" w:cs="Times New Roman"/>
                <w:b/>
                <w:sz w:val="18"/>
                <w:szCs w:val="18"/>
              </w:rPr>
              <w:t>)</w:t>
            </w:r>
          </w:p>
        </w:tc>
        <w:tc>
          <w:tcPr>
            <w:tcW w:w="36" w:type="dxa"/>
          </w:tcPr>
          <w:p w:rsidR="00B76BAA" w:rsidRPr="00526FC0" w:rsidRDefault="00B76BAA" w:rsidP="00F27D39">
            <w:pPr>
              <w:autoSpaceDE w:val="0"/>
              <w:autoSpaceDN w:val="0"/>
              <w:spacing w:line="480" w:lineRule="auto"/>
              <w:jc w:val="center"/>
              <w:rPr>
                <w:rFonts w:ascii="Times New Roman" w:hAnsi="Times New Roman" w:cs="Times New Roman"/>
                <w:sz w:val="18"/>
                <w:szCs w:val="18"/>
              </w:rPr>
            </w:pPr>
          </w:p>
        </w:tc>
        <w:tc>
          <w:tcPr>
            <w:tcW w:w="945" w:type="dxa"/>
          </w:tcPr>
          <w:p w:rsidR="00B76BAA" w:rsidRPr="00784E0B" w:rsidRDefault="00266C7F"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266C7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F27D39">
            <w:pPr>
              <w:autoSpaceDE w:val="0"/>
              <w:autoSpaceDN w:val="0"/>
              <w:spacing w:line="48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-1.98</w:t>
            </w:r>
          </w:p>
          <w:p w:rsidR="00C80CE5"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(-2.35,-1.61)</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-1.47</w:t>
            </w:r>
          </w:p>
          <w:p w:rsidR="00C80CE5" w:rsidRPr="00784E0B" w:rsidRDefault="00C80CE5"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(-2.25,-0.70)</w:t>
            </w:r>
          </w:p>
        </w:tc>
        <w:tc>
          <w:tcPr>
            <w:tcW w:w="1269" w:type="dxa"/>
          </w:tcPr>
          <w:p w:rsid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-0.92</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-1.99</w:t>
            </w:r>
          </w:p>
          <w:p w:rsidR="000F511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(-2.37,-1.62)</w:t>
            </w:r>
          </w:p>
        </w:tc>
        <w:tc>
          <w:tcPr>
            <w:tcW w:w="36"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Pr>
          <w:p w:rsidR="00526FC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0F5110" w:rsidRPr="00784E0B" w:rsidRDefault="000F5110"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(-2.25,-0.71)</w:t>
            </w:r>
          </w:p>
        </w:tc>
        <w:tc>
          <w:tcPr>
            <w:tcW w:w="1269" w:type="dxa"/>
          </w:tcPr>
          <w:p w:rsid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-0.62</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-2.01</w:t>
            </w:r>
          </w:p>
          <w:p w:rsidR="001E4AB7"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(-2.38,-1.64)</w:t>
            </w:r>
          </w:p>
        </w:tc>
        <w:tc>
          <w:tcPr>
            <w:tcW w:w="36"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526FC0"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-1.49</w:t>
            </w:r>
          </w:p>
          <w:p w:rsidR="001E4AB7" w:rsidRPr="00784E0B" w:rsidRDefault="001E4AB7" w:rsidP="00F27D39">
            <w:pPr>
              <w:autoSpaceDE w:val="0"/>
              <w:autoSpaceDN w:val="0"/>
              <w:spacing w:line="480" w:lineRule="auto"/>
              <w:jc w:val="center"/>
              <w:rPr>
                <w:rFonts w:ascii="Times New Roman" w:hAnsi="Times New Roman" w:cs="Times New Roman"/>
                <w:b/>
                <w:sz w:val="18"/>
                <w:szCs w:val="18"/>
              </w:rPr>
            </w:pPr>
            <w:r w:rsidRPr="00784E0B">
              <w:rPr>
                <w:rFonts w:ascii="Times New Roman" w:hAnsi="Times New Roman" w:cs="Times New Roman"/>
                <w:b/>
                <w:sz w:val="18"/>
                <w:szCs w:val="18"/>
              </w:rPr>
              <w:t>(-2.26,-0.71)</w:t>
            </w:r>
          </w:p>
        </w:tc>
        <w:tc>
          <w:tcPr>
            <w:tcW w:w="1269" w:type="dxa"/>
            <w:tcBorders>
              <w:bottom w:val="single" w:sz="4" w:space="0" w:color="auto"/>
            </w:tcBorders>
          </w:tcPr>
          <w:p w:rsid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F27D39">
            <w:pPr>
              <w:autoSpaceDE w:val="0"/>
              <w:autoSpaceDN w:val="0"/>
              <w:spacing w:line="48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F27D39">
            <w:pPr>
              <w:autoSpaceDE w:val="0"/>
              <w:autoSpaceDN w:val="0"/>
              <w:spacing w:line="48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F0597B" w:rsidRDefault="00CA67A6"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F0597B" w:rsidRDefault="00CA67A6"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F0597B" w:rsidRDefault="00FA2944"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203BE"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647720"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p w:rsidR="0044386F" w:rsidRPr="00647720"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Default="00D56991"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F0597B" w:rsidRDefault="00D56991"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lastRenderedPageBreak/>
              <w:t>Disturbance</w:t>
            </w:r>
          </w:p>
        </w:tc>
        <w:tc>
          <w:tcPr>
            <w:tcW w:w="990" w:type="dxa"/>
            <w:tcBorders>
              <w:bottom w:val="single" w:sz="4" w:space="0" w:color="auto"/>
            </w:tcBorders>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rsidR="0044386F" w:rsidRDefault="00DC55C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F0597B" w:rsidRDefault="00DC55CA"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F27D39">
            <w:pPr>
              <w:autoSpaceDE w:val="0"/>
              <w:autoSpaceDN w:val="0"/>
              <w:spacing w:line="48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rsidR="0044386F" w:rsidRDefault="0044386F" w:rsidP="00F27D39">
            <w:pPr>
              <w:autoSpaceDE w:val="0"/>
              <w:autoSpaceDN w:val="0"/>
              <w:spacing w:line="48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F27D39">
            <w:pPr>
              <w:autoSpaceDE w:val="0"/>
              <w:autoSpaceDN w:val="0"/>
              <w:spacing w:line="48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D543E0"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AC7BFD" w:rsidRPr="00B76BAA" w:rsidRDefault="00AC7BFD"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rsidR="00AC7BFD"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rsidR="00D543B0" w:rsidRPr="00B76BAA" w:rsidRDefault="00D543B0"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rsidR="00AC7BFD"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C22B52" w:rsidRPr="00B76BAA" w:rsidRDefault="00C22B52" w:rsidP="00F27D39">
            <w:pPr>
              <w:autoSpaceDE w:val="0"/>
              <w:autoSpaceDN w:val="0"/>
              <w:spacing w:line="48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rsidR="00AC7BFD" w:rsidRPr="00AC7BFD" w:rsidRDefault="00AC7BFD"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rsidR="003661F5" w:rsidRPr="00F41278" w:rsidRDefault="00275F4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rsidR="003661F5" w:rsidRPr="00F41278" w:rsidRDefault="000871D8"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F41278" w:rsidRDefault="00EB18B3"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1800" w:type="dxa"/>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F27D39">
            <w:pPr>
              <w:autoSpaceDE w:val="0"/>
              <w:autoSpaceDN w:val="0"/>
              <w:spacing w:line="48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F41278" w:rsidRDefault="00EB18B3" w:rsidP="00F27D39">
            <w:pPr>
              <w:autoSpaceDE w:val="0"/>
              <w:autoSpaceDN w:val="0"/>
              <w:spacing w:line="48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F27D39">
            <w:pPr>
              <w:autoSpaceDE w:val="0"/>
              <w:autoSpaceDN w:val="0"/>
              <w:spacing w:line="480" w:lineRule="auto"/>
              <w:jc w:val="center"/>
              <w:rPr>
                <w:rFonts w:ascii="Times New Roman" w:hAnsi="Times New Roman" w:cs="Times New Roman"/>
                <w:sz w:val="18"/>
                <w:szCs w:val="18"/>
              </w:rPr>
            </w:pPr>
          </w:p>
          <w:p w:rsidR="003661F5" w:rsidRPr="00647720" w:rsidRDefault="003661F5" w:rsidP="00F27D39">
            <w:pPr>
              <w:autoSpaceDE w:val="0"/>
              <w:autoSpaceDN w:val="0"/>
              <w:spacing w:line="48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F27D39">
            <w:pPr>
              <w:autoSpaceDE w:val="0"/>
              <w:autoSpaceDN w:val="0"/>
              <w:spacing w:line="48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F27D39">
            <w:pPr>
              <w:autoSpaceDE w:val="0"/>
              <w:autoSpaceDN w:val="0"/>
              <w:spacing w:line="48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1912D4" w:rsidP="00F27D39">
      <w:pPr>
        <w:autoSpaceDE w:val="0"/>
        <w:autoSpaceDN w:val="0"/>
        <w:spacing w:line="480" w:lineRule="auto"/>
        <w:outlineLvl w:val="0"/>
        <w:rPr>
          <w:rFonts w:ascii="Times New Roman" w:hAnsi="Times New Roman" w:cs="Times New Roman"/>
          <w:sz w:val="24"/>
          <w:szCs w:val="24"/>
        </w:rPr>
      </w:pP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 xml:space="preserve">Communities </w:t>
      </w:r>
      <w:proofErr w:type="gramStart"/>
      <w:r w:rsidRPr="00E01C54">
        <w:rPr>
          <w:rFonts w:ascii="Times New Roman" w:hAnsi="Times New Roman" w:cs="Times New Roman"/>
          <w:sz w:val="24"/>
          <w:szCs w:val="24"/>
        </w:rPr>
        <w:t>layer[</w:t>
      </w:r>
      <w:proofErr w:type="gramEnd"/>
      <w:r w:rsidRPr="00E01C54">
        <w:rPr>
          <w:rFonts w:ascii="Times New Roman" w:hAnsi="Times New Roman" w:cs="Times New Roman"/>
          <w:sz w:val="24"/>
          <w:szCs w:val="24"/>
        </w:rPr>
        <w:t xml:space="preserve">polygon geospatial data]. St. Paul, MN: Minnesota Biological Survey, Minnesota </w:t>
      </w:r>
      <w:bookmarkStart w:id="0" w:name="_GoBack"/>
      <w:bookmarkEnd w:id="0"/>
      <w:r w:rsidRPr="00E01C54">
        <w:rPr>
          <w:rFonts w:ascii="Times New Roman" w:hAnsi="Times New Roman" w:cs="Times New Roman"/>
          <w:sz w:val="24"/>
          <w:szCs w:val="24"/>
        </w:rPr>
        <w:t>Department of Natural Resources. “[February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E19BD"/>
    <w:rsid w:val="000E4049"/>
    <w:rsid w:val="000E7157"/>
    <w:rsid w:val="000F23FF"/>
    <w:rsid w:val="000F3B9B"/>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5153"/>
    <w:rsid w:val="001B6D64"/>
    <w:rsid w:val="001B7CEE"/>
    <w:rsid w:val="001C2D3F"/>
    <w:rsid w:val="001C4F14"/>
    <w:rsid w:val="001C7DE6"/>
    <w:rsid w:val="001C7F74"/>
    <w:rsid w:val="001D4B03"/>
    <w:rsid w:val="001E2531"/>
    <w:rsid w:val="001E4AB7"/>
    <w:rsid w:val="001F140F"/>
    <w:rsid w:val="00204E91"/>
    <w:rsid w:val="00204EEB"/>
    <w:rsid w:val="0021169B"/>
    <w:rsid w:val="0021261A"/>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E7EAC"/>
    <w:rsid w:val="00306D62"/>
    <w:rsid w:val="00310202"/>
    <w:rsid w:val="00321590"/>
    <w:rsid w:val="00325B77"/>
    <w:rsid w:val="003419C2"/>
    <w:rsid w:val="00346324"/>
    <w:rsid w:val="00355A3D"/>
    <w:rsid w:val="00357842"/>
    <w:rsid w:val="00362B95"/>
    <w:rsid w:val="003661F5"/>
    <w:rsid w:val="003720A4"/>
    <w:rsid w:val="00373ACB"/>
    <w:rsid w:val="00375AD5"/>
    <w:rsid w:val="00381769"/>
    <w:rsid w:val="00381A74"/>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C50"/>
    <w:rsid w:val="004875CE"/>
    <w:rsid w:val="00492140"/>
    <w:rsid w:val="00497B21"/>
    <w:rsid w:val="004B5B68"/>
    <w:rsid w:val="004D7A78"/>
    <w:rsid w:val="004F08FD"/>
    <w:rsid w:val="004F17EB"/>
    <w:rsid w:val="004F3B92"/>
    <w:rsid w:val="004F60AF"/>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A3EB9"/>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6E3F"/>
    <w:rsid w:val="00A87D1F"/>
    <w:rsid w:val="00A9124F"/>
    <w:rsid w:val="00A96F49"/>
    <w:rsid w:val="00AA39E4"/>
    <w:rsid w:val="00AA5ACA"/>
    <w:rsid w:val="00AB3E22"/>
    <w:rsid w:val="00AB6518"/>
    <w:rsid w:val="00AB723B"/>
    <w:rsid w:val="00AC6350"/>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7F8E"/>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1C54"/>
    <w:rsid w:val="00E02343"/>
    <w:rsid w:val="00E041FC"/>
    <w:rsid w:val="00E11614"/>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D39"/>
    <w:rsid w:val="00F27E1E"/>
    <w:rsid w:val="00F33CA4"/>
    <w:rsid w:val="00F41278"/>
    <w:rsid w:val="00F42B5E"/>
    <w:rsid w:val="00F44673"/>
    <w:rsid w:val="00F47D57"/>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32</Pages>
  <Words>8105</Words>
  <Characters>46203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54200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147</cp:revision>
  <dcterms:created xsi:type="dcterms:W3CDTF">2018-10-07T19:17:00Z</dcterms:created>
  <dcterms:modified xsi:type="dcterms:W3CDTF">2018-10-31T02:22:00Z</dcterms:modified>
</cp:coreProperties>
</file>