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Pr="006124EE"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 xml:space="preserve">collaboration with my academic advisor Dr. Todd Arnold and Dr. Althea </w:t>
      </w:r>
      <w:proofErr w:type="spellStart"/>
      <w:r w:rsidRPr="006124EE">
        <w:rPr>
          <w:rFonts w:ascii="Times New Roman" w:hAnsi="Times New Roman" w:cs="Times New Roman"/>
          <w:sz w:val="24"/>
          <w:szCs w:val="24"/>
        </w:rPr>
        <w:t>ArchMiller</w:t>
      </w:r>
      <w:proofErr w:type="spellEnd"/>
      <w:r w:rsidRPr="006124EE">
        <w:rPr>
          <w:rFonts w:ascii="Times New Roman" w:hAnsi="Times New Roman" w:cs="Times New Roman"/>
          <w:sz w:val="24"/>
          <w:szCs w:val="24"/>
        </w:rPr>
        <w:t>, both of whom will be co-authors on that publication. The use of plural pronouns throughout the thesis is reflective of this collaboration.</w:t>
      </w: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proofErr w:type="spellStart"/>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w:t>
      </w:r>
      <w:proofErr w:type="spellEnd"/>
      <w:r w:rsidR="009315EF">
        <w:rPr>
          <w:rFonts w:ascii="Times New Roman" w:hAnsi="Times New Roman" w:cs="Times New Roman"/>
          <w:bCs/>
          <w:sz w:val="24"/>
          <w:szCs w:val="24"/>
        </w:rPr>
        <w:t xml:space="preserve"> (</w:t>
      </w:r>
      <w:proofErr w:type="spellStart"/>
      <w:r w:rsidR="009315EF" w:rsidRPr="00C966A8">
        <w:rPr>
          <w:rFonts w:ascii="Times New Roman" w:hAnsi="Times New Roman" w:cs="Times New Roman"/>
          <w:bCs/>
          <w:i/>
          <w:sz w:val="24"/>
          <w:szCs w:val="24"/>
        </w:rPr>
        <w:t>Pituophis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catenifer</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proofErr w:type="spellStart"/>
      <w:r w:rsidR="009315EF" w:rsidRPr="00C966A8">
        <w:rPr>
          <w:rFonts w:ascii="Times New Roman" w:hAnsi="Times New Roman" w:cs="Times New Roman"/>
          <w:bCs/>
          <w:i/>
          <w:sz w:val="24"/>
          <w:szCs w:val="24"/>
        </w:rPr>
        <w:t>Heterodon</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nasicus</w:t>
      </w:r>
      <w:proofErr w:type="spellEnd"/>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proofErr w:type="spellStart"/>
      <w:r w:rsidR="009315EF" w:rsidRPr="00C966A8">
        <w:rPr>
          <w:rFonts w:ascii="Times New Roman" w:hAnsi="Times New Roman" w:cs="Times New Roman"/>
          <w:bCs/>
          <w:i/>
          <w:sz w:val="24"/>
          <w:szCs w:val="24"/>
        </w:rPr>
        <w:t>Pipilo</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erythrophthalmus</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Chondestes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grammacus</w:t>
      </w:r>
      <w:proofErr w:type="spellEnd"/>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abundance increased with management disturbance and declined with number of woody stems. </w:t>
      </w:r>
      <w:r w:rsidR="00025100">
        <w:rPr>
          <w:rFonts w:ascii="Times New Roman" w:hAnsi="Times New Roman" w:cs="Times New Roman"/>
          <w:bCs/>
          <w:sz w:val="24"/>
          <w:szCs w:val="24"/>
        </w:rPr>
        <w:lastRenderedPageBreak/>
        <w:t>Leonard’s skippers (</w:t>
      </w:r>
      <w:r w:rsidR="00025100" w:rsidRPr="00C966A8">
        <w:rPr>
          <w:rFonts w:ascii="Times New Roman" w:hAnsi="Times New Roman" w:cs="Times New Roman"/>
          <w:bCs/>
          <w:i/>
          <w:sz w:val="24"/>
          <w:szCs w:val="24"/>
        </w:rPr>
        <w:t xml:space="preserve">Hesperia </w:t>
      </w:r>
      <w:proofErr w:type="spellStart"/>
      <w:r w:rsidR="00025100" w:rsidRPr="00C966A8">
        <w:rPr>
          <w:rFonts w:ascii="Times New Roman" w:hAnsi="Times New Roman" w:cs="Times New Roman"/>
          <w:bCs/>
          <w:i/>
          <w:sz w:val="24"/>
          <w:szCs w:val="24"/>
        </w:rPr>
        <w:t>leonardus</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leonardus</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proofErr w:type="spellStart"/>
      <w:r w:rsidR="00025100" w:rsidRPr="00025100">
        <w:rPr>
          <w:rFonts w:ascii="Times New Roman" w:hAnsi="Times New Roman" w:cs="Times New Roman"/>
          <w:bCs/>
          <w:i/>
          <w:sz w:val="24"/>
          <w:szCs w:val="24"/>
        </w:rPr>
        <w:t>Liatris</w:t>
      </w:r>
      <w:proofErr w:type="spellEnd"/>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proofErr w:type="spellStart"/>
      <w:r w:rsidR="00025100" w:rsidRPr="00C966A8">
        <w:rPr>
          <w:rFonts w:ascii="Times New Roman" w:hAnsi="Times New Roman" w:cs="Times New Roman"/>
          <w:bCs/>
          <w:i/>
          <w:sz w:val="24"/>
          <w:szCs w:val="24"/>
        </w:rPr>
        <w:t>Cicindela</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w:t>
      </w:r>
      <w:r w:rsidRPr="00C966A8">
        <w:rPr>
          <w:rFonts w:ascii="Times New Roman" w:hAnsi="Times New Roman" w:cs="Times New Roman"/>
          <w:bCs/>
          <w:sz w:val="24"/>
          <w:szCs w:val="24"/>
        </w:rPr>
        <w:lastRenderedPageBreak/>
        <w:t xml:space="preserve">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w:t>
      </w:r>
      <w:proofErr w:type="spellStart"/>
      <w:r w:rsidR="004F2EAA">
        <w:rPr>
          <w:rFonts w:ascii="Times New Roman" w:hAnsi="Times New Roman" w:cs="Times New Roman"/>
          <w:sz w:val="24"/>
          <w:szCs w:val="24"/>
        </w:rPr>
        <w:t>Nuzzo</w:t>
      </w:r>
      <w:proofErr w:type="spellEnd"/>
      <w:r w:rsidR="004F2EAA">
        <w:rPr>
          <w:rFonts w:ascii="Times New Roman" w:hAnsi="Times New Roman" w:cs="Times New Roman"/>
          <w:sz w:val="24"/>
          <w:szCs w:val="24"/>
        </w:rPr>
        <w:t xml:space="preserve">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(Minnesota Biological Survey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87743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 xml:space="preserve">characterized by a </w:t>
      </w:r>
      <w:r w:rsidRPr="00C966A8">
        <w:rPr>
          <w:rFonts w:ascii="Times New Roman" w:hAnsi="Times New Roman" w:cs="Times New Roman"/>
          <w:sz w:val="24"/>
          <w:szCs w:val="24"/>
        </w:rPr>
        <w:lastRenderedPageBreak/>
        <w:t>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C60953">
        <w:rPr>
          <w:rFonts w:ascii="Times New Roman" w:hAnsi="Times New Roman" w:cs="Times New Roman"/>
          <w:sz w:val="24"/>
          <w:szCs w:val="24"/>
        </w:rPr>
        <w:t xml:space="preserve">. Of the 309 ha of oak savanna documented as converted or destroyed since the counties were originally mapped by MBS between 1991 and 2009, 252 ha (82%) was located within the Anoka Sand Plain </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 xml:space="preserve">Hesperia </w:t>
      </w:r>
      <w:proofErr w:type="spellStart"/>
      <w:r w:rsidR="00360D84">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proofErr w:type="spellStart"/>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proofErr w:type="spellEnd"/>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xml:space="preserve">, which was </w:t>
      </w:r>
      <w:r w:rsidR="00D73177">
        <w:rPr>
          <w:rFonts w:ascii="Times New Roman" w:hAnsi="Times New Roman" w:cs="Times New Roman"/>
          <w:bCs/>
          <w:sz w:val="24"/>
          <w:szCs w:val="24"/>
        </w:rPr>
        <w:lastRenderedPageBreak/>
        <w:t>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 xml:space="preserve">(Martin and Parrish 2000; </w:t>
      </w:r>
      <w:proofErr w:type="spellStart"/>
      <w:r w:rsidR="002D4FB7" w:rsidRPr="002D4FB7">
        <w:rPr>
          <w:rFonts w:ascii="Times New Roman" w:hAnsi="Times New Roman" w:cs="Times New Roman"/>
          <w:sz w:val="24"/>
        </w:rPr>
        <w:t>Pfannmuller</w:t>
      </w:r>
      <w:proofErr w:type="spellEnd"/>
      <w:r w:rsidR="002D4FB7" w:rsidRPr="002D4FB7">
        <w:rPr>
          <w:rFonts w:ascii="Times New Roman" w:hAnsi="Times New Roman" w:cs="Times New Roman"/>
          <w:sz w:val="24"/>
        </w:rPr>
        <w:t xml:space="preserve">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lastRenderedPageBreak/>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lastRenderedPageBreak/>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w:t>
      </w:r>
      <w:r w:rsidR="00A9355C">
        <w:rPr>
          <w:rFonts w:ascii="Times New Roman" w:hAnsi="Times New Roman" w:cs="Times New Roman"/>
          <w:sz w:val="24"/>
          <w:szCs w:val="24"/>
        </w:rPr>
        <w:t>217502</w:t>
      </w:r>
      <w:proofErr w:type="gramEnd"/>
      <w:r w:rsidR="00A9355C">
        <w:rPr>
          <w:rFonts w:ascii="Times New Roman" w:hAnsi="Times New Roman" w:cs="Times New Roman"/>
          <w:sz w:val="24"/>
          <w:szCs w:val="24"/>
        </w:rPr>
        <w:t>;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w:t>
      </w:r>
      <w:r w:rsidRPr="00C966A8">
        <w:rPr>
          <w:rFonts w:ascii="Times New Roman" w:hAnsi="Times New Roman" w:cs="Times New Roman"/>
          <w:sz w:val="24"/>
          <w:szCs w:val="24"/>
        </w:rPr>
        <w:lastRenderedPageBreak/>
        <w:t>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estoration beginning in 2014,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lastRenderedPageBreak/>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w:t>
      </w:r>
      <w:proofErr w:type="spellStart"/>
      <w:r w:rsidR="00923D25" w:rsidRPr="00923D25">
        <w:rPr>
          <w:rFonts w:ascii="Times New Roman" w:hAnsi="Times New Roman" w:cs="Times New Roman"/>
          <w:sz w:val="24"/>
        </w:rPr>
        <w:t>Hutto</w:t>
      </w:r>
      <w:proofErr w:type="spellEnd"/>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 xml:space="preserve">ed to be concurrent </w:t>
      </w:r>
      <w:r w:rsidR="002E7EAC">
        <w:rPr>
          <w:rFonts w:ascii="Times New Roman" w:hAnsi="Times New Roman" w:cs="Times New Roman"/>
          <w:sz w:val="24"/>
          <w:szCs w:val="24"/>
        </w:rPr>
        <w:lastRenderedPageBreak/>
        <w:t>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proofErr w:type="spellStart"/>
      <w:r w:rsidR="00B22B07" w:rsidRPr="007E4C17">
        <w:rPr>
          <w:rFonts w:ascii="Times New Roman" w:hAnsi="Times New Roman" w:cs="Times New Roman"/>
          <w:i/>
          <w:sz w:val="24"/>
          <w:szCs w:val="24"/>
        </w:rPr>
        <w:t>Schizachyrium</w:t>
      </w:r>
      <w:proofErr w:type="spellEnd"/>
      <w:r w:rsidR="00B22B07" w:rsidRPr="007E4C17">
        <w:rPr>
          <w:rFonts w:ascii="Times New Roman" w:hAnsi="Times New Roman" w:cs="Times New Roman"/>
          <w:i/>
          <w:sz w:val="24"/>
          <w:szCs w:val="24"/>
        </w:rPr>
        <w:t xml:space="preserve"> </w:t>
      </w:r>
      <w:proofErr w:type="spellStart"/>
      <w:r w:rsidR="00B22B07" w:rsidRPr="007E4C17">
        <w:rPr>
          <w:rFonts w:ascii="Times New Roman" w:hAnsi="Times New Roman" w:cs="Times New Roman"/>
          <w:i/>
          <w:sz w:val="24"/>
          <w:szCs w:val="24"/>
        </w:rPr>
        <w:t>scoparium</w:t>
      </w:r>
      <w:proofErr w:type="spellEnd"/>
      <w:r w:rsidR="00B22B07">
        <w:rPr>
          <w:rFonts w:ascii="Times New Roman" w:hAnsi="Times New Roman" w:cs="Times New Roman"/>
          <w:sz w:val="24"/>
          <w:szCs w:val="24"/>
        </w:rPr>
        <w:t>); number of stems of woody vegetation (i.e. shrubby species &lt; 0.5 m tall), blazing star (</w:t>
      </w:r>
      <w:proofErr w:type="spellStart"/>
      <w:r w:rsidR="00B22B07" w:rsidRPr="00981371">
        <w:rPr>
          <w:rFonts w:ascii="Times New Roman" w:hAnsi="Times New Roman" w:cs="Times New Roman"/>
          <w:i/>
          <w:sz w:val="24"/>
          <w:szCs w:val="24"/>
        </w:rPr>
        <w:t>Liatris</w:t>
      </w:r>
      <w:proofErr w:type="spellEnd"/>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proofErr w:type="spellStart"/>
      <w:r w:rsidR="00B22B07" w:rsidRPr="00B22B07">
        <w:rPr>
          <w:rFonts w:ascii="Times New Roman" w:hAnsi="Times New Roman" w:cs="Times New Roman"/>
          <w:i/>
          <w:sz w:val="24"/>
          <w:szCs w:val="24"/>
        </w:rPr>
        <w:t>Asclepias</w:t>
      </w:r>
      <w:proofErr w:type="spellEnd"/>
      <w:r w:rsidR="00B22B07">
        <w:rPr>
          <w:rFonts w:ascii="Times New Roman" w:hAnsi="Times New Roman" w:cs="Times New Roman"/>
          <w:sz w:val="24"/>
          <w:szCs w:val="24"/>
        </w:rPr>
        <w:t xml:space="preserve"> spp.); number of pocket gopher (</w:t>
      </w:r>
      <w:proofErr w:type="spellStart"/>
      <w:r w:rsidR="00B22B07" w:rsidRPr="00B22B07">
        <w:rPr>
          <w:rFonts w:ascii="Times New Roman" w:hAnsi="Times New Roman" w:cs="Times New Roman"/>
          <w:i/>
          <w:sz w:val="24"/>
          <w:szCs w:val="24"/>
        </w:rPr>
        <w:t>Geomys</w:t>
      </w:r>
      <w:proofErr w:type="spellEnd"/>
      <w:r w:rsidR="00B22B07" w:rsidRPr="00B22B07">
        <w:rPr>
          <w:rFonts w:ascii="Times New Roman" w:hAnsi="Times New Roman" w:cs="Times New Roman"/>
          <w:i/>
          <w:sz w:val="24"/>
          <w:szCs w:val="24"/>
        </w:rPr>
        <w:t xml:space="preserve"> </w:t>
      </w:r>
      <w:proofErr w:type="spellStart"/>
      <w:r w:rsidR="00B22B07" w:rsidRPr="00B22B07">
        <w:rPr>
          <w:rFonts w:ascii="Times New Roman" w:hAnsi="Times New Roman" w:cs="Times New Roman"/>
          <w:i/>
          <w:sz w:val="24"/>
          <w:szCs w:val="24"/>
        </w:rPr>
        <w:t>bursarius</w:t>
      </w:r>
      <w:proofErr w:type="spellEnd"/>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lastRenderedPageBreak/>
        <w:t>Statistical Analysis</w:t>
      </w:r>
    </w:p>
    <w:p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Dechant</w:t>
      </w:r>
      <w:proofErr w:type="spellEnd"/>
      <w:r>
        <w:rPr>
          <w:rFonts w:ascii="Times New Roman" w:hAnsi="Times New Roman" w:cs="Times New Roman"/>
          <w:bCs/>
          <w:sz w:val="24"/>
          <w:szCs w:val="24"/>
        </w:rPr>
        <w:t xml:space="preserve">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would be affected by Julian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w:t>
      </w:r>
      <w:proofErr w:type="spellStart"/>
      <w:r>
        <w:rPr>
          <w:rFonts w:ascii="Times New Roman" w:hAnsi="Times New Roman" w:cs="Times New Roman"/>
          <w:bCs/>
          <w:sz w:val="24"/>
          <w:szCs w:val="24"/>
        </w:rPr>
        <w:t>refugia</w:t>
      </w:r>
      <w:proofErr w:type="spellEnd"/>
      <w:r>
        <w:rPr>
          <w:rFonts w:ascii="Times New Roman" w:hAnsi="Times New Roman" w:cs="Times New Roman"/>
          <w:bCs/>
          <w:sz w:val="24"/>
          <w:szCs w:val="24"/>
        </w:rPr>
        <w:t xml:space="preserve">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w:t>
      </w:r>
      <w:proofErr w:type="spellStart"/>
      <w:r w:rsidRPr="00C966A8">
        <w:rPr>
          <w:rFonts w:ascii="Times New Roman" w:hAnsi="Times New Roman" w:cs="Times New Roman"/>
          <w:bCs/>
          <w:sz w:val="24"/>
          <w:szCs w:val="24"/>
        </w:rPr>
        <w:t>nectaring</w:t>
      </w:r>
      <w:proofErr w:type="spellEnd"/>
      <w:r w:rsidRPr="00C966A8">
        <w:rPr>
          <w:rFonts w:ascii="Times New Roman" w:hAnsi="Times New Roman" w:cs="Times New Roman"/>
          <w:bCs/>
          <w:sz w:val="24"/>
          <w:szCs w:val="24"/>
        </w:rPr>
        <w:t xml:space="preserve"> on blazing star (</w:t>
      </w:r>
      <w:proofErr w:type="spellStart"/>
      <w:r w:rsidRPr="00C966A8">
        <w:rPr>
          <w:rFonts w:ascii="Times New Roman" w:hAnsi="Times New Roman" w:cs="Times New Roman"/>
          <w:bCs/>
          <w:i/>
          <w:sz w:val="24"/>
          <w:szCs w:val="24"/>
        </w:rPr>
        <w:t>Liatris</w:t>
      </w:r>
      <w:proofErr w:type="spellEnd"/>
      <w:r w:rsidRPr="00C966A8">
        <w:rPr>
          <w:rFonts w:ascii="Times New Roman" w:hAnsi="Times New Roman" w:cs="Times New Roman"/>
          <w:bCs/>
          <w:i/>
          <w:sz w:val="24"/>
          <w:szCs w:val="24"/>
        </w:rPr>
        <w:t xml:space="preserve">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proofErr w:type="spellStart"/>
      <w:r w:rsidRPr="00235C0E">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w:t>
      </w:r>
      <w:proofErr w:type="spellStart"/>
      <w:r w:rsidRPr="004B40D5">
        <w:rPr>
          <w:rFonts w:ascii="Times New Roman" w:hAnsi="Times New Roman" w:cs="Times New Roman"/>
          <w:bCs/>
          <w:i/>
          <w:sz w:val="24"/>
          <w:szCs w:val="24"/>
        </w:rPr>
        <w:t>Liatris</w:t>
      </w:r>
      <w:proofErr w:type="spellEnd"/>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proofErr w:type="spellStart"/>
      <w:r w:rsidRPr="00F56BAB">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and negatively affected </w:t>
      </w:r>
      <w:r>
        <w:rPr>
          <w:rFonts w:ascii="Times New Roman" w:hAnsi="Times New Roman" w:cs="Times New Roman"/>
          <w:bCs/>
          <w:sz w:val="24"/>
          <w:szCs w:val="24"/>
        </w:rPr>
        <w:lastRenderedPageBreak/>
        <w:t xml:space="preserve">by wind speed. Northern barrens tiger beetles are chase and ambush predators known to inhabit oak savanna, </w:t>
      </w:r>
      <w:proofErr w:type="gramStart"/>
      <w:r>
        <w:rPr>
          <w:rFonts w:ascii="Times New Roman" w:hAnsi="Times New Roman" w:cs="Times New Roman"/>
          <w:bCs/>
          <w:sz w:val="24"/>
          <w:szCs w:val="24"/>
        </w:rPr>
        <w:t>pine barrens</w:t>
      </w:r>
      <w:proofErr w:type="gramEnd"/>
      <w:r>
        <w:rPr>
          <w:rFonts w:ascii="Times New Roman" w:hAnsi="Times New Roman" w:cs="Times New Roman"/>
          <w:bCs/>
          <w:sz w:val="24"/>
          <w:szCs w:val="24"/>
        </w:rPr>
        <w:t xml:space="preserve">,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 xml:space="preserve">have rolling topography (Christopher Smith, MN Department of Transportation, </w:t>
      </w:r>
      <w:proofErr w:type="gramStart"/>
      <w:r>
        <w:rPr>
          <w:rFonts w:ascii="Times New Roman" w:hAnsi="Times New Roman" w:cs="Times New Roman"/>
          <w:bCs/>
          <w:sz w:val="24"/>
          <w:szCs w:val="24"/>
        </w:rPr>
        <w:t>pers</w:t>
      </w:r>
      <w:proofErr w:type="gramEnd"/>
      <w:r>
        <w:rPr>
          <w:rFonts w:ascii="Times New Roman" w:hAnsi="Times New Roman" w:cs="Times New Roman"/>
          <w:bCs/>
          <w:sz w:val="24"/>
          <w:szCs w:val="24"/>
        </w:rPr>
        <w:t>.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affected by Julian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 xml:space="preserve">Both the plains hog-nosed snake and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detection would be affected by Julian date and temperature.</w:t>
      </w:r>
    </w:p>
    <w:p w:rsidR="0010428D" w:rsidRDefault="0010428D" w:rsidP="005279A8">
      <w:pPr>
        <w:spacing w:line="480" w:lineRule="auto"/>
        <w:ind w:firstLine="720"/>
        <w:rPr>
          <w:rFonts w:ascii="Times New Roman" w:hAnsi="Times New Roman" w:cs="Times New Roman"/>
          <w:sz w:val="24"/>
          <w:szCs w:val="24"/>
        </w:rPr>
      </w:pP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w:t>
      </w:r>
      <w:r w:rsidR="00F03388">
        <w:rPr>
          <w:rFonts w:ascii="Times New Roman" w:hAnsi="Times New Roman" w:cs="Times New Roman"/>
          <w:sz w:val="24"/>
          <w:szCs w:val="24"/>
        </w:rPr>
        <w:lastRenderedPageBreak/>
        <w:t>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 xml:space="preserve">odels developed by </w:t>
      </w:r>
      <w:proofErr w:type="spellStart"/>
      <w:r w:rsidR="001F140F">
        <w:rPr>
          <w:rFonts w:ascii="Times New Roman" w:hAnsi="Times New Roman" w:cs="Times New Roman"/>
          <w:sz w:val="24"/>
          <w:szCs w:val="24"/>
        </w:rPr>
        <w:t>Dail</w:t>
      </w:r>
      <w:proofErr w:type="spellEnd"/>
      <w:r w:rsidR="001F140F">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w:t>
      </w:r>
      <w:r w:rsidR="00FA72F1">
        <w:rPr>
          <w:rFonts w:ascii="Times New Roman" w:hAnsi="Times New Roman" w:cs="Times New Roman"/>
          <w:sz w:val="24"/>
          <w:szCs w:val="24"/>
        </w:rPr>
        <w:lastRenderedPageBreak/>
        <w:t xml:space="preserve">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3)</w:t>
      </w:r>
      <w:r w:rsidRPr="00E269C1">
        <w:rPr>
          <w:rFonts w:ascii="Times New Roman" w:hAnsi="Times New Roman" w:cs="Times New Roman"/>
          <w:sz w:val="24"/>
          <w:szCs w:val="24"/>
        </w:rPr>
        <w:t>:</w:t>
      </w:r>
    </w:p>
    <w:p w:rsidR="00E269C1" w:rsidRPr="00E269C1" w:rsidRDefault="00751DA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751DA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751DA5"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751DA5"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proofErr w:type="spellStart"/>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recruitment of new individuals into each plot (</w:t>
      </w:r>
      <w:proofErr w:type="spellStart"/>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proofErr w:type="spellEnd"/>
      <w:r w:rsidR="00E269C1" w:rsidRPr="00E269C1">
        <w:rPr>
          <w:rFonts w:ascii="Times New Roman" w:eastAsiaTheme="minorEastAsia" w:hAnsi="Times New Roman" w:cs="Times New Roman"/>
          <w:sz w:val="24"/>
          <w:szCs w:val="24"/>
        </w:rPr>
        <w:t>):</w:t>
      </w:r>
    </w:p>
    <w:p w:rsidR="00E269C1" w:rsidRPr="00E269C1" w:rsidRDefault="00751DA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751DA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751DA5"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w:t>
      </w:r>
    </w:p>
    <w:p w:rsidR="00E269C1" w:rsidRPr="00E269C1" w:rsidRDefault="00751DA5"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proofErr w:type="spellStart"/>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proofErr w:type="spellEnd"/>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step, we estimated initial abundance using either Poisson, negative binomial, or zero-inflated </w:t>
      </w:r>
      <w:r w:rsidR="00320962">
        <w:rPr>
          <w:rFonts w:ascii="Times New Roman" w:hAnsi="Times New Roman" w:cs="Times New Roman"/>
          <w:sz w:val="24"/>
          <w:szCs w:val="24"/>
        </w:rPr>
        <w:lastRenderedPageBreak/>
        <w:t xml:space="preserve">Poisson distributions to determine which baseline model provided the best fit for our data, where “best” was determined based on minimum values of the </w:t>
      </w:r>
      <w:proofErr w:type="spellStart"/>
      <w:r w:rsidR="00320962">
        <w:rPr>
          <w:rFonts w:ascii="Times New Roman" w:hAnsi="Times New Roman" w:cs="Times New Roman"/>
          <w:sz w:val="24"/>
          <w:szCs w:val="24"/>
        </w:rPr>
        <w:t>Akaike</w:t>
      </w:r>
      <w:proofErr w:type="spellEnd"/>
      <w:r w:rsidR="00320962">
        <w:rPr>
          <w:rFonts w:ascii="Times New Roman" w:hAnsi="Times New Roman" w:cs="Times New Roman"/>
          <w:sz w:val="24"/>
          <w:szCs w:val="24"/>
        </w:rPr>
        <w:t xml:space="preserv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w:t>
      </w:r>
      <w:proofErr w:type="spellStart"/>
      <w:r w:rsidR="00712D2F" w:rsidRPr="00712D2F">
        <w:rPr>
          <w:rFonts w:ascii="Times New Roman" w:hAnsi="Times New Roman" w:cs="Times New Roman"/>
          <w:sz w:val="24"/>
        </w:rPr>
        <w:t>Fondell</w:t>
      </w:r>
      <w:proofErr w:type="spellEnd"/>
      <w:r w:rsidR="00712D2F" w:rsidRPr="00712D2F">
        <w:rPr>
          <w:rFonts w:ascii="Times New Roman" w:hAnsi="Times New Roman" w:cs="Times New Roman"/>
          <w:sz w:val="24"/>
        </w:rPr>
        <w:t xml:space="preserve">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proofErr w:type="spellStart"/>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proofErr w:type="spellEnd"/>
      <w:r w:rsidR="00186A94" w:rsidRPr="00186A94">
        <w:rPr>
          <w:rFonts w:ascii="Times New Roman" w:hAnsi="Times New Roman" w:cs="Times New Roman"/>
          <w:sz w:val="24"/>
          <w:szCs w:val="24"/>
        </w:rPr>
        <w:t>) was a function of whether the plot was occupied (</w:t>
      </w:r>
      <w:proofErr w:type="spellStart"/>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proofErr w:type="spellEnd"/>
      <w:r w:rsidR="00186A94" w:rsidRPr="00186A94">
        <w:rPr>
          <w:rFonts w:ascii="Times New Roman" w:hAnsi="Times New Roman" w:cs="Times New Roman"/>
          <w:sz w:val="24"/>
          <w:szCs w:val="24"/>
        </w:rPr>
        <w:t>) and plot-level habitat covariates (</w:t>
      </w:r>
      <w:proofErr w:type="spellStart"/>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proofErr w:type="spellEnd"/>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751DA5"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751DA5"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751DA5"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751DA5"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751DA5"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751DA5"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proofErr w:type="gramStart"/>
      <w:r w:rsidRPr="00186A94">
        <w:rPr>
          <w:rFonts w:ascii="Times New Roman" w:hAnsi="Times New Roman" w:cs="Times New Roman"/>
          <w:sz w:val="24"/>
          <w:szCs w:val="24"/>
        </w:rPr>
        <w:t>where</w:t>
      </w:r>
      <w:proofErr w:type="gramEnd"/>
      <w:r w:rsidRPr="00186A9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to exhibit additional </w:t>
      </w:r>
      <w:proofErr w:type="spellStart"/>
      <w:r w:rsidR="001A1958">
        <w:rPr>
          <w:rFonts w:ascii="Times New Roman" w:eastAsiaTheme="minorEastAsia" w:hAnsi="Times New Roman" w:cs="Times New Roman"/>
          <w:sz w:val="24"/>
          <w:szCs w:val="24"/>
        </w:rPr>
        <w:t>spatio</w:t>
      </w:r>
      <w:proofErr w:type="spellEnd"/>
      <w:r w:rsidR="001A1958">
        <w:rPr>
          <w:rFonts w:ascii="Times New Roman" w:eastAsiaTheme="minorEastAsia" w:hAnsi="Times New Roman" w:cs="Times New Roman"/>
          <w:sz w:val="24"/>
          <w:szCs w:val="24"/>
        </w:rPr>
        <w:t>-temporal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751DA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751DA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751DA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751DA5"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751DA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751DA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insufficient for robust modeling (results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w:t>
      </w:r>
      <w:proofErr w:type="spellStart"/>
      <w:r w:rsidR="001A1958">
        <w:rPr>
          <w:rFonts w:ascii="Times New Roman" w:hAnsi="Times New Roman" w:cs="Times New Roman"/>
          <w:sz w:val="24"/>
          <w:szCs w:val="24"/>
        </w:rPr>
        <w:t>traceplots</w:t>
      </w:r>
      <w:proofErr w:type="spellEnd"/>
      <w:r w:rsidR="001A1958">
        <w:rPr>
          <w:rFonts w:ascii="Times New Roman" w:hAnsi="Times New Roman" w:cs="Times New Roman"/>
          <w:sz w:val="24"/>
          <w:szCs w:val="24"/>
        </w:rPr>
        <w:t xml:space="preserve">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In plots where they were observed, mean counts were 1.43 +/- 0.14 SE individuals. 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w:t>
      </w:r>
      <w:r w:rsidR="003F1EA6">
        <w:rPr>
          <w:rFonts w:ascii="Times New Roman" w:hAnsi="Times New Roman" w:cs="Times New Roman"/>
          <w:sz w:val="24"/>
          <w:szCs w:val="24"/>
        </w:rPr>
        <w:lastRenderedPageBreak/>
        <w:t xml:space="preserve">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In plots where they were observed, mean counts were 1.51 +/- 0.05 SE individuals.</w:t>
      </w:r>
      <w:r w:rsidR="006C19EE">
        <w:rPr>
          <w:rFonts w:ascii="Times New Roman" w:hAnsi="Times New Roman" w:cs="Times New Roman"/>
          <w:sz w:val="24"/>
          <w:szCs w:val="24"/>
        </w:rPr>
        <w:t xml:space="preserve"> 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proofErr w:type="spellStart"/>
      <w:r w:rsidR="004078FC" w:rsidRPr="004078FC">
        <w:rPr>
          <w:rFonts w:ascii="Times New Roman" w:hAnsi="Times New Roman" w:cs="Times New Roman"/>
          <w:sz w:val="20"/>
          <w:szCs w:val="20"/>
        </w:rPr>
        <w:t>Akaike</w:t>
      </w:r>
      <w:proofErr w:type="spellEnd"/>
      <w:r w:rsidR="004078FC" w:rsidRPr="004078FC">
        <w:rPr>
          <w:rFonts w:ascii="Times New Roman" w:hAnsi="Times New Roman" w:cs="Times New Roman"/>
          <w:sz w:val="20"/>
          <w:szCs w:val="20"/>
        </w:rPr>
        <w:t xml:space="preserv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Leonard’s skippers were observed in ten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Leonard’s skipper occupancy and abundance were</w:t>
      </w:r>
      <w:r w:rsidR="00827558">
        <w:rPr>
          <w:rFonts w:ascii="Times New Roman" w:hAnsi="Times New Roman" w:cs="Times New Roman"/>
          <w:sz w:val="24"/>
          <w:szCs w:val="24"/>
        </w:rPr>
        <w:t xml:space="preserve">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560" w:type="dxa"/>
        <w:tblLook w:val="04A0" w:firstRow="1" w:lastRow="0" w:firstColumn="1" w:lastColumn="0" w:noHBand="0" w:noVBand="1"/>
      </w:tblPr>
      <w:tblGrid>
        <w:gridCol w:w="1260"/>
        <w:gridCol w:w="1260"/>
        <w:gridCol w:w="1260"/>
        <w:gridCol w:w="1260"/>
        <w:gridCol w:w="1260"/>
        <w:gridCol w:w="1260"/>
      </w:tblGrid>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Mean</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sd</w:t>
            </w:r>
            <w:proofErr w:type="spellEnd"/>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0.025</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0.975</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R-hat</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Occupancy</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-0.69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-2.08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1.22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1.03</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Liatris</w:t>
            </w:r>
            <w:proofErr w:type="spellEnd"/>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2.50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1.55</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-0.27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5.78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1.02</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Abundance</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11.11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24.60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103.90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1.42</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Disturbance</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-3.79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1.27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-6.49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-1.40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1.04</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Liatris</w:t>
            </w:r>
            <w:proofErr w:type="spellEnd"/>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0.92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0.76</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-0.37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2.55</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1.05</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Random Effect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1.61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0.31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4.02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1.16</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alpha</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0.20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3.29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1.01</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beta</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52.31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61.84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3.96</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248.74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1.33</w:t>
            </w:r>
          </w:p>
        </w:tc>
      </w:tr>
      <w:tr w:rsidR="001442AB" w:rsidRPr="001442AB" w:rsidTr="001442AB">
        <w:trPr>
          <w:trHeight w:val="300"/>
        </w:trPr>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p(derived)</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0.03</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0.00</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0.09</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1.08</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EE5782">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EE5782">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EE5782">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EE5782">
        <w:trPr>
          <w:trHeight w:val="288"/>
        </w:trPr>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AB4ADE">
        <w:trPr>
          <w:trHeight w:val="288"/>
        </w:trPr>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AB4ADE">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AB4ADE">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DB00F2">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560" w:type="dxa"/>
        <w:tblLook w:val="04A0" w:firstRow="1" w:lastRow="0" w:firstColumn="1" w:lastColumn="0" w:noHBand="0" w:noVBand="1"/>
      </w:tblPr>
      <w:tblGrid>
        <w:gridCol w:w="1260"/>
        <w:gridCol w:w="1260"/>
        <w:gridCol w:w="1260"/>
        <w:gridCol w:w="1260"/>
        <w:gridCol w:w="1260"/>
        <w:gridCol w:w="1260"/>
      </w:tblGrid>
      <w:tr w:rsidR="00442AFF" w:rsidRPr="00442AFF" w:rsidTr="00442AFF">
        <w:trPr>
          <w:trHeight w:val="300"/>
        </w:trPr>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Mean</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proofErr w:type="spellStart"/>
            <w:r w:rsidRPr="00442AFF">
              <w:rPr>
                <w:rFonts w:ascii="Times New Roman" w:eastAsia="Times New Roman" w:hAnsi="Times New Roman" w:cs="Times New Roman"/>
                <w:color w:val="000000"/>
                <w:sz w:val="18"/>
                <w:szCs w:val="18"/>
              </w:rPr>
              <w:t>sd</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0.025</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0.975</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R-hat</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Occupancy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0.49</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Elevation CV</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0.67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Canopy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1.46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Abundance</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lastRenderedPageBreak/>
              <w:t>Intercept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13.24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11.17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1.73</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42.45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1.22</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Elevation CV</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0.67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Canopy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1.46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Random Effect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2.04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0.29</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1.56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2.73</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1.09</w:t>
            </w:r>
          </w:p>
        </w:tc>
      </w:tr>
      <w:tr w:rsidR="00442AFF" w:rsidRPr="00442AFF" w:rsidTr="00442AFF">
        <w:trPr>
          <w:trHeight w:val="300"/>
        </w:trPr>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Detection</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alpha</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0.57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0.38</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0.82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beta</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50.82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40.26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8.88</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179.91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1.28</w:t>
            </w:r>
          </w:p>
        </w:tc>
      </w:tr>
      <w:tr w:rsidR="00442AFF" w:rsidRPr="00442AFF" w:rsidTr="00442AFF">
        <w:trPr>
          <w:trHeight w:val="300"/>
        </w:trPr>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p(derived)</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0.02</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0.01</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0.00</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0.05</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1.32</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t xml:space="preserve">Given the </w:t>
      </w:r>
      <w:r w:rsidR="001C2100">
        <w:rPr>
          <w:rFonts w:ascii="Times New Roman" w:hAnsi="Times New Roman" w:cs="Times New Roman"/>
          <w:bCs/>
          <w:sz w:val="24"/>
          <w:szCs w:val="24"/>
        </w:rPr>
        <w:t>total</w:t>
      </w:r>
      <w:r w:rsidR="004E3BD9">
        <w:rPr>
          <w:rFonts w:ascii="Times New Roman" w:hAnsi="Times New Roman" w:cs="Times New Roman"/>
          <w:bCs/>
          <w:sz w:val="24"/>
          <w:szCs w:val="24"/>
        </w:rPr>
        <w:t xml:space="preserve"> absence of detection evens during replicate surveys</w:t>
      </w:r>
      <w:r w:rsidR="001C2100">
        <w:rPr>
          <w:rFonts w:ascii="Times New Roman" w:hAnsi="Times New Roman" w:cs="Times New Roman"/>
          <w:bCs/>
          <w:sz w:val="24"/>
          <w:szCs w:val="24"/>
        </w:rPr>
        <w:t xml:space="preserve"> intervals within the same </w:t>
      </w:r>
      <w:r w:rsidR="001C2100">
        <w:rPr>
          <w:rFonts w:ascii="Times New Roman" w:hAnsi="Times New Roman" w:cs="Times New Roman"/>
          <w:bCs/>
          <w:sz w:val="24"/>
          <w:szCs w:val="24"/>
        </w:rPr>
        <w:lastRenderedPageBreak/>
        <w:t>survey</w:t>
      </w:r>
      <w:r w:rsidR="004E3BD9">
        <w:rPr>
          <w:rFonts w:ascii="Times New Roman" w:hAnsi="Times New Roman" w:cs="Times New Roman"/>
          <w:bCs/>
          <w:sz w:val="24"/>
          <w:szCs w:val="24"/>
        </w:rPr>
        <w:t>, d</w:t>
      </w:r>
      <w:r w:rsidR="00E81529">
        <w:rPr>
          <w:rFonts w:ascii="Times New Roman" w:hAnsi="Times New Roman" w:cs="Times New Roman"/>
          <w:bCs/>
          <w:sz w:val="24"/>
          <w:szCs w:val="24"/>
        </w:rPr>
        <w:t>ata for both species of snakes was insufficient for occupancy and abundance analysis</w:t>
      </w:r>
      <w:r w:rsidR="0086162A">
        <w:rPr>
          <w:rFonts w:ascii="Times New Roman" w:hAnsi="Times New Roman" w:cs="Times New Roman"/>
          <w:bCs/>
          <w:sz w:val="24"/>
          <w:szCs w:val="24"/>
        </w:rPr>
        <w:t xml:space="preserve"> (</w:t>
      </w:r>
      <w:proofErr w:type="spellStart"/>
      <w:r w:rsidR="002E2E43" w:rsidRPr="00A96F49">
        <w:rPr>
          <w:rFonts w:ascii="Times New Roman" w:hAnsi="Times New Roman" w:cs="Times New Roman"/>
          <w:bCs/>
          <w:sz w:val="24"/>
          <w:szCs w:val="24"/>
        </w:rPr>
        <w:t>Guillera-Arroita</w:t>
      </w:r>
      <w:proofErr w:type="spellEnd"/>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proofErr w:type="spellStart"/>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 Vander Yach</w:t>
      </w:r>
      <w:r w:rsidR="00DF7B12">
        <w:rPr>
          <w:rFonts w:ascii="Times New Roman" w:hAnsi="Times New Roman" w:cs="Times New Roman"/>
          <w:bCs/>
          <w:sz w:val="24"/>
          <w:szCs w:val="24"/>
        </w:rPr>
        <w:t>t et al. 2016, Davis et al. 2000</w:t>
      </w:r>
      <w:bookmarkStart w:id="0" w:name="_GoBack"/>
      <w:bookmarkEnd w:id="0"/>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w:t>
      </w:r>
      <w:proofErr w:type="spellStart"/>
      <w:r w:rsidR="0015495C" w:rsidRPr="00A96F49">
        <w:rPr>
          <w:rFonts w:ascii="Times New Roman" w:hAnsi="Times New Roman" w:cs="Times New Roman"/>
          <w:bCs/>
          <w:sz w:val="24"/>
          <w:szCs w:val="24"/>
        </w:rPr>
        <w:t>Bendel</w:t>
      </w:r>
      <w:proofErr w:type="spellEnd"/>
      <w:r w:rsidR="0015495C" w:rsidRPr="00A96F49">
        <w:rPr>
          <w:rFonts w:ascii="Times New Roman" w:hAnsi="Times New Roman" w:cs="Times New Roman"/>
          <w:bCs/>
          <w:sz w:val="24"/>
          <w:szCs w:val="24"/>
        </w:rPr>
        <w:t xml:space="preserve">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xml:space="preserve">,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lastRenderedPageBreak/>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 xml:space="preserve">(Dana,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 xml:space="preserve">the chance of local extinctions.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bunchgrass, </w:t>
      </w:r>
      <w:proofErr w:type="spellStart"/>
      <w:r w:rsidR="0076472D">
        <w:rPr>
          <w:rFonts w:ascii="Times New Roman" w:hAnsi="Times New Roman" w:cs="Times New Roman"/>
          <w:bCs/>
          <w:i/>
          <w:sz w:val="24"/>
          <w:szCs w:val="24"/>
        </w:rPr>
        <w:t>Liatris</w:t>
      </w:r>
      <w:proofErr w:type="spellEnd"/>
      <w:r w:rsidRPr="00A96F49">
        <w:rPr>
          <w:rFonts w:ascii="Times New Roman" w:hAnsi="Times New Roman" w:cs="Times New Roman"/>
          <w:bCs/>
          <w:sz w:val="24"/>
          <w:szCs w:val="24"/>
        </w:rPr>
        <w:t xml:space="preserve">, and other </w:t>
      </w:r>
      <w:r w:rsidRPr="00A96F49">
        <w:rPr>
          <w:rFonts w:ascii="Times New Roman" w:hAnsi="Times New Roman" w:cs="Times New Roman"/>
          <w:bCs/>
          <w:sz w:val="24"/>
          <w:szCs w:val="24"/>
        </w:rPr>
        <w:lastRenderedPageBreak/>
        <w:t>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00A96F49" w:rsidRPr="00A96F49">
        <w:rPr>
          <w:rFonts w:ascii="Times New Roman" w:hAnsi="Times New Roman" w:cs="Times New Roman"/>
          <w:bCs/>
          <w:sz w:val="24"/>
          <w:szCs w:val="24"/>
        </w:rPr>
        <w:t>Moranz</w:t>
      </w:r>
      <w:proofErr w:type="spellEnd"/>
      <w:r w:rsidR="00A96F49"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w:t>
      </w:r>
      <w:r w:rsidR="00A96F49" w:rsidRPr="00A96F49">
        <w:rPr>
          <w:rFonts w:ascii="Times New Roman" w:hAnsi="Times New Roman" w:cs="Times New Roman"/>
          <w:bCs/>
          <w:sz w:val="24"/>
          <w:szCs w:val="24"/>
        </w:rPr>
        <w:lastRenderedPageBreak/>
        <w:t>restoration activities may need to be conducted at relatively</w:t>
      </w:r>
      <w:r w:rsidR="00FC056D">
        <w:rPr>
          <w:rFonts w:ascii="Times New Roman" w:hAnsi="Times New Roman" w:cs="Times New Roman"/>
          <w:bCs/>
          <w:sz w:val="24"/>
          <w:szCs w:val="24"/>
        </w:rPr>
        <w:t xml:space="preserve"> small scales to provide </w:t>
      </w:r>
      <w:proofErr w:type="spellStart"/>
      <w:r w:rsidR="00FC056D">
        <w:rPr>
          <w:rFonts w:ascii="Times New Roman" w:hAnsi="Times New Roman" w:cs="Times New Roman"/>
          <w:bCs/>
          <w:sz w:val="24"/>
          <w:szCs w:val="24"/>
        </w:rPr>
        <w:t>refugi</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00A96F49" w:rsidRPr="00A96F49">
        <w:rPr>
          <w:rFonts w:ascii="Times New Roman" w:hAnsi="Times New Roman" w:cs="Times New Roman"/>
          <w:bCs/>
          <w:sz w:val="24"/>
          <w:szCs w:val="24"/>
        </w:rPr>
        <w:t>Swengel</w:t>
      </w:r>
      <w:proofErr w:type="spellEnd"/>
      <w:r w:rsidR="00A96F49" w:rsidRPr="00A96F49">
        <w:rPr>
          <w:rFonts w:ascii="Times New Roman" w:hAnsi="Times New Roman" w:cs="Times New Roman"/>
          <w:bCs/>
          <w:sz w:val="24"/>
          <w:szCs w:val="24"/>
        </w:rPr>
        <w:t xml:space="preserve">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00A96F49" w:rsidRPr="00A96F49">
        <w:rPr>
          <w:rFonts w:ascii="Times New Roman" w:hAnsi="Times New Roman" w:cs="Times New Roman"/>
          <w:bCs/>
          <w:sz w:val="24"/>
          <w:szCs w:val="24"/>
        </w:rPr>
        <w:t>Guillera-Arroita</w:t>
      </w:r>
      <w:proofErr w:type="spellEnd"/>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 xml:space="preserve">2010; Mackenzie &amp; </w:t>
      </w:r>
      <w:proofErr w:type="spellStart"/>
      <w:r w:rsidR="00FC056D">
        <w:rPr>
          <w:rFonts w:ascii="Times New Roman" w:hAnsi="Times New Roman" w:cs="Times New Roman"/>
          <w:bCs/>
          <w:sz w:val="24"/>
          <w:szCs w:val="24"/>
        </w:rPr>
        <w:t>Royle</w:t>
      </w:r>
      <w:proofErr w:type="spellEnd"/>
      <w:r w:rsidR="00FC056D">
        <w:rPr>
          <w:rFonts w:ascii="Times New Roman" w:hAnsi="Times New Roman" w:cs="Times New Roman"/>
          <w:bCs/>
          <w:sz w:val="24"/>
          <w:szCs w:val="24"/>
        </w:rPr>
        <w:t>,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change that are often goals of habitat restoration efforts. In addition to providing a more reasonable timeframe for detecting and describing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 xml:space="preserve">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6CCC"/>
    <w:rsid w:val="00130D27"/>
    <w:rsid w:val="00132F1B"/>
    <w:rsid w:val="00134FF7"/>
    <w:rsid w:val="00141F35"/>
    <w:rsid w:val="00141F80"/>
    <w:rsid w:val="001442AB"/>
    <w:rsid w:val="001446B1"/>
    <w:rsid w:val="0014632E"/>
    <w:rsid w:val="0014771C"/>
    <w:rsid w:val="001504C7"/>
    <w:rsid w:val="00151F6B"/>
    <w:rsid w:val="001520F6"/>
    <w:rsid w:val="0015293A"/>
    <w:rsid w:val="00152E23"/>
    <w:rsid w:val="00152F05"/>
    <w:rsid w:val="0015495C"/>
    <w:rsid w:val="0016183D"/>
    <w:rsid w:val="001646DB"/>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D64"/>
    <w:rsid w:val="001B7CEE"/>
    <w:rsid w:val="001C2100"/>
    <w:rsid w:val="001C2D3F"/>
    <w:rsid w:val="001C4F14"/>
    <w:rsid w:val="001C7DE6"/>
    <w:rsid w:val="001C7F74"/>
    <w:rsid w:val="001D094C"/>
    <w:rsid w:val="001D4B03"/>
    <w:rsid w:val="001D4BDD"/>
    <w:rsid w:val="001E2531"/>
    <w:rsid w:val="001E49CC"/>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D4FB7"/>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1BA1"/>
    <w:rsid w:val="00362B95"/>
    <w:rsid w:val="003661F5"/>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A8A"/>
    <w:rsid w:val="0040396C"/>
    <w:rsid w:val="00406F81"/>
    <w:rsid w:val="004078FC"/>
    <w:rsid w:val="00407F35"/>
    <w:rsid w:val="00411412"/>
    <w:rsid w:val="00411E5F"/>
    <w:rsid w:val="004129B5"/>
    <w:rsid w:val="00413315"/>
    <w:rsid w:val="004203BE"/>
    <w:rsid w:val="00422190"/>
    <w:rsid w:val="00427302"/>
    <w:rsid w:val="004335BC"/>
    <w:rsid w:val="004341AB"/>
    <w:rsid w:val="00435FEB"/>
    <w:rsid w:val="00440059"/>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3A46"/>
    <w:rsid w:val="004B40D5"/>
    <w:rsid w:val="004B5B68"/>
    <w:rsid w:val="004C1D5D"/>
    <w:rsid w:val="004C4BC1"/>
    <w:rsid w:val="004C55C6"/>
    <w:rsid w:val="004D7A78"/>
    <w:rsid w:val="004E22D3"/>
    <w:rsid w:val="004E315D"/>
    <w:rsid w:val="004E3BD9"/>
    <w:rsid w:val="004E6D6C"/>
    <w:rsid w:val="004F08FD"/>
    <w:rsid w:val="004F1174"/>
    <w:rsid w:val="004F17EB"/>
    <w:rsid w:val="004F1DBF"/>
    <w:rsid w:val="004F2EAA"/>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46808"/>
    <w:rsid w:val="00550C2F"/>
    <w:rsid w:val="00555DFE"/>
    <w:rsid w:val="0055650C"/>
    <w:rsid w:val="0056138D"/>
    <w:rsid w:val="005649AE"/>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5EE1"/>
    <w:rsid w:val="00646E38"/>
    <w:rsid w:val="00647720"/>
    <w:rsid w:val="00647E82"/>
    <w:rsid w:val="006622E9"/>
    <w:rsid w:val="00666C90"/>
    <w:rsid w:val="00666F06"/>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2D2F"/>
    <w:rsid w:val="00713EEE"/>
    <w:rsid w:val="0071688F"/>
    <w:rsid w:val="00716A81"/>
    <w:rsid w:val="00716E3F"/>
    <w:rsid w:val="007212C5"/>
    <w:rsid w:val="00726C90"/>
    <w:rsid w:val="00732171"/>
    <w:rsid w:val="00732FD0"/>
    <w:rsid w:val="007341DD"/>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3D25"/>
    <w:rsid w:val="00925008"/>
    <w:rsid w:val="009314C9"/>
    <w:rsid w:val="009315EF"/>
    <w:rsid w:val="0093304A"/>
    <w:rsid w:val="009352EB"/>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62560"/>
    <w:rsid w:val="00A634CE"/>
    <w:rsid w:val="00A67FEF"/>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7C86"/>
    <w:rsid w:val="00C966A8"/>
    <w:rsid w:val="00CA0A44"/>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741EF"/>
    <w:rsid w:val="00D80BE3"/>
    <w:rsid w:val="00D87F8E"/>
    <w:rsid w:val="00D90626"/>
    <w:rsid w:val="00D909AD"/>
    <w:rsid w:val="00D914C6"/>
    <w:rsid w:val="00D924FD"/>
    <w:rsid w:val="00D92C51"/>
    <w:rsid w:val="00D93586"/>
    <w:rsid w:val="00D9483E"/>
    <w:rsid w:val="00D94CF1"/>
    <w:rsid w:val="00D97E34"/>
    <w:rsid w:val="00DA325A"/>
    <w:rsid w:val="00DA4807"/>
    <w:rsid w:val="00DB00F2"/>
    <w:rsid w:val="00DB1013"/>
    <w:rsid w:val="00DB554B"/>
    <w:rsid w:val="00DB607C"/>
    <w:rsid w:val="00DC3E7F"/>
    <w:rsid w:val="00DC55CA"/>
    <w:rsid w:val="00DC7714"/>
    <w:rsid w:val="00DC78C3"/>
    <w:rsid w:val="00DD2708"/>
    <w:rsid w:val="00DE02D7"/>
    <w:rsid w:val="00DE1B4C"/>
    <w:rsid w:val="00DE4235"/>
    <w:rsid w:val="00DF26BB"/>
    <w:rsid w:val="00DF5340"/>
    <w:rsid w:val="00DF7B12"/>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45039"/>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2F42"/>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00DA1-204D-42AE-803F-FB31EC4F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4834</TotalTime>
  <Pages>37</Pages>
  <Words>17557</Words>
  <Characters>100080</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355</cp:revision>
  <dcterms:created xsi:type="dcterms:W3CDTF">2018-10-07T19:17:00Z</dcterms:created>
  <dcterms:modified xsi:type="dcterms:W3CDTF">2018-11-06T10:04:00Z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