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lastRenderedPageBreak/>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w:t>
      </w:r>
      <w:r w:rsidRPr="00C966A8">
        <w:rPr>
          <w:rFonts w:ascii="Times New Roman" w:hAnsi="Times New Roman" w:cs="Times New Roman"/>
          <w:bCs/>
          <w:sz w:val="24"/>
          <w:szCs w:val="24"/>
        </w:rPr>
        <w:lastRenderedPageBreak/>
        <w:t xml:space="preserve">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 xml:space="preserve">characterized by a </w:t>
      </w:r>
      <w:r w:rsidRPr="00C966A8">
        <w:rPr>
          <w:rFonts w:ascii="Times New Roman" w:hAnsi="Times New Roman" w:cs="Times New Roman"/>
          <w:sz w:val="24"/>
          <w:szCs w:val="24"/>
        </w:rPr>
        <w:lastRenderedPageBreak/>
        <w:t>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 xml:space="preserve">pecific </w:t>
      </w:r>
      <w:r w:rsidR="002371C0">
        <w:rPr>
          <w:rFonts w:ascii="Times New Roman" w:hAnsi="Times New Roman" w:cs="Times New Roman"/>
          <w:sz w:val="24"/>
          <w:szCs w:val="24"/>
        </w:rPr>
        <w:lastRenderedPageBreak/>
        <w:t>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w:t>
      </w:r>
      <w:r w:rsidR="00F03388">
        <w:rPr>
          <w:rFonts w:ascii="Times New Roman" w:hAnsi="Times New Roman" w:cs="Times New Roman"/>
          <w:sz w:val="24"/>
          <w:szCs w:val="24"/>
        </w:rPr>
        <w:lastRenderedPageBreak/>
        <w:t>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w:t>
      </w:r>
      <w:r w:rsidR="00FA72F1">
        <w:rPr>
          <w:rFonts w:ascii="Times New Roman" w:hAnsi="Times New Roman" w:cs="Times New Roman"/>
          <w:sz w:val="24"/>
          <w:szCs w:val="24"/>
        </w:rPr>
        <w:lastRenderedPageBreak/>
        <w:t xml:space="preserve">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4B0D7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4B0D7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4B0D7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4B0D7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4B0D7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4B0D7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4B0D75"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4B0D75"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w:t>
      </w:r>
      <w:r w:rsidR="00320962">
        <w:rPr>
          <w:rFonts w:ascii="Times New Roman" w:hAnsi="Times New Roman" w:cs="Times New Roman"/>
          <w:sz w:val="24"/>
          <w:szCs w:val="24"/>
        </w:rPr>
        <w:lastRenderedPageBreak/>
        <w:t>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4B0D75"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4B0D7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4B0D75"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4B0D7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4B0D75"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4B0D75"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4B0D7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4B0D7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4B0D7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4B0D7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4B0D7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4B0D7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Table 5. Parameter estimates, including mean, SD, 95% credible intervals, and R-hat statistics fro</w:t>
      </w:r>
      <w:bookmarkStart w:id="0" w:name="_GoBack"/>
      <w:bookmarkEnd w:id="0"/>
      <w:r w:rsidRPr="005C18E1">
        <w:rPr>
          <w:rFonts w:ascii="Times New Roman" w:hAnsi="Times New Roman" w:cs="Times New Roman"/>
          <w:sz w:val="20"/>
          <w:szCs w:val="20"/>
        </w:rPr>
        <w:t xml:space="preserve">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w:t>
      </w:r>
      <w:r w:rsidRPr="00936CBE">
        <w:rPr>
          <w:rFonts w:ascii="Times New Roman" w:hAnsi="Times New Roman" w:cs="Times New Roman"/>
          <w:i/>
          <w:sz w:val="24"/>
          <w:szCs w:val="24"/>
        </w:rPr>
        <w:t>Hesperia dacotae</w:t>
      </w:r>
      <w:r w:rsidRPr="006A3EB9">
        <w:rPr>
          <w:rFonts w:ascii="Times New Roman" w:hAnsi="Times New Roman" w:cs="Times New Roman"/>
          <w:sz w:val="24"/>
          <w:szCs w:val="24"/>
        </w:rPr>
        <w:t xml:space="preserve"> and </w:t>
      </w:r>
      <w:r w:rsidRPr="00936CBE">
        <w:rPr>
          <w:rFonts w:ascii="Times New Roman" w:hAnsi="Times New Roman" w:cs="Times New Roman"/>
          <w:i/>
          <w:sz w:val="24"/>
          <w:szCs w:val="24"/>
        </w:rPr>
        <w:t>Hesperia ottoe</w:t>
      </w:r>
      <w:r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Pr="006A3EB9"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lastRenderedPageBreak/>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Swengel, A. 1998. Effects of management on butterfly abundance in tallgrass prairie and pine barrens. Biological Conservation, 83(1), 77-89.</w:t>
      </w:r>
    </w:p>
    <w:p w:rsidR="006A3EB9" w:rsidRPr="008E238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13B2D"/>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0D75"/>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36CBE"/>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A2B80-F46C-4C3D-8EE2-0505EA2E8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4912</TotalTime>
  <Pages>38</Pages>
  <Words>17639</Words>
  <Characters>100544</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374</cp:revision>
  <dcterms:created xsi:type="dcterms:W3CDTF">2018-10-07T19:17:00Z</dcterms:created>
  <dcterms:modified xsi:type="dcterms:W3CDTF">2018-11-06T18:27:00Z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