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 xml:space="preserve">collaboration with my academic advisor Dr. Todd Arnold and Dr. Althea </w:t>
      </w:r>
      <w:proofErr w:type="spellStart"/>
      <w:r w:rsidRPr="006124EE">
        <w:rPr>
          <w:rFonts w:ascii="Times New Roman" w:hAnsi="Times New Roman" w:cs="Times New Roman"/>
          <w:sz w:val="24"/>
          <w:szCs w:val="24"/>
        </w:rPr>
        <w:t>ArchMiller</w:t>
      </w:r>
      <w:proofErr w:type="spellEnd"/>
      <w:r w:rsidRPr="006124EE">
        <w:rPr>
          <w:rFonts w:ascii="Times New Roman" w:hAnsi="Times New Roman" w:cs="Times New Roman"/>
          <w:sz w:val="24"/>
          <w:szCs w:val="24"/>
        </w:rPr>
        <w:t>, both of whom will be co-authors on that publication. The use of plural pronouns throughout the thesis is reflective of this collaboration.</w:t>
      </w: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proofErr w:type="spellStart"/>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w:t>
      </w:r>
      <w:proofErr w:type="spellEnd"/>
      <w:r w:rsidR="009315EF">
        <w:rPr>
          <w:rFonts w:ascii="Times New Roman" w:hAnsi="Times New Roman" w:cs="Times New Roman"/>
          <w:bCs/>
          <w:sz w:val="24"/>
          <w:szCs w:val="24"/>
        </w:rPr>
        <w:t xml:space="preserve"> (</w:t>
      </w:r>
      <w:proofErr w:type="spellStart"/>
      <w:r w:rsidR="009315EF" w:rsidRPr="00C966A8">
        <w:rPr>
          <w:rFonts w:ascii="Times New Roman" w:hAnsi="Times New Roman" w:cs="Times New Roman"/>
          <w:bCs/>
          <w:i/>
          <w:sz w:val="24"/>
          <w:szCs w:val="24"/>
        </w:rPr>
        <w:t>Pituophis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catenifer</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proofErr w:type="spellStart"/>
      <w:r w:rsidR="009315EF" w:rsidRPr="00C966A8">
        <w:rPr>
          <w:rFonts w:ascii="Times New Roman" w:hAnsi="Times New Roman" w:cs="Times New Roman"/>
          <w:bCs/>
          <w:i/>
          <w:sz w:val="24"/>
          <w:szCs w:val="24"/>
        </w:rPr>
        <w:t>Heterodon</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nasicus</w:t>
      </w:r>
      <w:proofErr w:type="spellEnd"/>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proofErr w:type="spellStart"/>
      <w:r w:rsidR="009315EF" w:rsidRPr="00C966A8">
        <w:rPr>
          <w:rFonts w:ascii="Times New Roman" w:hAnsi="Times New Roman" w:cs="Times New Roman"/>
          <w:bCs/>
          <w:i/>
          <w:sz w:val="24"/>
          <w:szCs w:val="24"/>
        </w:rPr>
        <w:t>Pipilo</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erythrophthalmus</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Chondestes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grammacus</w:t>
      </w:r>
      <w:proofErr w:type="spellEnd"/>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lastRenderedPageBreak/>
        <w:t>Leonard’s skippers (</w:t>
      </w:r>
      <w:r w:rsidR="00025100" w:rsidRPr="00C966A8">
        <w:rPr>
          <w:rFonts w:ascii="Times New Roman" w:hAnsi="Times New Roman" w:cs="Times New Roman"/>
          <w:bCs/>
          <w:i/>
          <w:sz w:val="24"/>
          <w:szCs w:val="24"/>
        </w:rPr>
        <w:t xml:space="preserve">Hesperia </w:t>
      </w:r>
      <w:proofErr w:type="spellStart"/>
      <w:r w:rsidR="00025100" w:rsidRPr="00C966A8">
        <w:rPr>
          <w:rFonts w:ascii="Times New Roman" w:hAnsi="Times New Roman" w:cs="Times New Roman"/>
          <w:bCs/>
          <w:i/>
          <w:sz w:val="24"/>
          <w:szCs w:val="24"/>
        </w:rPr>
        <w:t>leonardus</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leonardus</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proofErr w:type="spellStart"/>
      <w:r w:rsidR="00025100" w:rsidRPr="00025100">
        <w:rPr>
          <w:rFonts w:ascii="Times New Roman" w:hAnsi="Times New Roman" w:cs="Times New Roman"/>
          <w:bCs/>
          <w:i/>
          <w:sz w:val="24"/>
          <w:szCs w:val="24"/>
        </w:rPr>
        <w:t>Liatris</w:t>
      </w:r>
      <w:proofErr w:type="spellEnd"/>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proofErr w:type="spellStart"/>
      <w:r w:rsidR="00025100" w:rsidRPr="00C966A8">
        <w:rPr>
          <w:rFonts w:ascii="Times New Roman" w:hAnsi="Times New Roman" w:cs="Times New Roman"/>
          <w:bCs/>
          <w:i/>
          <w:sz w:val="24"/>
          <w:szCs w:val="24"/>
        </w:rPr>
        <w:t>Cicindela</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w:t>
      </w:r>
      <w:r w:rsidRPr="00C966A8">
        <w:rPr>
          <w:rFonts w:ascii="Times New Roman" w:hAnsi="Times New Roman" w:cs="Times New Roman"/>
          <w:bCs/>
          <w:sz w:val="24"/>
          <w:szCs w:val="24"/>
        </w:rPr>
        <w:lastRenderedPageBreak/>
        <w:t xml:space="preserve">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w:t>
      </w:r>
      <w:proofErr w:type="spellStart"/>
      <w:r w:rsidR="004F2EAA">
        <w:rPr>
          <w:rFonts w:ascii="Times New Roman" w:hAnsi="Times New Roman" w:cs="Times New Roman"/>
          <w:sz w:val="24"/>
          <w:szCs w:val="24"/>
        </w:rPr>
        <w:t>Nuzzo</w:t>
      </w:r>
      <w:proofErr w:type="spellEnd"/>
      <w:r w:rsidR="004F2EAA">
        <w:rPr>
          <w:rFonts w:ascii="Times New Roman" w:hAnsi="Times New Roman" w:cs="Times New Roman"/>
          <w:sz w:val="24"/>
          <w:szCs w:val="24"/>
        </w:rPr>
        <w:t xml:space="preserve">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 xml:space="preserve">characterized by a </w:t>
      </w:r>
      <w:r w:rsidRPr="00C966A8">
        <w:rPr>
          <w:rFonts w:ascii="Times New Roman" w:hAnsi="Times New Roman" w:cs="Times New Roman"/>
          <w:sz w:val="24"/>
          <w:szCs w:val="24"/>
        </w:rPr>
        <w:lastRenderedPageBreak/>
        <w:t>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 xml:space="preserve">Hesperia </w:t>
      </w:r>
      <w:proofErr w:type="spellStart"/>
      <w:r w:rsidR="00360D84">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proofErr w:type="spellStart"/>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proofErr w:type="spellEnd"/>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 xml:space="preserve">(Martin and Parrish 2000; </w:t>
      </w:r>
      <w:proofErr w:type="spellStart"/>
      <w:r w:rsidR="002D4FB7" w:rsidRPr="002D4FB7">
        <w:rPr>
          <w:rFonts w:ascii="Times New Roman" w:hAnsi="Times New Roman" w:cs="Times New Roman"/>
          <w:sz w:val="24"/>
        </w:rPr>
        <w:t>Pfannmuller</w:t>
      </w:r>
      <w:proofErr w:type="spellEnd"/>
      <w:r w:rsidR="002D4FB7" w:rsidRPr="002D4FB7">
        <w:rPr>
          <w:rFonts w:ascii="Times New Roman" w:hAnsi="Times New Roman" w:cs="Times New Roman"/>
          <w:sz w:val="24"/>
        </w:rPr>
        <w:t xml:space="preserve">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estoration beginning in 2014,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lastRenderedPageBreak/>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w:t>
      </w:r>
      <w:proofErr w:type="spellStart"/>
      <w:r w:rsidR="00923D25" w:rsidRPr="00923D25">
        <w:rPr>
          <w:rFonts w:ascii="Times New Roman" w:hAnsi="Times New Roman" w:cs="Times New Roman"/>
          <w:sz w:val="24"/>
        </w:rPr>
        <w:t>Hutto</w:t>
      </w:r>
      <w:proofErr w:type="spellEnd"/>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proofErr w:type="spellStart"/>
      <w:r w:rsidR="00B22B07" w:rsidRPr="007E4C17">
        <w:rPr>
          <w:rFonts w:ascii="Times New Roman" w:hAnsi="Times New Roman" w:cs="Times New Roman"/>
          <w:i/>
          <w:sz w:val="24"/>
          <w:szCs w:val="24"/>
        </w:rPr>
        <w:t>Schizachyrium</w:t>
      </w:r>
      <w:proofErr w:type="spellEnd"/>
      <w:r w:rsidR="00B22B07" w:rsidRPr="007E4C17">
        <w:rPr>
          <w:rFonts w:ascii="Times New Roman" w:hAnsi="Times New Roman" w:cs="Times New Roman"/>
          <w:i/>
          <w:sz w:val="24"/>
          <w:szCs w:val="24"/>
        </w:rPr>
        <w:t xml:space="preserve"> </w:t>
      </w:r>
      <w:proofErr w:type="spellStart"/>
      <w:r w:rsidR="00B22B07" w:rsidRPr="007E4C17">
        <w:rPr>
          <w:rFonts w:ascii="Times New Roman" w:hAnsi="Times New Roman" w:cs="Times New Roman"/>
          <w:i/>
          <w:sz w:val="24"/>
          <w:szCs w:val="24"/>
        </w:rPr>
        <w:t>scoparium</w:t>
      </w:r>
      <w:proofErr w:type="spellEnd"/>
      <w:r w:rsidR="00B22B07">
        <w:rPr>
          <w:rFonts w:ascii="Times New Roman" w:hAnsi="Times New Roman" w:cs="Times New Roman"/>
          <w:sz w:val="24"/>
          <w:szCs w:val="24"/>
        </w:rPr>
        <w:t>); number of stems of woody vegetation (i.e. shrubby species &lt; 0.5 m tall), blazing star (</w:t>
      </w:r>
      <w:proofErr w:type="spellStart"/>
      <w:r w:rsidR="00B22B07" w:rsidRPr="00981371">
        <w:rPr>
          <w:rFonts w:ascii="Times New Roman" w:hAnsi="Times New Roman" w:cs="Times New Roman"/>
          <w:i/>
          <w:sz w:val="24"/>
          <w:szCs w:val="24"/>
        </w:rPr>
        <w:t>Liatris</w:t>
      </w:r>
      <w:proofErr w:type="spellEnd"/>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proofErr w:type="spellStart"/>
      <w:r w:rsidR="00B22B07" w:rsidRPr="00B22B07">
        <w:rPr>
          <w:rFonts w:ascii="Times New Roman" w:hAnsi="Times New Roman" w:cs="Times New Roman"/>
          <w:i/>
          <w:sz w:val="24"/>
          <w:szCs w:val="24"/>
        </w:rPr>
        <w:t>Asclepias</w:t>
      </w:r>
      <w:proofErr w:type="spellEnd"/>
      <w:r w:rsidR="00B22B07">
        <w:rPr>
          <w:rFonts w:ascii="Times New Roman" w:hAnsi="Times New Roman" w:cs="Times New Roman"/>
          <w:sz w:val="24"/>
          <w:szCs w:val="24"/>
        </w:rPr>
        <w:t xml:space="preserve"> spp.); number of pocket gopher (</w:t>
      </w:r>
      <w:proofErr w:type="spellStart"/>
      <w:r w:rsidR="00B22B07" w:rsidRPr="00B22B07">
        <w:rPr>
          <w:rFonts w:ascii="Times New Roman" w:hAnsi="Times New Roman" w:cs="Times New Roman"/>
          <w:i/>
          <w:sz w:val="24"/>
          <w:szCs w:val="24"/>
        </w:rPr>
        <w:t>Geomys</w:t>
      </w:r>
      <w:proofErr w:type="spellEnd"/>
      <w:r w:rsidR="00B22B07" w:rsidRPr="00B22B07">
        <w:rPr>
          <w:rFonts w:ascii="Times New Roman" w:hAnsi="Times New Roman" w:cs="Times New Roman"/>
          <w:i/>
          <w:sz w:val="24"/>
          <w:szCs w:val="24"/>
        </w:rPr>
        <w:t xml:space="preserve"> </w:t>
      </w:r>
      <w:proofErr w:type="spellStart"/>
      <w:r w:rsidR="00B22B07" w:rsidRPr="00B22B07">
        <w:rPr>
          <w:rFonts w:ascii="Times New Roman" w:hAnsi="Times New Roman" w:cs="Times New Roman"/>
          <w:i/>
          <w:sz w:val="24"/>
          <w:szCs w:val="24"/>
        </w:rPr>
        <w:t>bursarius</w:t>
      </w:r>
      <w:proofErr w:type="spellEnd"/>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lastRenderedPageBreak/>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Dechant</w:t>
      </w:r>
      <w:proofErr w:type="spellEnd"/>
      <w:r>
        <w:rPr>
          <w:rFonts w:ascii="Times New Roman" w:hAnsi="Times New Roman" w:cs="Times New Roman"/>
          <w:bCs/>
          <w:sz w:val="24"/>
          <w:szCs w:val="24"/>
        </w:rPr>
        <w:t xml:space="preserve">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would be affected by Julian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proofErr w:type="spellStart"/>
      <w:r w:rsidRPr="00235C0E">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proofErr w:type="spellStart"/>
      <w:r w:rsidRPr="00F56BAB">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 xml:space="preserve">have rolling topography (Christopher Smith, MN Department of Transportation, </w:t>
      </w:r>
      <w:proofErr w:type="gramStart"/>
      <w:r>
        <w:rPr>
          <w:rFonts w:ascii="Times New Roman" w:hAnsi="Times New Roman" w:cs="Times New Roman"/>
          <w:bCs/>
          <w:sz w:val="24"/>
          <w:szCs w:val="24"/>
        </w:rPr>
        <w:t>pers</w:t>
      </w:r>
      <w:proofErr w:type="gramEnd"/>
      <w:r>
        <w:rPr>
          <w:rFonts w:ascii="Times New Roman" w:hAnsi="Times New Roman" w:cs="Times New Roman"/>
          <w:bCs/>
          <w:sz w:val="24"/>
          <w:szCs w:val="24"/>
        </w:rPr>
        <w:t>.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affected by Julian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detection would be affected by Julian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w:t>
      </w:r>
      <w:r w:rsidR="00F03388">
        <w:rPr>
          <w:rFonts w:ascii="Times New Roman" w:hAnsi="Times New Roman" w:cs="Times New Roman"/>
          <w:sz w:val="24"/>
          <w:szCs w:val="24"/>
        </w:rPr>
        <w:lastRenderedPageBreak/>
        <w:t>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 xml:space="preserve">odels developed by </w:t>
      </w:r>
      <w:proofErr w:type="spellStart"/>
      <w:r w:rsidR="001F140F">
        <w:rPr>
          <w:rFonts w:ascii="Times New Roman" w:hAnsi="Times New Roman" w:cs="Times New Roman"/>
          <w:sz w:val="24"/>
          <w:szCs w:val="24"/>
        </w:rPr>
        <w:t>Dail</w:t>
      </w:r>
      <w:proofErr w:type="spellEnd"/>
      <w:r w:rsidR="001F140F">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w:t>
      </w:r>
      <w:r w:rsidR="00FA72F1">
        <w:rPr>
          <w:rFonts w:ascii="Times New Roman" w:hAnsi="Times New Roman" w:cs="Times New Roman"/>
          <w:sz w:val="24"/>
          <w:szCs w:val="24"/>
        </w:rPr>
        <w:lastRenderedPageBreak/>
        <w:t xml:space="preserve">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3)</w:t>
      </w:r>
      <w:r w:rsidRPr="00E269C1">
        <w:rPr>
          <w:rFonts w:ascii="Times New Roman" w:hAnsi="Times New Roman" w:cs="Times New Roman"/>
          <w:sz w:val="24"/>
          <w:szCs w:val="24"/>
        </w:rPr>
        <w:t>:</w:t>
      </w:r>
    </w:p>
    <w:p w:rsidR="00E269C1" w:rsidRPr="00E269C1" w:rsidRDefault="00751DA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751DA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751DA5"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751DA5"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recruitment of new individuals into each plot (</w:t>
      </w:r>
      <w:proofErr w:type="spellStart"/>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proofErr w:type="spellEnd"/>
      <w:r w:rsidR="00E269C1" w:rsidRPr="00E269C1">
        <w:rPr>
          <w:rFonts w:ascii="Times New Roman" w:eastAsiaTheme="minorEastAsia" w:hAnsi="Times New Roman" w:cs="Times New Roman"/>
          <w:sz w:val="24"/>
          <w:szCs w:val="24"/>
        </w:rPr>
        <w:t>):</w:t>
      </w:r>
    </w:p>
    <w:p w:rsidR="00E269C1" w:rsidRPr="00E269C1" w:rsidRDefault="00751DA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751DA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751DA5"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rsidR="00E269C1" w:rsidRPr="00E269C1" w:rsidRDefault="00751DA5"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w:t>
      </w:r>
      <w:r w:rsidR="00320962">
        <w:rPr>
          <w:rFonts w:ascii="Times New Roman" w:hAnsi="Times New Roman" w:cs="Times New Roman"/>
          <w:sz w:val="24"/>
          <w:szCs w:val="24"/>
        </w:rPr>
        <w:lastRenderedPageBreak/>
        <w:t xml:space="preserve">Poisson distributions to determine which baseline model provided the best fit for our data, where “best” was determined based on minimum values of the </w:t>
      </w:r>
      <w:proofErr w:type="spellStart"/>
      <w:r w:rsidR="00320962">
        <w:rPr>
          <w:rFonts w:ascii="Times New Roman" w:hAnsi="Times New Roman" w:cs="Times New Roman"/>
          <w:sz w:val="24"/>
          <w:szCs w:val="24"/>
        </w:rPr>
        <w:t>Akaike</w:t>
      </w:r>
      <w:proofErr w:type="spellEnd"/>
      <w:r w:rsidR="00320962">
        <w:rPr>
          <w:rFonts w:ascii="Times New Roman" w:hAnsi="Times New Roman" w:cs="Times New Roman"/>
          <w:sz w:val="24"/>
          <w:szCs w:val="24"/>
        </w:rPr>
        <w:t xml:space="preserv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w:t>
      </w:r>
      <w:proofErr w:type="spellStart"/>
      <w:r w:rsidR="00712D2F" w:rsidRPr="00712D2F">
        <w:rPr>
          <w:rFonts w:ascii="Times New Roman" w:hAnsi="Times New Roman" w:cs="Times New Roman"/>
          <w:sz w:val="24"/>
        </w:rPr>
        <w:t>Fondell</w:t>
      </w:r>
      <w:proofErr w:type="spellEnd"/>
      <w:r w:rsidR="00712D2F" w:rsidRPr="00712D2F">
        <w:rPr>
          <w:rFonts w:ascii="Times New Roman" w:hAnsi="Times New Roman" w:cs="Times New Roman"/>
          <w:sz w:val="24"/>
        </w:rPr>
        <w:t xml:space="preserve">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proofErr w:type="spell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751DA5"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751DA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751DA5"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751DA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751DA5"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751DA5"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to exhibit additional </w:t>
      </w:r>
      <w:proofErr w:type="spellStart"/>
      <w:r w:rsidR="001A1958">
        <w:rPr>
          <w:rFonts w:ascii="Times New Roman" w:eastAsiaTheme="minorEastAsia" w:hAnsi="Times New Roman" w:cs="Times New Roman"/>
          <w:sz w:val="24"/>
          <w:szCs w:val="24"/>
        </w:rPr>
        <w:t>spatio</w:t>
      </w:r>
      <w:proofErr w:type="spellEnd"/>
      <w:r w:rsidR="001A1958">
        <w:rPr>
          <w:rFonts w:ascii="Times New Roman" w:eastAsiaTheme="minorEastAsia" w:hAnsi="Times New Roman" w:cs="Times New Roman"/>
          <w:sz w:val="24"/>
          <w:szCs w:val="24"/>
        </w:rPr>
        <w:t>-temporal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751DA5"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751DA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w:t>
      </w:r>
      <w:proofErr w:type="spellStart"/>
      <w:r w:rsidR="001A1958">
        <w:rPr>
          <w:rFonts w:ascii="Times New Roman" w:hAnsi="Times New Roman" w:cs="Times New Roman"/>
          <w:sz w:val="24"/>
          <w:szCs w:val="24"/>
        </w:rPr>
        <w:t>traceplots</w:t>
      </w:r>
      <w:proofErr w:type="spellEnd"/>
      <w:r w:rsidR="001A1958">
        <w:rPr>
          <w:rFonts w:ascii="Times New Roman" w:hAnsi="Times New Roman" w:cs="Times New Roman"/>
          <w:sz w:val="24"/>
          <w:szCs w:val="24"/>
        </w:rPr>
        <w:t xml:space="preserve">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In plots where they were observed, mean counts were 1.43 +/- 0.14 SE individuals. 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w:t>
      </w:r>
      <w:r w:rsidR="003F1EA6">
        <w:rPr>
          <w:rFonts w:ascii="Times New Roman" w:hAnsi="Times New Roman" w:cs="Times New Roman"/>
          <w:sz w:val="24"/>
          <w:szCs w:val="24"/>
        </w:rPr>
        <w:lastRenderedPageBreak/>
        <w:t xml:space="preserve">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In plots where they were observed, mean counts were 1.51 +/- 0.05 SE individuals.</w:t>
      </w:r>
      <w:r w:rsidR="006C19EE">
        <w:rPr>
          <w:rFonts w:ascii="Times New Roman" w:hAnsi="Times New Roman" w:cs="Times New Roman"/>
          <w:sz w:val="24"/>
          <w:szCs w:val="24"/>
        </w:rPr>
        <w:t xml:space="preserve"> 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Leonard’s skippers were observed in ten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Mean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0.975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R-hat</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Occupancy</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-0.69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-2.08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5.78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1.02</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Abundance</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11.11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24.60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103.90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1.42</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Disturbance</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-3.79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-6.49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0.76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1.05</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1.61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4.02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1.16</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3.29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1.01</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52.31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61.84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3.96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248.74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1.33</w:t>
            </w:r>
          </w:p>
        </w:tc>
      </w:tr>
      <w:tr w:rsidR="001442AB" w:rsidRPr="001442AB" w:rsidTr="001442AB">
        <w:trPr>
          <w:trHeight w:val="300"/>
        </w:trPr>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0.03</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0.09</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1.08</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w:t>
      </w:r>
      <w:bookmarkStart w:id="0" w:name="_GoBack"/>
      <w:bookmarkEnd w:id="0"/>
      <w:r w:rsidRPr="00B25E21">
        <w:rPr>
          <w:rFonts w:ascii="Times New Roman" w:hAnsi="Times New Roman" w:cs="Times New Roman"/>
          <w:sz w:val="20"/>
          <w:szCs w:val="20"/>
        </w:rPr>
        <w:t xml:space="preserve">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442AFF" w:rsidRPr="00442AFF" w:rsidTr="00442AFF">
        <w:trPr>
          <w:trHeight w:val="300"/>
        </w:trPr>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Mean</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proofErr w:type="spellStart"/>
            <w:r w:rsidRPr="00442AFF">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0.975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R-hat</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Occupancy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0.49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lastRenderedPageBreak/>
              <w:t>Abundance</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11.17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42.45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1.22</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2.04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0.29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1.56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1.09</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0.57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50.82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40.26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8.88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179.91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1.28</w:t>
            </w:r>
          </w:p>
        </w:tc>
      </w:tr>
      <w:tr w:rsidR="00442AFF" w:rsidRPr="00442AFF" w:rsidTr="00442AFF">
        <w:trPr>
          <w:trHeight w:val="300"/>
        </w:trPr>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0.01</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0.05</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1C2100">
        <w:rPr>
          <w:rFonts w:ascii="Times New Roman" w:hAnsi="Times New Roman" w:cs="Times New Roman"/>
          <w:bCs/>
          <w:sz w:val="24"/>
          <w:szCs w:val="24"/>
        </w:rPr>
        <w:t>total</w:t>
      </w:r>
      <w:r w:rsidR="004E3BD9">
        <w:rPr>
          <w:rFonts w:ascii="Times New Roman" w:hAnsi="Times New Roman" w:cs="Times New Roman"/>
          <w:bCs/>
          <w:sz w:val="24"/>
          <w:szCs w:val="24"/>
        </w:rPr>
        <w:t xml:space="preserve"> absence of detection evens during replicate surveys</w:t>
      </w:r>
      <w:r w:rsidR="001C2100">
        <w:rPr>
          <w:rFonts w:ascii="Times New Roman" w:hAnsi="Times New Roman" w:cs="Times New Roman"/>
          <w:bCs/>
          <w:sz w:val="24"/>
          <w:szCs w:val="24"/>
        </w:rPr>
        <w:t xml:space="preserve"> intervals within the same survey</w:t>
      </w:r>
      <w:r w:rsidR="004E3BD9">
        <w:rPr>
          <w:rFonts w:ascii="Times New Roman" w:hAnsi="Times New Roman" w:cs="Times New Roman"/>
          <w:bCs/>
          <w:sz w:val="24"/>
          <w:szCs w:val="24"/>
        </w:rPr>
        <w:t>, d</w:t>
      </w:r>
      <w:r w:rsidR="00E81529">
        <w:rPr>
          <w:rFonts w:ascii="Times New Roman" w:hAnsi="Times New Roman" w:cs="Times New Roman"/>
          <w:bCs/>
          <w:sz w:val="24"/>
          <w:szCs w:val="24"/>
        </w:rPr>
        <w:t>ata for both species of snakes was insufficient for occupancy and abundance analysis</w:t>
      </w:r>
      <w:r w:rsidR="0086162A">
        <w:rPr>
          <w:rFonts w:ascii="Times New Roman" w:hAnsi="Times New Roman" w:cs="Times New Roman"/>
          <w:bCs/>
          <w:sz w:val="24"/>
          <w:szCs w:val="24"/>
        </w:rPr>
        <w:t xml:space="preserve"> (</w:t>
      </w:r>
      <w:proofErr w:type="spellStart"/>
      <w:r w:rsidR="002E2E43" w:rsidRPr="00A96F49">
        <w:rPr>
          <w:rFonts w:ascii="Times New Roman" w:hAnsi="Times New Roman" w:cs="Times New Roman"/>
          <w:bCs/>
          <w:sz w:val="24"/>
          <w:szCs w:val="24"/>
        </w:rPr>
        <w:t>Guillera-Arroita</w:t>
      </w:r>
      <w:proofErr w:type="spellEnd"/>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proofErr w:type="spellStart"/>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w:t>
      </w:r>
      <w:proofErr w:type="spellStart"/>
      <w:r w:rsidR="0015495C" w:rsidRPr="00A96F49">
        <w:rPr>
          <w:rFonts w:ascii="Times New Roman" w:hAnsi="Times New Roman" w:cs="Times New Roman"/>
          <w:bCs/>
          <w:sz w:val="24"/>
          <w:szCs w:val="24"/>
        </w:rPr>
        <w:t>Bendel</w:t>
      </w:r>
      <w:proofErr w:type="spellEnd"/>
      <w:r w:rsidR="0015495C" w:rsidRPr="00A96F49">
        <w:rPr>
          <w:rFonts w:ascii="Times New Roman" w:hAnsi="Times New Roman" w:cs="Times New Roman"/>
          <w:bCs/>
          <w:sz w:val="24"/>
          <w:szCs w:val="24"/>
        </w:rPr>
        <w:t xml:space="preserve">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xml:space="preserve">,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w:t>
      </w:r>
      <w:r w:rsidRPr="00A96F49">
        <w:rPr>
          <w:rFonts w:ascii="Times New Roman" w:hAnsi="Times New Roman" w:cs="Times New Roman"/>
          <w:bCs/>
          <w:sz w:val="24"/>
          <w:szCs w:val="24"/>
        </w:rPr>
        <w:t xml:space="preserve"> For example, within our study system lark sparrow </w:t>
      </w:r>
      <w:r w:rsidRPr="00A96F49">
        <w:rPr>
          <w:rFonts w:ascii="Times New Roman" w:hAnsi="Times New Roman" w:cs="Times New Roman"/>
          <w:bCs/>
          <w:sz w:val="24"/>
          <w:szCs w:val="24"/>
        </w:rPr>
        <w:lastRenderedPageBreak/>
        <w:t xml:space="preserve">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 xml:space="preserve">(Dana,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 xml:space="preserve">the chance of local extinctions.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w:t>
      </w:r>
      <w:r w:rsidRPr="00A96F49">
        <w:rPr>
          <w:rFonts w:ascii="Times New Roman" w:hAnsi="Times New Roman" w:cs="Times New Roman"/>
          <w:bCs/>
          <w:sz w:val="24"/>
          <w:szCs w:val="24"/>
        </w:rPr>
        <w:lastRenderedPageBreak/>
        <w:t xml:space="preserve">areas with potentially ideal skipper habitat (i.e., understories with bunchgrass, </w:t>
      </w:r>
      <w:proofErr w:type="spellStart"/>
      <w:r w:rsidR="0076472D">
        <w:rPr>
          <w:rFonts w:ascii="Times New Roman" w:hAnsi="Times New Roman" w:cs="Times New Roman"/>
          <w:bCs/>
          <w:i/>
          <w:sz w:val="24"/>
          <w:szCs w:val="24"/>
        </w:rPr>
        <w:t>Liatris</w:t>
      </w:r>
      <w:proofErr w:type="spellEnd"/>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00A96F49" w:rsidRPr="00A96F49">
        <w:rPr>
          <w:rFonts w:ascii="Times New Roman" w:hAnsi="Times New Roman" w:cs="Times New Roman"/>
          <w:bCs/>
          <w:sz w:val="24"/>
          <w:szCs w:val="24"/>
        </w:rPr>
        <w:t>Moranz</w:t>
      </w:r>
      <w:proofErr w:type="spellEnd"/>
      <w:r w:rsidR="00A96F49" w:rsidRPr="00A96F49">
        <w:rPr>
          <w:rFonts w:ascii="Times New Roman" w:hAnsi="Times New Roman" w:cs="Times New Roman"/>
          <w:bCs/>
          <w:sz w:val="24"/>
          <w:szCs w:val="24"/>
        </w:rPr>
        <w:t xml:space="preserve"> et al. 2014) on a reduced scale. Although restoration planning should be at a large scale to provide a variety of related </w:t>
      </w:r>
      <w:r w:rsidR="00A96F49" w:rsidRPr="00A96F49">
        <w:rPr>
          <w:rFonts w:ascii="Times New Roman" w:hAnsi="Times New Roman" w:cs="Times New Roman"/>
          <w:bCs/>
          <w:sz w:val="24"/>
          <w:szCs w:val="24"/>
        </w:rPr>
        <w:lastRenderedPageBreak/>
        <w:t>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w:t>
      </w:r>
      <w:proofErr w:type="spellStart"/>
      <w:r w:rsidR="00FC056D">
        <w:rPr>
          <w:rFonts w:ascii="Times New Roman" w:hAnsi="Times New Roman" w:cs="Times New Roman"/>
          <w:bCs/>
          <w:sz w:val="24"/>
          <w:szCs w:val="24"/>
        </w:rPr>
        <w:t>refugi</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00A96F49" w:rsidRPr="00A96F49">
        <w:rPr>
          <w:rFonts w:ascii="Times New Roman" w:hAnsi="Times New Roman" w:cs="Times New Roman"/>
          <w:bCs/>
          <w:sz w:val="24"/>
          <w:szCs w:val="24"/>
        </w:rPr>
        <w:t>Swengel</w:t>
      </w:r>
      <w:proofErr w:type="spellEnd"/>
      <w:r w:rsidR="00A96F49" w:rsidRPr="00A96F49">
        <w:rPr>
          <w:rFonts w:ascii="Times New Roman" w:hAnsi="Times New Roman" w:cs="Times New Roman"/>
          <w:bCs/>
          <w:sz w:val="24"/>
          <w:szCs w:val="24"/>
        </w:rPr>
        <w:t xml:space="preserve">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00A96F49" w:rsidRPr="00A96F49">
        <w:rPr>
          <w:rFonts w:ascii="Times New Roman" w:hAnsi="Times New Roman" w:cs="Times New Roman"/>
          <w:bCs/>
          <w:sz w:val="24"/>
          <w:szCs w:val="24"/>
        </w:rPr>
        <w:t>Guillera-Arroita</w:t>
      </w:r>
      <w:proofErr w:type="spellEnd"/>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 xml:space="preserve">2010; Mackenzie &amp; </w:t>
      </w:r>
      <w:proofErr w:type="spellStart"/>
      <w:r w:rsidR="00FC056D">
        <w:rPr>
          <w:rFonts w:ascii="Times New Roman" w:hAnsi="Times New Roman" w:cs="Times New Roman"/>
          <w:bCs/>
          <w:sz w:val="24"/>
          <w:szCs w:val="24"/>
        </w:rPr>
        <w:t>Royle</w:t>
      </w:r>
      <w:proofErr w:type="spellEnd"/>
      <w:r w:rsidR="00FC056D">
        <w:rPr>
          <w:rFonts w:ascii="Times New Roman" w:hAnsi="Times New Roman" w:cs="Times New Roman"/>
          <w:bCs/>
          <w:sz w:val="24"/>
          <w:szCs w:val="24"/>
        </w:rPr>
        <w:t>,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 xml:space="preserve">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46DB"/>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203BE"/>
    <w:rsid w:val="00422190"/>
    <w:rsid w:val="00427302"/>
    <w:rsid w:val="004335BC"/>
    <w:rsid w:val="004341AB"/>
    <w:rsid w:val="00435FEB"/>
    <w:rsid w:val="00440059"/>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3A46"/>
    <w:rsid w:val="004B40D5"/>
    <w:rsid w:val="004B5B68"/>
    <w:rsid w:val="004C1D5D"/>
    <w:rsid w:val="004C4BC1"/>
    <w:rsid w:val="004C55C6"/>
    <w:rsid w:val="004D7A78"/>
    <w:rsid w:val="004E22D3"/>
    <w:rsid w:val="004E315D"/>
    <w:rsid w:val="004E3BD9"/>
    <w:rsid w:val="004E6D6C"/>
    <w:rsid w:val="004F08FD"/>
    <w:rsid w:val="004F1174"/>
    <w:rsid w:val="004F17EB"/>
    <w:rsid w:val="004F1DBF"/>
    <w:rsid w:val="004F2EAA"/>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5B0"/>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3D25"/>
    <w:rsid w:val="00925008"/>
    <w:rsid w:val="009314C9"/>
    <w:rsid w:val="009315EF"/>
    <w:rsid w:val="0093304A"/>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D0801"/>
    <w:rsid w:val="00CD2F66"/>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741E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2B56"/>
    <w:rsid w:val="00DB554B"/>
    <w:rsid w:val="00DB607C"/>
    <w:rsid w:val="00DC3E7F"/>
    <w:rsid w:val="00DC55CA"/>
    <w:rsid w:val="00DC7714"/>
    <w:rsid w:val="00DC78C3"/>
    <w:rsid w:val="00DD2708"/>
    <w:rsid w:val="00DE02D7"/>
    <w:rsid w:val="00DE1B4C"/>
    <w:rsid w:val="00DE4235"/>
    <w:rsid w:val="00DF26BB"/>
    <w:rsid w:val="00DF5340"/>
    <w:rsid w:val="00DF7B12"/>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2F42"/>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053C-F062-42AD-A8B5-B2EA167B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17560</Words>
  <Characters>100097</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cp:revision>
  <dcterms:created xsi:type="dcterms:W3CDTF">2018-11-06T10:11:00Z</dcterms:created>
  <dcterms:modified xsi:type="dcterms:W3CDTF">2018-11-06T10:11:00Z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