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collaboration with my academic advisor Dr. Todd Arnold and Dr. Althea ArchMiller, both of whom will be co-authors on that publication. The use of plural pronouns throughout the thesis is reflective of this collaboration.</w:t>
      </w:r>
    </w:p>
    <w:p w:rsidR="0017376F" w:rsidRPr="006124EE" w:rsidRDefault="0017376F" w:rsidP="00C41482">
      <w:pPr>
        <w:spacing w:line="480" w:lineRule="auto"/>
        <w:jc w:val="center"/>
        <w:rPr>
          <w:rFonts w:ascii="Times New Roman" w:hAnsi="Times New Roman" w:cs="Times New Roman"/>
          <w:sz w:val="24"/>
          <w:szCs w:val="24"/>
        </w:rPr>
      </w:pP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w:t>
      </w:r>
      <w:r w:rsidR="00577C2F">
        <w:rPr>
          <w:rFonts w:ascii="Times New Roman" w:hAnsi="Times New Roman" w:cs="Times New Roman"/>
          <w:sz w:val="24"/>
          <w:szCs w:val="24"/>
        </w:rPr>
        <w:t xml:space="preserve"> state forest to </w:t>
      </w:r>
      <w:r w:rsidR="0071688F">
        <w:rPr>
          <w:rFonts w:ascii="Times New Roman" w:hAnsi="Times New Roman" w:cs="Times New Roman"/>
          <w:sz w:val="24"/>
          <w:szCs w:val="24"/>
        </w:rPr>
        <w:t>habitat types</w:t>
      </w:r>
      <w:r w:rsidR="00577C2F">
        <w:rPr>
          <w:rFonts w:ascii="Times New Roman" w:hAnsi="Times New Roman" w:cs="Times New Roman"/>
          <w:sz w:val="24"/>
          <w:szCs w:val="24"/>
        </w:rPr>
        <w:t xml:space="preserve"> that were present before</w:t>
      </w:r>
      <w:r w:rsidR="0078160F">
        <w:rPr>
          <w:rFonts w:ascii="Times New Roman" w:hAnsi="Times New Roman" w:cs="Times New Roman"/>
          <w:sz w:val="24"/>
          <w:szCs w:val="24"/>
        </w:rPr>
        <w:t xml:space="preserve"> the landscape was significantly altered by</w:t>
      </w:r>
      <w:r w:rsidR="00577C2F">
        <w:rPr>
          <w:rFonts w:ascii="Times New Roman" w:hAnsi="Times New Roman" w:cs="Times New Roman"/>
          <w:sz w:val="24"/>
          <w:szCs w:val="24"/>
        </w:rPr>
        <w:t xml:space="preserve"> European settlement</w:t>
      </w:r>
      <w:r w:rsidR="0071688F">
        <w:rPr>
          <w:rFonts w:ascii="Times New Roman" w:hAnsi="Times New Roman" w:cs="Times New Roman"/>
          <w:sz w:val="24"/>
          <w:szCs w:val="24"/>
        </w:rPr>
        <w:t>.</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 (</w:t>
      </w:r>
      <w:r w:rsidR="009315EF" w:rsidRPr="00C966A8">
        <w:rPr>
          <w:rFonts w:ascii="Times New Roman" w:hAnsi="Times New Roman" w:cs="Times New Roman"/>
          <w:bCs/>
          <w:i/>
          <w:sz w:val="24"/>
          <w:szCs w:val="24"/>
        </w:rPr>
        <w:t>Pituophis catenifer</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r w:rsidR="009315EF" w:rsidRPr="00C966A8">
        <w:rPr>
          <w:rFonts w:ascii="Times New Roman" w:hAnsi="Times New Roman" w:cs="Times New Roman"/>
          <w:bCs/>
          <w:i/>
          <w:sz w:val="24"/>
          <w:szCs w:val="24"/>
        </w:rPr>
        <w:t>Heterodon nasicus</w:t>
      </w:r>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r w:rsidR="009315EF" w:rsidRPr="00C966A8">
        <w:rPr>
          <w:rFonts w:ascii="Times New Roman" w:hAnsi="Times New Roman" w:cs="Times New Roman"/>
          <w:bCs/>
          <w:i/>
          <w:sz w:val="24"/>
          <w:szCs w:val="24"/>
        </w:rPr>
        <w:t>Pipilo erythrophthalmus</w:t>
      </w:r>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r w:rsidR="009315EF" w:rsidRPr="00C966A8">
        <w:rPr>
          <w:rFonts w:ascii="Times New Roman" w:hAnsi="Times New Roman" w:cs="Times New Roman"/>
          <w:bCs/>
          <w:i/>
          <w:sz w:val="24"/>
          <w:szCs w:val="24"/>
        </w:rPr>
        <w:t>Chondestes grammacus</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w:t>
      </w:r>
      <w:r w:rsidR="009315EF">
        <w:rPr>
          <w:rFonts w:ascii="Times New Roman" w:hAnsi="Times New Roman" w:cs="Times New Roman"/>
          <w:bCs/>
          <w:sz w:val="24"/>
          <w:szCs w:val="24"/>
        </w:rPr>
        <w:lastRenderedPageBreak/>
        <w:t xml:space="preserve">the importance of open partly forested habitats for both species. In addition, lark sparrow abundance increased with management disturbance and declined with number of woody stems. </w:t>
      </w:r>
      <w:r w:rsidR="00025100">
        <w:rPr>
          <w:rFonts w:ascii="Times New Roman" w:hAnsi="Times New Roman" w:cs="Times New Roman"/>
          <w:bCs/>
          <w:sz w:val="24"/>
          <w:szCs w:val="24"/>
        </w:rPr>
        <w:t>Leonard’s skippers (</w:t>
      </w:r>
      <w:r w:rsidR="00025100" w:rsidRPr="00C966A8">
        <w:rPr>
          <w:rFonts w:ascii="Times New Roman" w:hAnsi="Times New Roman" w:cs="Times New Roman"/>
          <w:bCs/>
          <w:i/>
          <w:sz w:val="24"/>
          <w:szCs w:val="24"/>
        </w:rPr>
        <w:t>Hesperia leonardus leonardus</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r w:rsidR="00025100" w:rsidRPr="00025100">
        <w:rPr>
          <w:rFonts w:ascii="Times New Roman" w:hAnsi="Times New Roman" w:cs="Times New Roman"/>
          <w:bCs/>
          <w:i/>
          <w:sz w:val="24"/>
          <w:szCs w:val="24"/>
        </w:rPr>
        <w:t>Liatris</w:t>
      </w:r>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r w:rsidR="00025100"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variables (e.g. canopy closure, recent disturbance) </w:t>
      </w:r>
      <w:r w:rsidR="00D5242D">
        <w:rPr>
          <w:rFonts w:ascii="Times New Roman" w:hAnsi="Times New Roman" w:cs="Times New Roman"/>
          <w:bCs/>
          <w:sz w:val="24"/>
          <w:szCs w:val="24"/>
        </w:rPr>
        <w:t>had disparate effects between species</w:t>
      </w:r>
      <w:r w:rsidR="00025100">
        <w:rPr>
          <w:rFonts w:ascii="Times New Roman" w:hAnsi="Times New Roman" w:cs="Times New Roman"/>
          <w:bCs/>
          <w:sz w:val="24"/>
          <w:szCs w:val="24"/>
        </w:rPr>
        <w:t>. These results highlight the importance of careful planning when undertaking habitat restoration projects. Plans should consider the habitat needs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w:t>
      </w:r>
      <w:r w:rsidR="00C83BBD">
        <w:rPr>
          <w:rFonts w:ascii="Times New Roman" w:hAnsi="Times New Roman" w:cs="Times New Roman"/>
          <w:bCs/>
          <w:sz w:val="24"/>
          <w:szCs w:val="24"/>
        </w:rPr>
        <w:t>-American</w:t>
      </w:r>
      <w:r w:rsidRPr="00C966A8">
        <w:rPr>
          <w:rFonts w:ascii="Times New Roman" w:hAnsi="Times New Roman" w:cs="Times New Roman"/>
          <w:bCs/>
          <w:sz w:val="24"/>
          <w:szCs w:val="24"/>
        </w:rPr>
        <w:t xml:space="preserve">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002C3235">
        <w:rPr>
          <w:rFonts w:ascii="Times New Roman" w:hAnsi="Times New Roman" w:cs="Times New Roman"/>
          <w:sz w:val="24"/>
          <w:szCs w:val="24"/>
        </w:rPr>
        <w:t xml:space="preserve"> formed</w:t>
      </w:r>
      <w:r w:rsidRPr="00C966A8">
        <w:rPr>
          <w:rFonts w:ascii="Times New Roman" w:hAnsi="Times New Roman" w:cs="Times New Roman"/>
          <w:sz w:val="24"/>
          <w:szCs w:val="24"/>
        </w:rPr>
        <w:t xml:space="preserve"> an integral part of the </w:t>
      </w:r>
      <w:r w:rsidR="001B603E">
        <w:rPr>
          <w:rFonts w:ascii="Times New Roman" w:hAnsi="Times New Roman" w:cs="Times New Roman"/>
          <w:sz w:val="24"/>
          <w:szCs w:val="24"/>
        </w:rPr>
        <w:t xml:space="preserve">landscape, separating the </w:t>
      </w:r>
      <w:r w:rsidRPr="00C966A8">
        <w:rPr>
          <w:rFonts w:ascii="Times New Roman" w:hAnsi="Times New Roman" w:cs="Times New Roman"/>
          <w:sz w:val="24"/>
          <w:szCs w:val="24"/>
        </w:rPr>
        <w:t>mixed deciduous forests of the eastern part of the continent an</w:t>
      </w:r>
      <w:r w:rsidR="005A4DD7">
        <w:rPr>
          <w:rFonts w:ascii="Times New Roman" w:hAnsi="Times New Roman" w:cs="Times New Roman"/>
          <w:sz w:val="24"/>
          <w:szCs w:val="24"/>
        </w:rPr>
        <w:t xml:space="preserve">d the </w:t>
      </w:r>
      <w:r w:rsidR="005A4DD7">
        <w:rPr>
          <w:rFonts w:ascii="Times New Roman" w:hAnsi="Times New Roman" w:cs="Times New Roman"/>
          <w:sz w:val="24"/>
          <w:szCs w:val="24"/>
        </w:rPr>
        <w:lastRenderedPageBreak/>
        <w:t>Great Plains to the west.</w:t>
      </w:r>
      <w:r w:rsidRPr="00C966A8">
        <w:rPr>
          <w:rFonts w:ascii="Times New Roman" w:hAnsi="Times New Roman" w:cs="Times New Roman"/>
          <w:bCs/>
          <w:sz w:val="24"/>
          <w:szCs w:val="24"/>
        </w:rPr>
        <w:t xml:space="preserve"> In Minnesota, oak savanna and other upland habitats including mixed </w:t>
      </w:r>
      <w:r w:rsidR="00EE68BF">
        <w:rPr>
          <w:rFonts w:ascii="Times New Roman" w:hAnsi="Times New Roman" w:cs="Times New Roman"/>
          <w:bCs/>
          <w:sz w:val="24"/>
          <w:szCs w:val="24"/>
        </w:rPr>
        <w:t>oak woodland and</w:t>
      </w:r>
      <w:r w:rsidRPr="00C966A8">
        <w:rPr>
          <w:rFonts w:ascii="Times New Roman" w:hAnsi="Times New Roman" w:cs="Times New Roman"/>
          <w:bCs/>
          <w:sz w:val="24"/>
          <w:szCs w:val="24"/>
        </w:rPr>
        <w:t xml:space="preserve"> brushland once blended with areas of wetland in a broad swath that stretched across the state from the northwest to the southeast, forming a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 xml:space="preserve">largely determined by </w:t>
      </w:r>
      <w:r w:rsidR="007C481D">
        <w:rPr>
          <w:rFonts w:ascii="Times New Roman" w:hAnsi="Times New Roman" w:cs="Times New Roman"/>
          <w:sz w:val="24"/>
          <w:szCs w:val="24"/>
        </w:rPr>
        <w:t xml:space="preserve">landform, </w:t>
      </w:r>
      <w:r w:rsidR="00C223F5" w:rsidRPr="00C966A8">
        <w:rPr>
          <w:rFonts w:ascii="Times New Roman" w:hAnsi="Times New Roman" w:cs="Times New Roman"/>
          <w:sz w:val="24"/>
          <w:szCs w:val="24"/>
        </w:rPr>
        <w:t>substrate</w:t>
      </w:r>
      <w:r w:rsidR="007C481D">
        <w:rPr>
          <w:rFonts w:ascii="Times New Roman" w:hAnsi="Times New Roman" w:cs="Times New Roman"/>
          <w:sz w:val="24"/>
          <w:szCs w:val="24"/>
        </w:rPr>
        <w:t>,</w:t>
      </w:r>
      <w:r w:rsidR="00C223F5" w:rsidRPr="00C966A8">
        <w:rPr>
          <w:rFonts w:ascii="Times New Roman" w:hAnsi="Times New Roman" w:cs="Times New Roman"/>
          <w:sz w:val="24"/>
          <w:szCs w:val="24"/>
        </w:rPr>
        <w:t xml:space="preserv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w:t>
      </w:r>
      <w:r w:rsidR="007C481D">
        <w:rPr>
          <w:rFonts w:ascii="Times New Roman" w:hAnsi="Times New Roman" w:cs="Times New Roman"/>
          <w:sz w:val="24"/>
          <w:szCs w:val="24"/>
        </w:rPr>
        <w:t>has</w:t>
      </w:r>
      <w:r w:rsidRPr="00C966A8">
        <w:rPr>
          <w:rFonts w:ascii="Times New Roman" w:hAnsi="Times New Roman" w:cs="Times New Roman"/>
          <w:sz w:val="24"/>
          <w:szCs w:val="24"/>
        </w:rPr>
        <w:t xml:space="preserve"> allowed the natural succession of oak savanna and prairie habitats into mixed deciduous </w:t>
      </w:r>
      <w:r w:rsidR="007C481D">
        <w:rPr>
          <w:rFonts w:ascii="Times New Roman" w:hAnsi="Times New Roman" w:cs="Times New Roman"/>
          <w:sz w:val="24"/>
          <w:szCs w:val="24"/>
        </w:rPr>
        <w:t xml:space="preserve">forest and </w:t>
      </w:r>
      <w:r w:rsidRPr="00C966A8">
        <w:rPr>
          <w:rFonts w:ascii="Times New Roman" w:hAnsi="Times New Roman" w:cs="Times New Roman"/>
          <w:sz w:val="24"/>
          <w:szCs w:val="24"/>
        </w:rPr>
        <w:t xml:space="preserve">woodland, while land conversion for agriculture, urban expansion, and timber production have </w:t>
      </w:r>
      <w:r w:rsidR="00A5044C">
        <w:rPr>
          <w:rFonts w:ascii="Times New Roman" w:hAnsi="Times New Roman" w:cs="Times New Roman"/>
          <w:sz w:val="24"/>
          <w:szCs w:val="24"/>
        </w:rPr>
        <w:t xml:space="preserve">further </w:t>
      </w:r>
      <w:r w:rsidRPr="00C966A8">
        <w:rPr>
          <w:rFonts w:ascii="Times New Roman" w:hAnsi="Times New Roman" w:cs="Times New Roman"/>
          <w:sz w:val="24"/>
          <w:szCs w:val="24"/>
        </w:rPr>
        <w:t xml:space="preserve">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(Nuzzo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w:t>
      </w:r>
      <w:r w:rsidR="004146D9">
        <w:rPr>
          <w:rFonts w:ascii="Times New Roman" w:hAnsi="Times New Roman" w:cs="Times New Roman"/>
          <w:sz w:val="24"/>
        </w:rPr>
        <w:t>MN DNR</w:t>
      </w:r>
      <w:r w:rsidR="00751DA5" w:rsidRPr="004F2EAA">
        <w:rPr>
          <w:rFonts w:ascii="Times New Roman" w:hAnsi="Times New Roman" w:cs="Times New Roman"/>
          <w:sz w:val="24"/>
        </w:rPr>
        <w:t xml:space="preserve">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930B8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 xml:space="preserve">all or portions of Anoka, Benton, Chisago, Crow Wing, </w:t>
      </w:r>
      <w:r w:rsidR="00B44858" w:rsidRPr="00C966A8">
        <w:rPr>
          <w:rFonts w:ascii="Times New Roman" w:hAnsi="Times New Roman" w:cs="Times New Roman"/>
          <w:sz w:val="24"/>
          <w:szCs w:val="24"/>
        </w:rPr>
        <w:lastRenderedPageBreak/>
        <w:t>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The generally flat topography and sand</w:t>
      </w:r>
      <w:r w:rsidR="00CF74E9">
        <w:rPr>
          <w:rFonts w:ascii="Times New Roman" w:hAnsi="Times New Roman" w:cs="Times New Roman"/>
          <w:sz w:val="24"/>
          <w:szCs w:val="24"/>
        </w:rPr>
        <w:t>y</w:t>
      </w:r>
      <w:r w:rsidR="008C726B" w:rsidRPr="00C869CB">
        <w:rPr>
          <w:rFonts w:ascii="Times New Roman" w:hAnsi="Times New Roman" w:cs="Times New Roman"/>
          <w:sz w:val="24"/>
          <w:szCs w:val="24"/>
        </w:rPr>
        <w:t xml:space="preserve"> substrate of the subsection are the result of meltwater from the Grantsburg sublobe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w:t>
      </w:r>
      <w:r w:rsidR="006F7CA8">
        <w:rPr>
          <w:rFonts w:ascii="Times New Roman" w:hAnsi="Times New Roman" w:cs="Times New Roman"/>
          <w:sz w:val="24"/>
          <w:szCs w:val="24"/>
        </w:rPr>
        <w:t xml:space="preserve"> unique</w:t>
      </w:r>
      <w:r w:rsidR="008C726B" w:rsidRPr="00C869CB">
        <w:rPr>
          <w:rFonts w:ascii="Times New Roman" w:hAnsi="Times New Roman" w:cs="Times New Roman"/>
          <w:sz w:val="24"/>
          <w:szCs w:val="24"/>
        </w:rPr>
        <w:t xml:space="preserve">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fire-adapted ecosystems</w:t>
      </w:r>
      <w:r w:rsidR="00E804FA">
        <w:rPr>
          <w:rFonts w:ascii="Times New Roman" w:hAnsi="Times New Roman" w:cs="Times New Roman"/>
          <w:sz w:val="24"/>
          <w:szCs w:val="24"/>
        </w:rPr>
        <w:t xml:space="preserve">, which were maintained in large part by </w:t>
      </w:r>
      <w:r w:rsidR="00EE68BF">
        <w:rPr>
          <w:rFonts w:ascii="Times New Roman" w:hAnsi="Times New Roman" w:cs="Times New Roman"/>
          <w:sz w:val="24"/>
          <w:szCs w:val="24"/>
        </w:rPr>
        <w:t>the</w:t>
      </w:r>
      <w:r w:rsidR="00E804FA">
        <w:rPr>
          <w:rFonts w:ascii="Times New Roman" w:hAnsi="Times New Roman" w:cs="Times New Roman"/>
          <w:sz w:val="24"/>
          <w:szCs w:val="24"/>
        </w:rPr>
        <w:t xml:space="preserve"> extensive use of fire on the landscape</w:t>
      </w:r>
      <w:r w:rsidR="00EE68BF">
        <w:rPr>
          <w:rFonts w:ascii="Times New Roman" w:hAnsi="Times New Roman" w:cs="Times New Roman"/>
          <w:sz w:val="24"/>
          <w:szCs w:val="24"/>
        </w:rPr>
        <w:t xml:space="preserve"> by American Indians </w:t>
      </w:r>
      <w:r w:rsidR="00E804FA">
        <w:rPr>
          <w:rFonts w:ascii="Times New Roman" w:hAnsi="Times New Roman" w:cs="Times New Roman"/>
          <w:sz w:val="24"/>
          <w:szCs w:val="24"/>
        </w:rPr>
        <w:t>(</w:t>
      </w:r>
      <w:proofErr w:type="spellStart"/>
      <w:r w:rsidR="00E804FA">
        <w:rPr>
          <w:rFonts w:ascii="Times New Roman" w:hAnsi="Times New Roman" w:cs="Times New Roman"/>
          <w:sz w:val="24"/>
          <w:szCs w:val="24"/>
        </w:rPr>
        <w:t>Wovcha</w:t>
      </w:r>
      <w:proofErr w:type="spellEnd"/>
      <w:r w:rsidR="00E804FA">
        <w:rPr>
          <w:rFonts w:ascii="Times New Roman" w:hAnsi="Times New Roman" w:cs="Times New Roman"/>
          <w:sz w:val="24"/>
          <w:szCs w:val="24"/>
        </w:rPr>
        <w:t xml:space="preserve"> et al. 1995)</w:t>
      </w:r>
      <w:r w:rsidR="008C726B" w:rsidRPr="00C869CB">
        <w:rPr>
          <w:rFonts w:ascii="Times New Roman" w:hAnsi="Times New Roman" w:cs="Times New Roman"/>
          <w:sz w:val="24"/>
          <w:szCs w:val="24"/>
        </w:rPr>
        <w:t>.</w:t>
      </w:r>
      <w:r w:rsidR="00A70E48" w:rsidRPr="00C966A8">
        <w:rPr>
          <w:rFonts w:ascii="Times New Roman" w:hAnsi="Times New Roman" w:cs="Times New Roman"/>
          <w:sz w:val="24"/>
          <w:szCs w:val="24"/>
        </w:rPr>
        <w:t xml:space="preserve"> </w:t>
      </w:r>
    </w:p>
    <w:p w:rsidR="00F06DB9" w:rsidRDefault="00A142B3"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The most detailed information about historic land cover types in the Anoka Sand Plain is based on bearing tree and other notes collected by government surveyors</w:t>
      </w:r>
      <w:r w:rsidR="00E92D00">
        <w:rPr>
          <w:rFonts w:ascii="Times New Roman" w:hAnsi="Times New Roman" w:cs="Times New Roman"/>
          <w:sz w:val="24"/>
          <w:szCs w:val="24"/>
        </w:rPr>
        <w:t xml:space="preserve"> working in the region between 1847 and 1857 (</w:t>
      </w:r>
      <w:proofErr w:type="spellStart"/>
      <w:r w:rsidR="00E92D00">
        <w:rPr>
          <w:rFonts w:ascii="Times New Roman" w:hAnsi="Times New Roman" w:cs="Times New Roman"/>
          <w:sz w:val="24"/>
        </w:rPr>
        <w:t>Wovcha</w:t>
      </w:r>
      <w:proofErr w:type="spellEnd"/>
      <w:r w:rsidR="00E92D00">
        <w:rPr>
          <w:rFonts w:ascii="Times New Roman" w:hAnsi="Times New Roman" w:cs="Times New Roman"/>
          <w:sz w:val="24"/>
        </w:rPr>
        <w:t xml:space="preserve"> et al. 1995</w:t>
      </w:r>
      <w:r w:rsidR="00E92D00">
        <w:rPr>
          <w:rFonts w:ascii="Times New Roman" w:hAnsi="Times New Roman" w:cs="Times New Roman"/>
          <w:sz w:val="24"/>
        </w:rPr>
        <w:t>)</w:t>
      </w:r>
      <w:r w:rsidR="00E92D00">
        <w:rPr>
          <w:rFonts w:ascii="Times New Roman" w:hAnsi="Times New Roman" w:cs="Times New Roman"/>
          <w:sz w:val="24"/>
          <w:szCs w:val="24"/>
        </w:rPr>
        <w:t>.</w:t>
      </w:r>
      <w:r>
        <w:rPr>
          <w:rFonts w:ascii="Times New Roman" w:hAnsi="Times New Roman" w:cs="Times New Roman"/>
          <w:sz w:val="24"/>
          <w:szCs w:val="24"/>
        </w:rPr>
        <w:t xml:space="preserve"> </w:t>
      </w:r>
      <w:r w:rsidR="00E268FF" w:rsidRPr="00C966A8">
        <w:rPr>
          <w:rFonts w:ascii="Times New Roman" w:hAnsi="Times New Roman" w:cs="Times New Roman"/>
          <w:sz w:val="24"/>
          <w:szCs w:val="24"/>
        </w:rPr>
        <w:t xml:space="preserve">At </w:t>
      </w:r>
      <w:r w:rsidR="00E92D00">
        <w:rPr>
          <w:rFonts w:ascii="Times New Roman" w:hAnsi="Times New Roman" w:cs="Times New Roman"/>
          <w:sz w:val="24"/>
          <w:szCs w:val="24"/>
        </w:rPr>
        <w:t>that time</w:t>
      </w:r>
      <w:r w:rsidR="00E268FF">
        <w:rPr>
          <w:rFonts w:ascii="Times New Roman" w:hAnsi="Times New Roman" w:cs="Times New Roman"/>
          <w:sz w:val="24"/>
          <w:szCs w:val="24"/>
        </w:rPr>
        <w:t xml:space="preserve">, </w:t>
      </w:r>
      <w:r w:rsidR="00E268FF" w:rsidRPr="00C966A8">
        <w:rPr>
          <w:rFonts w:ascii="Times New Roman" w:hAnsi="Times New Roman" w:cs="Times New Roman"/>
          <w:sz w:val="24"/>
          <w:szCs w:val="24"/>
        </w:rPr>
        <w:t>the predominant vegetation of the A</w:t>
      </w:r>
      <w:r w:rsidR="00E268FF">
        <w:rPr>
          <w:rFonts w:ascii="Times New Roman" w:hAnsi="Times New Roman" w:cs="Times New Roman"/>
          <w:sz w:val="24"/>
          <w:szCs w:val="24"/>
        </w:rPr>
        <w:t>noka Sand Plain</w:t>
      </w:r>
      <w:r w:rsidR="00E268FF" w:rsidRPr="00C966A8">
        <w:rPr>
          <w:rFonts w:ascii="Times New Roman" w:hAnsi="Times New Roman" w:cs="Times New Roman"/>
          <w:sz w:val="24"/>
          <w:szCs w:val="24"/>
        </w:rPr>
        <w:t xml:space="preserve"> was</w:t>
      </w:r>
      <w:r w:rsidR="00E268FF">
        <w:rPr>
          <w:rFonts w:ascii="Times New Roman" w:hAnsi="Times New Roman" w:cs="Times New Roman"/>
          <w:sz w:val="24"/>
          <w:szCs w:val="24"/>
        </w:rPr>
        <w:t xml:space="preserve"> oak woodland and brushland interspersed with</w:t>
      </w:r>
      <w:r w:rsidR="00E268FF" w:rsidRPr="00C966A8">
        <w:rPr>
          <w:rFonts w:ascii="Times New Roman" w:hAnsi="Times New Roman" w:cs="Times New Roman"/>
          <w:sz w:val="24"/>
          <w:szCs w:val="24"/>
        </w:rPr>
        <w:t xml:space="preserve"> oak savanna</w:t>
      </w:r>
      <w:r w:rsidR="00E268FF">
        <w:rPr>
          <w:rFonts w:ascii="Times New Roman" w:hAnsi="Times New Roman" w:cs="Times New Roman"/>
          <w:sz w:val="24"/>
          <w:szCs w:val="24"/>
        </w:rPr>
        <w:t>,</w:t>
      </w:r>
      <w:r w:rsidR="00E268FF" w:rsidRPr="00C966A8">
        <w:rPr>
          <w:rFonts w:ascii="Times New Roman" w:hAnsi="Times New Roman" w:cs="Times New Roman"/>
          <w:sz w:val="24"/>
          <w:szCs w:val="24"/>
        </w:rPr>
        <w:t xml:space="preserve"> prairie, </w:t>
      </w:r>
      <w:r w:rsidR="00353FE1">
        <w:rPr>
          <w:rFonts w:ascii="Times New Roman" w:hAnsi="Times New Roman" w:cs="Times New Roman"/>
          <w:sz w:val="24"/>
          <w:szCs w:val="24"/>
        </w:rPr>
        <w:t>and</w:t>
      </w:r>
      <w:r w:rsidR="00E268FF">
        <w:rPr>
          <w:rFonts w:ascii="Times New Roman" w:hAnsi="Times New Roman" w:cs="Times New Roman"/>
          <w:sz w:val="24"/>
          <w:szCs w:val="24"/>
        </w:rPr>
        <w:t xml:space="preserve"> wetland complexes </w:t>
      </w:r>
      <w:r w:rsidR="00E268FF">
        <w:rPr>
          <w:rFonts w:ascii="Times New Roman" w:hAnsi="Times New Roman" w:cs="Times New Roman"/>
          <w:sz w:val="24"/>
          <w:szCs w:val="24"/>
        </w:rPr>
        <w:fldChar w:fldCharType="begin"/>
      </w:r>
      <w:r w:rsidR="00E268FF">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E268FF">
        <w:rPr>
          <w:rFonts w:ascii="Times New Roman" w:hAnsi="Times New Roman" w:cs="Times New Roman"/>
          <w:sz w:val="24"/>
          <w:szCs w:val="24"/>
        </w:rPr>
        <w:fldChar w:fldCharType="separate"/>
      </w:r>
      <w:r w:rsidR="00E268FF" w:rsidRPr="00377011">
        <w:rPr>
          <w:rFonts w:ascii="Times New Roman" w:hAnsi="Times New Roman" w:cs="Times New Roman"/>
          <w:sz w:val="24"/>
        </w:rPr>
        <w:t>(Marschner 1974</w:t>
      </w:r>
      <w:r w:rsidR="00E268FF">
        <w:rPr>
          <w:rFonts w:ascii="Times New Roman" w:hAnsi="Times New Roman" w:cs="Times New Roman"/>
          <w:sz w:val="24"/>
        </w:rPr>
        <w:t>, Wovcha et al. 1995, MN DNR 2006</w:t>
      </w:r>
      <w:r w:rsidR="00E268FF" w:rsidRPr="00377011">
        <w:rPr>
          <w:rFonts w:ascii="Times New Roman" w:hAnsi="Times New Roman" w:cs="Times New Roman"/>
          <w:sz w:val="24"/>
        </w:rPr>
        <w:t>)</w:t>
      </w:r>
      <w:r w:rsidR="00E268FF">
        <w:rPr>
          <w:rFonts w:ascii="Times New Roman" w:hAnsi="Times New Roman" w:cs="Times New Roman"/>
          <w:sz w:val="24"/>
          <w:szCs w:val="24"/>
        </w:rPr>
        <w:fldChar w:fldCharType="end"/>
      </w:r>
      <w:r w:rsidR="00E268FF">
        <w:rPr>
          <w:rFonts w:ascii="Times New Roman" w:hAnsi="Times New Roman" w:cs="Times New Roman"/>
          <w:sz w:val="24"/>
          <w:szCs w:val="24"/>
        </w:rPr>
        <w:t xml:space="preserve">. </w:t>
      </w:r>
      <w:r w:rsidR="00EE68BF">
        <w:rPr>
          <w:rFonts w:ascii="Times New Roman" w:hAnsi="Times New Roman" w:cs="Times New Roman"/>
          <w:sz w:val="24"/>
          <w:szCs w:val="24"/>
        </w:rPr>
        <w:t xml:space="preserve">The </w:t>
      </w:r>
      <w:r w:rsidR="00D5052F">
        <w:rPr>
          <w:rFonts w:ascii="Times New Roman" w:hAnsi="Times New Roman" w:cs="Times New Roman"/>
          <w:sz w:val="24"/>
          <w:szCs w:val="24"/>
        </w:rPr>
        <w:t>oak savanna</w:t>
      </w:r>
      <w:r w:rsidR="00BD0AE5">
        <w:rPr>
          <w:rFonts w:ascii="Times New Roman" w:hAnsi="Times New Roman" w:cs="Times New Roman"/>
          <w:sz w:val="24"/>
          <w:szCs w:val="24"/>
        </w:rPr>
        <w:t xml:space="preserve"> </w:t>
      </w:r>
      <w:r w:rsidR="00D5052F">
        <w:rPr>
          <w:rFonts w:ascii="Times New Roman" w:hAnsi="Times New Roman" w:cs="Times New Roman"/>
          <w:sz w:val="24"/>
          <w:szCs w:val="24"/>
        </w:rPr>
        <w:t xml:space="preserve">described by the original surveyors </w:t>
      </w:r>
      <w:r w:rsidR="00EE68BF">
        <w:rPr>
          <w:rFonts w:ascii="Times New Roman" w:hAnsi="Times New Roman" w:cs="Times New Roman"/>
          <w:sz w:val="24"/>
          <w:szCs w:val="24"/>
        </w:rPr>
        <w:t xml:space="preserve">included both </w:t>
      </w:r>
      <w:r w:rsidR="00981547">
        <w:rPr>
          <w:rFonts w:ascii="Times New Roman" w:hAnsi="Times New Roman" w:cs="Times New Roman"/>
          <w:sz w:val="24"/>
          <w:szCs w:val="24"/>
        </w:rPr>
        <w:t>mesi</w:t>
      </w:r>
      <w:r w:rsidR="00ED04D5">
        <w:rPr>
          <w:rFonts w:ascii="Times New Roman" w:hAnsi="Times New Roman" w:cs="Times New Roman"/>
          <w:sz w:val="24"/>
          <w:szCs w:val="24"/>
        </w:rPr>
        <w:t xml:space="preserve">c and dry </w:t>
      </w:r>
      <w:r w:rsidR="00F70CD9">
        <w:rPr>
          <w:rFonts w:ascii="Times New Roman" w:hAnsi="Times New Roman" w:cs="Times New Roman"/>
          <w:sz w:val="24"/>
          <w:szCs w:val="24"/>
        </w:rPr>
        <w:t>subtypes</w:t>
      </w:r>
      <w:r w:rsidR="008F7AD8">
        <w:rPr>
          <w:rFonts w:ascii="Times New Roman" w:hAnsi="Times New Roman" w:cs="Times New Roman"/>
          <w:sz w:val="24"/>
          <w:szCs w:val="24"/>
        </w:rPr>
        <w:t>. These</w:t>
      </w:r>
      <w:r w:rsidR="00ED04D5">
        <w:rPr>
          <w:rFonts w:ascii="Times New Roman" w:hAnsi="Times New Roman" w:cs="Times New Roman"/>
          <w:sz w:val="24"/>
          <w:szCs w:val="24"/>
        </w:rPr>
        <w:t xml:space="preserve"> related communities are characterized by largely similar floristic compositions</w:t>
      </w:r>
      <w:r w:rsidR="00F41C68">
        <w:rPr>
          <w:rFonts w:ascii="Times New Roman" w:hAnsi="Times New Roman" w:cs="Times New Roman"/>
          <w:sz w:val="24"/>
          <w:szCs w:val="24"/>
        </w:rPr>
        <w:t xml:space="preserve"> and differing substrate</w:t>
      </w:r>
      <w:r w:rsidR="00AC36C5">
        <w:rPr>
          <w:rFonts w:ascii="Times New Roman" w:hAnsi="Times New Roman" w:cs="Times New Roman"/>
          <w:sz w:val="24"/>
          <w:szCs w:val="24"/>
        </w:rPr>
        <w:t>,</w:t>
      </w:r>
      <w:r w:rsidR="00E6587F">
        <w:rPr>
          <w:rFonts w:ascii="Times New Roman" w:hAnsi="Times New Roman" w:cs="Times New Roman"/>
          <w:sz w:val="24"/>
          <w:szCs w:val="24"/>
        </w:rPr>
        <w:t xml:space="preserve"> with dry savanna primarily found in areas of excessively</w:t>
      </w:r>
      <w:r w:rsidR="00B7329B">
        <w:rPr>
          <w:rFonts w:ascii="Times New Roman" w:hAnsi="Times New Roman" w:cs="Times New Roman"/>
          <w:sz w:val="24"/>
          <w:szCs w:val="24"/>
        </w:rPr>
        <w:t xml:space="preserve"> drained sandy or gravelly soil</w:t>
      </w:r>
      <w:r w:rsidR="0016373A">
        <w:rPr>
          <w:rFonts w:ascii="Times New Roman" w:hAnsi="Times New Roman" w:cs="Times New Roman"/>
          <w:sz w:val="24"/>
          <w:szCs w:val="24"/>
        </w:rPr>
        <w:t xml:space="preserve"> and mesic </w:t>
      </w:r>
      <w:r w:rsidR="00E6587F">
        <w:rPr>
          <w:rFonts w:ascii="Times New Roman" w:hAnsi="Times New Roman" w:cs="Times New Roman"/>
          <w:sz w:val="24"/>
          <w:szCs w:val="24"/>
        </w:rPr>
        <w:t>savannas occurring in areas with a</w:t>
      </w:r>
      <w:r w:rsidR="00543524">
        <w:rPr>
          <w:rFonts w:ascii="Times New Roman" w:hAnsi="Times New Roman" w:cs="Times New Roman"/>
          <w:sz w:val="24"/>
          <w:szCs w:val="24"/>
        </w:rPr>
        <w:t xml:space="preserve"> fertile</w:t>
      </w:r>
      <w:r w:rsidR="00AC36C5">
        <w:rPr>
          <w:rFonts w:ascii="Times New Roman" w:hAnsi="Times New Roman" w:cs="Times New Roman"/>
          <w:sz w:val="24"/>
          <w:szCs w:val="24"/>
        </w:rPr>
        <w:t xml:space="preserve"> layer of moist loam</w:t>
      </w:r>
      <w:r w:rsidR="008F7AD8">
        <w:rPr>
          <w:rFonts w:ascii="Times New Roman" w:hAnsi="Times New Roman" w:cs="Times New Roman"/>
          <w:sz w:val="24"/>
          <w:szCs w:val="24"/>
        </w:rPr>
        <w:t xml:space="preserve">. </w:t>
      </w:r>
      <w:proofErr w:type="spellStart"/>
      <w:r w:rsidR="00AC36C5">
        <w:rPr>
          <w:rFonts w:ascii="Times New Roman" w:hAnsi="Times New Roman" w:cs="Times New Roman"/>
          <w:sz w:val="24"/>
          <w:szCs w:val="24"/>
        </w:rPr>
        <w:t>Graminoid</w:t>
      </w:r>
      <w:proofErr w:type="spellEnd"/>
      <w:r w:rsidR="00AC36C5">
        <w:rPr>
          <w:rFonts w:ascii="Times New Roman" w:hAnsi="Times New Roman" w:cs="Times New Roman"/>
          <w:sz w:val="24"/>
          <w:szCs w:val="24"/>
        </w:rPr>
        <w:t xml:space="preserve"> cover in dry savanna is mainly </w:t>
      </w:r>
      <w:proofErr w:type="spellStart"/>
      <w:r w:rsidR="00AC36C5">
        <w:rPr>
          <w:rFonts w:ascii="Times New Roman" w:hAnsi="Times New Roman" w:cs="Times New Roman"/>
          <w:sz w:val="24"/>
          <w:szCs w:val="24"/>
        </w:rPr>
        <w:t>midheight</w:t>
      </w:r>
      <w:proofErr w:type="spellEnd"/>
      <w:r w:rsidR="00AC36C5">
        <w:rPr>
          <w:rFonts w:ascii="Times New Roman" w:hAnsi="Times New Roman" w:cs="Times New Roman"/>
          <w:sz w:val="24"/>
          <w:szCs w:val="24"/>
        </w:rPr>
        <w:t xml:space="preserve"> grasses</w:t>
      </w:r>
      <w:r w:rsidR="00B7329B">
        <w:rPr>
          <w:rFonts w:ascii="Times New Roman" w:hAnsi="Times New Roman" w:cs="Times New Roman"/>
          <w:sz w:val="24"/>
          <w:szCs w:val="24"/>
        </w:rPr>
        <w:t xml:space="preserve"> such as </w:t>
      </w:r>
      <w:r w:rsidR="00683719">
        <w:rPr>
          <w:rFonts w:ascii="Times New Roman" w:hAnsi="Times New Roman" w:cs="Times New Roman"/>
          <w:sz w:val="24"/>
          <w:szCs w:val="24"/>
        </w:rPr>
        <w:t>little bluestem (</w:t>
      </w:r>
      <w:proofErr w:type="spellStart"/>
      <w:r w:rsidR="00683719" w:rsidRPr="008F7AD8">
        <w:rPr>
          <w:rFonts w:ascii="Times New Roman" w:hAnsi="Times New Roman" w:cs="Times New Roman"/>
          <w:i/>
          <w:sz w:val="24"/>
          <w:szCs w:val="24"/>
        </w:rPr>
        <w:t>Schizachyrium</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scoparium</w:t>
      </w:r>
      <w:proofErr w:type="spellEnd"/>
      <w:r w:rsidR="00683719">
        <w:rPr>
          <w:rFonts w:ascii="Times New Roman" w:hAnsi="Times New Roman" w:cs="Times New Roman"/>
          <w:sz w:val="24"/>
          <w:szCs w:val="24"/>
        </w:rPr>
        <w:t>) and porcupine grass (</w:t>
      </w:r>
      <w:proofErr w:type="spellStart"/>
      <w:r w:rsidR="00683719" w:rsidRPr="008F7AD8">
        <w:rPr>
          <w:rFonts w:ascii="Times New Roman" w:hAnsi="Times New Roman" w:cs="Times New Roman"/>
          <w:i/>
          <w:sz w:val="24"/>
          <w:szCs w:val="24"/>
        </w:rPr>
        <w:t>Stipa</w:t>
      </w:r>
      <w:proofErr w:type="spellEnd"/>
      <w:r w:rsidR="00683719" w:rsidRPr="008F7AD8">
        <w:rPr>
          <w:rFonts w:ascii="Times New Roman" w:hAnsi="Times New Roman" w:cs="Times New Roman"/>
          <w:i/>
          <w:sz w:val="24"/>
          <w:szCs w:val="24"/>
        </w:rPr>
        <w:t xml:space="preserve"> </w:t>
      </w:r>
      <w:proofErr w:type="spellStart"/>
      <w:r w:rsidR="00683719" w:rsidRPr="008F7AD8">
        <w:rPr>
          <w:rFonts w:ascii="Times New Roman" w:hAnsi="Times New Roman" w:cs="Times New Roman"/>
          <w:i/>
          <w:sz w:val="24"/>
          <w:szCs w:val="24"/>
        </w:rPr>
        <w:t>spartea</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 xml:space="preserve">, while </w:t>
      </w:r>
      <w:r w:rsidR="00466818">
        <w:rPr>
          <w:rFonts w:ascii="Times New Roman" w:hAnsi="Times New Roman" w:cs="Times New Roman"/>
          <w:sz w:val="24"/>
          <w:szCs w:val="24"/>
        </w:rPr>
        <w:t>m</w:t>
      </w:r>
      <w:r w:rsidR="00B7329B">
        <w:rPr>
          <w:rFonts w:ascii="Times New Roman" w:hAnsi="Times New Roman" w:cs="Times New Roman"/>
          <w:sz w:val="24"/>
          <w:szCs w:val="24"/>
        </w:rPr>
        <w:t>esic savanna is</w:t>
      </w:r>
      <w:r w:rsidR="00AC36C5">
        <w:rPr>
          <w:rFonts w:ascii="Times New Roman" w:hAnsi="Times New Roman" w:cs="Times New Roman"/>
          <w:sz w:val="24"/>
          <w:szCs w:val="24"/>
        </w:rPr>
        <w:t xml:space="preserve"> </w:t>
      </w:r>
      <w:r w:rsidR="00466818">
        <w:rPr>
          <w:rFonts w:ascii="Times New Roman" w:hAnsi="Times New Roman" w:cs="Times New Roman"/>
          <w:sz w:val="24"/>
          <w:szCs w:val="24"/>
        </w:rPr>
        <w:t xml:space="preserve">more </w:t>
      </w:r>
      <w:r w:rsidR="00AC36C5">
        <w:rPr>
          <w:rFonts w:ascii="Times New Roman" w:hAnsi="Times New Roman" w:cs="Times New Roman"/>
          <w:sz w:val="24"/>
          <w:szCs w:val="24"/>
        </w:rPr>
        <w:t>characterized by tallgrass</w:t>
      </w:r>
      <w:r w:rsidR="00B7329B">
        <w:rPr>
          <w:rFonts w:ascii="Times New Roman" w:hAnsi="Times New Roman" w:cs="Times New Roman"/>
          <w:sz w:val="24"/>
          <w:szCs w:val="24"/>
        </w:rPr>
        <w:t xml:space="preserve"> species like </w:t>
      </w:r>
      <w:r w:rsidR="00683719">
        <w:rPr>
          <w:rFonts w:ascii="Times New Roman" w:hAnsi="Times New Roman" w:cs="Times New Roman"/>
          <w:sz w:val="24"/>
          <w:szCs w:val="24"/>
        </w:rPr>
        <w:t>big bluestem (</w:t>
      </w:r>
      <w:proofErr w:type="spellStart"/>
      <w:r w:rsidR="00683719" w:rsidRPr="00F41C68">
        <w:rPr>
          <w:rFonts w:ascii="Times New Roman" w:hAnsi="Times New Roman" w:cs="Times New Roman"/>
          <w:i/>
          <w:sz w:val="24"/>
          <w:szCs w:val="24"/>
        </w:rPr>
        <w:t>Andropogon</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gerardii</w:t>
      </w:r>
      <w:proofErr w:type="spellEnd"/>
      <w:r w:rsidR="00683719">
        <w:rPr>
          <w:rFonts w:ascii="Times New Roman" w:hAnsi="Times New Roman" w:cs="Times New Roman"/>
          <w:sz w:val="24"/>
          <w:szCs w:val="24"/>
        </w:rPr>
        <w:t>) and Indian grass (</w:t>
      </w:r>
      <w:proofErr w:type="spellStart"/>
      <w:r w:rsidR="00683719" w:rsidRPr="00F41C68">
        <w:rPr>
          <w:rFonts w:ascii="Times New Roman" w:hAnsi="Times New Roman" w:cs="Times New Roman"/>
          <w:i/>
          <w:sz w:val="24"/>
          <w:szCs w:val="24"/>
        </w:rPr>
        <w:t>Sorghastrum</w:t>
      </w:r>
      <w:proofErr w:type="spellEnd"/>
      <w:r w:rsidR="00683719" w:rsidRPr="00F41C68">
        <w:rPr>
          <w:rFonts w:ascii="Times New Roman" w:hAnsi="Times New Roman" w:cs="Times New Roman"/>
          <w:i/>
          <w:sz w:val="24"/>
          <w:szCs w:val="24"/>
        </w:rPr>
        <w:t xml:space="preserve"> </w:t>
      </w:r>
      <w:proofErr w:type="spellStart"/>
      <w:r w:rsidR="00683719" w:rsidRPr="00F41C68">
        <w:rPr>
          <w:rFonts w:ascii="Times New Roman" w:hAnsi="Times New Roman" w:cs="Times New Roman"/>
          <w:i/>
          <w:sz w:val="24"/>
          <w:szCs w:val="24"/>
        </w:rPr>
        <w:t>nutans</w:t>
      </w:r>
      <w:proofErr w:type="spellEnd"/>
      <w:r w:rsidR="00683719">
        <w:rPr>
          <w:rFonts w:ascii="Times New Roman" w:hAnsi="Times New Roman" w:cs="Times New Roman"/>
          <w:sz w:val="24"/>
          <w:szCs w:val="24"/>
        </w:rPr>
        <w:t>)</w:t>
      </w:r>
      <w:r w:rsidR="00AC36C5">
        <w:rPr>
          <w:rFonts w:ascii="Times New Roman" w:hAnsi="Times New Roman" w:cs="Times New Roman"/>
          <w:sz w:val="24"/>
          <w:szCs w:val="24"/>
        </w:rPr>
        <w:t>.</w:t>
      </w:r>
      <w:r w:rsidR="00683719">
        <w:rPr>
          <w:rFonts w:ascii="Times New Roman" w:hAnsi="Times New Roman" w:cs="Times New Roman"/>
          <w:sz w:val="24"/>
          <w:szCs w:val="24"/>
        </w:rPr>
        <w:t xml:space="preserve"> </w:t>
      </w:r>
      <w:r w:rsidR="00F41C68">
        <w:rPr>
          <w:rFonts w:ascii="Times New Roman" w:hAnsi="Times New Roman" w:cs="Times New Roman"/>
          <w:sz w:val="24"/>
          <w:szCs w:val="24"/>
        </w:rPr>
        <w:t>B</w:t>
      </w:r>
      <w:r w:rsidR="00ED04D5">
        <w:rPr>
          <w:rFonts w:ascii="Times New Roman" w:hAnsi="Times New Roman" w:cs="Times New Roman"/>
          <w:sz w:val="24"/>
          <w:szCs w:val="24"/>
        </w:rPr>
        <w:t>oth</w:t>
      </w:r>
      <w:r w:rsidR="00F41C68">
        <w:rPr>
          <w:rFonts w:ascii="Times New Roman" w:hAnsi="Times New Roman" w:cs="Times New Roman"/>
          <w:sz w:val="24"/>
          <w:szCs w:val="24"/>
        </w:rPr>
        <w:t xml:space="preserve"> dry and mesic</w:t>
      </w:r>
      <w:r w:rsidR="00ED04D5">
        <w:rPr>
          <w:rFonts w:ascii="Times New Roman" w:hAnsi="Times New Roman" w:cs="Times New Roman"/>
          <w:sz w:val="24"/>
          <w:szCs w:val="24"/>
        </w:rPr>
        <w:t xml:space="preserve"> </w:t>
      </w:r>
      <w:r w:rsidR="00AC36C5">
        <w:rPr>
          <w:rFonts w:ascii="Times New Roman" w:hAnsi="Times New Roman" w:cs="Times New Roman"/>
          <w:sz w:val="24"/>
          <w:szCs w:val="24"/>
        </w:rPr>
        <w:t>savannas</w:t>
      </w:r>
      <w:r w:rsidR="00586FCC">
        <w:rPr>
          <w:rFonts w:ascii="Times New Roman" w:hAnsi="Times New Roman" w:cs="Times New Roman"/>
          <w:sz w:val="24"/>
          <w:szCs w:val="24"/>
        </w:rPr>
        <w:t xml:space="preserve"> are characterized by a moderate canopy (&lt; 70%, typically </w:t>
      </w:r>
      <w:r w:rsidR="00CC2A08">
        <w:rPr>
          <w:rFonts w:ascii="Times New Roman" w:hAnsi="Times New Roman" w:cs="Times New Roman"/>
          <w:sz w:val="24"/>
          <w:szCs w:val="24"/>
        </w:rPr>
        <w:t>25-50%</w:t>
      </w:r>
      <w:r w:rsidR="00586FCC">
        <w:rPr>
          <w:rFonts w:ascii="Times New Roman" w:hAnsi="Times New Roman" w:cs="Times New Roman"/>
          <w:sz w:val="24"/>
          <w:szCs w:val="24"/>
        </w:rPr>
        <w:t>) of</w:t>
      </w:r>
      <w:r w:rsidR="00AC36C5">
        <w:rPr>
          <w:rFonts w:ascii="Times New Roman" w:hAnsi="Times New Roman" w:cs="Times New Roman"/>
          <w:sz w:val="24"/>
          <w:szCs w:val="24"/>
        </w:rPr>
        <w:t xml:space="preserve"> </w:t>
      </w:r>
      <w:r w:rsidR="00B7329B">
        <w:rPr>
          <w:rFonts w:ascii="Times New Roman" w:hAnsi="Times New Roman" w:cs="Times New Roman"/>
          <w:sz w:val="24"/>
          <w:szCs w:val="24"/>
        </w:rPr>
        <w:t xml:space="preserve">bur </w:t>
      </w:r>
      <w:r w:rsidR="00ED04D5">
        <w:rPr>
          <w:rFonts w:ascii="Times New Roman" w:hAnsi="Times New Roman" w:cs="Times New Roman"/>
          <w:sz w:val="24"/>
          <w:szCs w:val="24"/>
        </w:rPr>
        <w:t>oak</w:t>
      </w:r>
      <w:r w:rsidR="00B7329B">
        <w:rPr>
          <w:rFonts w:ascii="Times New Roman" w:hAnsi="Times New Roman" w:cs="Times New Roman"/>
          <w:sz w:val="24"/>
          <w:szCs w:val="24"/>
        </w:rPr>
        <w:t xml:space="preserve"> </w:t>
      </w:r>
      <w:r w:rsidR="00B7329B">
        <w:rPr>
          <w:rFonts w:ascii="Times New Roman" w:hAnsi="Times New Roman" w:cs="Times New Roman"/>
          <w:sz w:val="24"/>
          <w:szCs w:val="24"/>
        </w:rPr>
        <w:lastRenderedPageBreak/>
        <w:t>(</w:t>
      </w:r>
      <w:proofErr w:type="spellStart"/>
      <w:r w:rsidR="00B7329B" w:rsidRPr="008B4C59">
        <w:rPr>
          <w:rFonts w:ascii="Times New Roman" w:hAnsi="Times New Roman" w:cs="Times New Roman"/>
          <w:i/>
          <w:sz w:val="24"/>
          <w:szCs w:val="24"/>
        </w:rPr>
        <w:t>Quercus</w:t>
      </w:r>
      <w:proofErr w:type="spellEnd"/>
      <w:r w:rsidR="00B7329B" w:rsidRPr="008B4C59">
        <w:rPr>
          <w:rFonts w:ascii="Times New Roman" w:hAnsi="Times New Roman" w:cs="Times New Roman"/>
          <w:i/>
          <w:sz w:val="24"/>
          <w:szCs w:val="24"/>
        </w:rPr>
        <w:t xml:space="preserve"> </w:t>
      </w:r>
      <w:proofErr w:type="spellStart"/>
      <w:r w:rsidR="00B7329B" w:rsidRPr="008B4C59">
        <w:rPr>
          <w:rFonts w:ascii="Times New Roman" w:hAnsi="Times New Roman" w:cs="Times New Roman"/>
          <w:i/>
          <w:sz w:val="24"/>
          <w:szCs w:val="24"/>
        </w:rPr>
        <w:t>macrocarpa</w:t>
      </w:r>
      <w:proofErr w:type="spellEnd"/>
      <w:r w:rsidR="00B7329B">
        <w:rPr>
          <w:rFonts w:ascii="Times New Roman" w:hAnsi="Times New Roman" w:cs="Times New Roman"/>
          <w:sz w:val="24"/>
          <w:szCs w:val="24"/>
        </w:rPr>
        <w:t>)</w:t>
      </w:r>
      <w:r w:rsidR="00CC2A08">
        <w:rPr>
          <w:rFonts w:ascii="Times New Roman" w:hAnsi="Times New Roman" w:cs="Times New Roman"/>
          <w:sz w:val="24"/>
          <w:szCs w:val="24"/>
        </w:rPr>
        <w:t>, with</w:t>
      </w:r>
      <w:r w:rsidR="00B7329B">
        <w:rPr>
          <w:rFonts w:ascii="Times New Roman" w:hAnsi="Times New Roman" w:cs="Times New Roman"/>
          <w:sz w:val="24"/>
          <w:szCs w:val="24"/>
        </w:rPr>
        <w:t xml:space="preserve"> northern pin oak (</w:t>
      </w:r>
      <w:proofErr w:type="spellStart"/>
      <w:r w:rsidR="00B7329B" w:rsidRPr="008B4C59">
        <w:rPr>
          <w:rFonts w:ascii="Times New Roman" w:hAnsi="Times New Roman" w:cs="Times New Roman"/>
          <w:i/>
          <w:sz w:val="24"/>
          <w:szCs w:val="24"/>
        </w:rPr>
        <w:t>Quercus</w:t>
      </w:r>
      <w:proofErr w:type="spellEnd"/>
      <w:r w:rsidR="00B7329B" w:rsidRPr="008B4C59">
        <w:rPr>
          <w:rFonts w:ascii="Times New Roman" w:hAnsi="Times New Roman" w:cs="Times New Roman"/>
          <w:i/>
          <w:sz w:val="24"/>
          <w:szCs w:val="24"/>
        </w:rPr>
        <w:t xml:space="preserve"> </w:t>
      </w:r>
      <w:proofErr w:type="spellStart"/>
      <w:r w:rsidR="00B7329B" w:rsidRPr="008B4C59">
        <w:rPr>
          <w:rFonts w:ascii="Times New Roman" w:hAnsi="Times New Roman" w:cs="Times New Roman"/>
          <w:i/>
          <w:sz w:val="24"/>
          <w:szCs w:val="24"/>
        </w:rPr>
        <w:t>ellipsoidalis</w:t>
      </w:r>
      <w:proofErr w:type="spellEnd"/>
      <w:r w:rsidR="00B7329B">
        <w:rPr>
          <w:rFonts w:ascii="Times New Roman" w:hAnsi="Times New Roman" w:cs="Times New Roman"/>
          <w:sz w:val="24"/>
          <w:szCs w:val="24"/>
        </w:rPr>
        <w:t>)</w:t>
      </w:r>
      <w:r w:rsidR="00CC2A08">
        <w:rPr>
          <w:rFonts w:ascii="Times New Roman" w:hAnsi="Times New Roman" w:cs="Times New Roman"/>
          <w:sz w:val="24"/>
          <w:szCs w:val="24"/>
        </w:rPr>
        <w:t xml:space="preserve"> also usually present.</w:t>
      </w:r>
      <w:r w:rsidR="0016373A">
        <w:rPr>
          <w:rFonts w:ascii="Times New Roman" w:hAnsi="Times New Roman" w:cs="Times New Roman"/>
          <w:sz w:val="24"/>
          <w:szCs w:val="24"/>
        </w:rPr>
        <w:t xml:space="preserve"> </w:t>
      </w:r>
      <w:r w:rsidR="00CC2A08">
        <w:rPr>
          <w:rFonts w:ascii="Times New Roman" w:hAnsi="Times New Roman" w:cs="Times New Roman"/>
          <w:sz w:val="24"/>
          <w:szCs w:val="24"/>
        </w:rPr>
        <w:t>Trees are generally scattered singly or in small groups, resulting in a</w:t>
      </w:r>
      <w:r w:rsidR="00F06DB9">
        <w:rPr>
          <w:rFonts w:ascii="Times New Roman" w:hAnsi="Times New Roman" w:cs="Times New Roman"/>
          <w:sz w:val="24"/>
          <w:szCs w:val="24"/>
        </w:rPr>
        <w:t xml:space="preserve">n open, </w:t>
      </w:r>
      <w:r w:rsidR="00CC2A08">
        <w:rPr>
          <w:rFonts w:ascii="Times New Roman" w:hAnsi="Times New Roman" w:cs="Times New Roman"/>
          <w:sz w:val="24"/>
          <w:szCs w:val="24"/>
        </w:rPr>
        <w:t xml:space="preserve">park-like </w:t>
      </w:r>
      <w:r w:rsidR="00F06DB9">
        <w:rPr>
          <w:rFonts w:ascii="Times New Roman" w:hAnsi="Times New Roman" w:cs="Times New Roman"/>
          <w:sz w:val="24"/>
          <w:szCs w:val="24"/>
        </w:rPr>
        <w:t>settin</w:t>
      </w:r>
      <w:r w:rsidR="00353FE1">
        <w:rPr>
          <w:rFonts w:ascii="Times New Roman" w:hAnsi="Times New Roman" w:cs="Times New Roman"/>
          <w:sz w:val="24"/>
          <w:szCs w:val="24"/>
        </w:rPr>
        <w:t>g (MN DNR 2005).</w:t>
      </w:r>
    </w:p>
    <w:p w:rsidR="00877434" w:rsidRDefault="003F7924" w:rsidP="003F7924">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F41C68">
        <w:rPr>
          <w:rFonts w:ascii="Times New Roman" w:hAnsi="Times New Roman" w:cs="Times New Roman"/>
          <w:sz w:val="24"/>
          <w:szCs w:val="24"/>
        </w:rPr>
        <w:t>he</w:t>
      </w:r>
      <w:r w:rsidR="00E6587F">
        <w:rPr>
          <w:rFonts w:ascii="Times New Roman" w:hAnsi="Times New Roman" w:cs="Times New Roman"/>
          <w:sz w:val="24"/>
          <w:szCs w:val="24"/>
        </w:rPr>
        <w:t xml:space="preserve">re are no </w:t>
      </w:r>
      <w:r w:rsidR="009135F3">
        <w:rPr>
          <w:rFonts w:ascii="Times New Roman" w:hAnsi="Times New Roman" w:cs="Times New Roman"/>
          <w:sz w:val="24"/>
          <w:szCs w:val="24"/>
        </w:rPr>
        <w:t xml:space="preserve">known </w:t>
      </w:r>
      <w:r w:rsidR="00E6587F">
        <w:rPr>
          <w:rFonts w:ascii="Times New Roman" w:hAnsi="Times New Roman" w:cs="Times New Roman"/>
          <w:sz w:val="24"/>
          <w:szCs w:val="24"/>
        </w:rPr>
        <w:t>examples of</w:t>
      </w:r>
      <w:r w:rsidR="00F41C68">
        <w:rPr>
          <w:rFonts w:ascii="Times New Roman" w:hAnsi="Times New Roman" w:cs="Times New Roman"/>
          <w:sz w:val="24"/>
          <w:szCs w:val="24"/>
        </w:rPr>
        <w:t xml:space="preserve"> mesic </w:t>
      </w:r>
      <w:r w:rsidR="00E6587F">
        <w:rPr>
          <w:rFonts w:ascii="Times New Roman" w:hAnsi="Times New Roman" w:cs="Times New Roman"/>
          <w:sz w:val="24"/>
          <w:szCs w:val="24"/>
        </w:rPr>
        <w:t xml:space="preserve">oak </w:t>
      </w:r>
      <w:r w:rsidR="00EF1600">
        <w:rPr>
          <w:rFonts w:ascii="Times New Roman" w:hAnsi="Times New Roman" w:cs="Times New Roman"/>
          <w:sz w:val="24"/>
          <w:szCs w:val="24"/>
        </w:rPr>
        <w:t>savann</w:t>
      </w:r>
      <w:r w:rsidR="009135F3">
        <w:rPr>
          <w:rFonts w:ascii="Times New Roman" w:hAnsi="Times New Roman" w:cs="Times New Roman"/>
          <w:sz w:val="24"/>
          <w:szCs w:val="24"/>
        </w:rPr>
        <w:t xml:space="preserve">a remaining </w:t>
      </w:r>
      <w:r w:rsidR="00EF1600">
        <w:rPr>
          <w:rFonts w:ascii="Times New Roman" w:hAnsi="Times New Roman" w:cs="Times New Roman"/>
          <w:sz w:val="24"/>
          <w:szCs w:val="24"/>
        </w:rPr>
        <w:t>in the Anoka Sand Plain.</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Most of it was converted to cropland as the area was settled, and fire suppression likely allowed</w:t>
      </w:r>
      <w:r w:rsidR="00026E4C">
        <w:rPr>
          <w:rFonts w:ascii="Times New Roman" w:hAnsi="Times New Roman" w:cs="Times New Roman"/>
          <w:sz w:val="24"/>
          <w:szCs w:val="24"/>
        </w:rPr>
        <w:t xml:space="preserve"> the transition of any remnant areas</w:t>
      </w:r>
      <w:r w:rsidR="00EF1600">
        <w:rPr>
          <w:rFonts w:ascii="Times New Roman" w:hAnsi="Times New Roman" w:cs="Times New Roman"/>
          <w:sz w:val="24"/>
          <w:szCs w:val="24"/>
        </w:rPr>
        <w:t xml:space="preserve"> into</w:t>
      </w:r>
      <w:r w:rsidR="004146D9">
        <w:rPr>
          <w:rFonts w:ascii="Times New Roman" w:hAnsi="Times New Roman" w:cs="Times New Roman"/>
          <w:sz w:val="24"/>
          <w:szCs w:val="24"/>
        </w:rPr>
        <w:t xml:space="preserve"> oak</w:t>
      </w:r>
      <w:r w:rsidR="00EF1600">
        <w:rPr>
          <w:rFonts w:ascii="Times New Roman" w:hAnsi="Times New Roman" w:cs="Times New Roman"/>
          <w:sz w:val="24"/>
          <w:szCs w:val="24"/>
        </w:rPr>
        <w:t xml:space="preserve"> woodland</w:t>
      </w:r>
      <w:r w:rsidR="00907051">
        <w:rPr>
          <w:rFonts w:ascii="Times New Roman" w:hAnsi="Times New Roman" w:cs="Times New Roman"/>
          <w:sz w:val="24"/>
          <w:szCs w:val="24"/>
        </w:rPr>
        <w:t xml:space="preserve"> (</w:t>
      </w:r>
      <w:proofErr w:type="spellStart"/>
      <w:r w:rsidR="002F39EB">
        <w:rPr>
          <w:rFonts w:ascii="Times New Roman" w:hAnsi="Times New Roman" w:cs="Times New Roman"/>
          <w:sz w:val="24"/>
          <w:szCs w:val="24"/>
        </w:rPr>
        <w:t>Wovcha</w:t>
      </w:r>
      <w:proofErr w:type="spellEnd"/>
      <w:r w:rsidR="00907051">
        <w:rPr>
          <w:rFonts w:ascii="Times New Roman" w:hAnsi="Times New Roman" w:cs="Times New Roman"/>
          <w:sz w:val="24"/>
          <w:szCs w:val="24"/>
        </w:rPr>
        <w:t xml:space="preserve"> et al. 1995</w:t>
      </w:r>
      <w:r w:rsidR="002F39EB">
        <w:rPr>
          <w:rFonts w:ascii="Times New Roman" w:hAnsi="Times New Roman" w:cs="Times New Roman"/>
          <w:sz w:val="24"/>
          <w:szCs w:val="24"/>
        </w:rPr>
        <w:t>)</w:t>
      </w:r>
      <w:r w:rsidR="00EF1600">
        <w:rPr>
          <w:rFonts w:ascii="Times New Roman" w:hAnsi="Times New Roman" w:cs="Times New Roman"/>
          <w:sz w:val="24"/>
          <w:szCs w:val="24"/>
        </w:rPr>
        <w:t>.</w:t>
      </w:r>
      <w:r w:rsidR="0016373A">
        <w:rPr>
          <w:rFonts w:ascii="Times New Roman" w:hAnsi="Times New Roman" w:cs="Times New Roman"/>
          <w:sz w:val="24"/>
          <w:szCs w:val="24"/>
        </w:rPr>
        <w:t xml:space="preserve"> </w:t>
      </w:r>
      <w:r w:rsidR="00EF1600">
        <w:rPr>
          <w:rFonts w:ascii="Times New Roman" w:hAnsi="Times New Roman" w:cs="Times New Roman"/>
          <w:sz w:val="24"/>
          <w:szCs w:val="24"/>
        </w:rPr>
        <w:t>However, the</w:t>
      </w:r>
      <w:r w:rsidR="00E1310F">
        <w:rPr>
          <w:rFonts w:ascii="Times New Roman" w:hAnsi="Times New Roman" w:cs="Times New Roman"/>
          <w:sz w:val="24"/>
          <w:szCs w:val="24"/>
        </w:rPr>
        <w:t xml:space="preserve"> </w:t>
      </w:r>
      <w:r w:rsidR="001D094C">
        <w:rPr>
          <w:rFonts w:ascii="Times New Roman" w:hAnsi="Times New Roman" w:cs="Times New Roman"/>
          <w:sz w:val="24"/>
          <w:szCs w:val="24"/>
        </w:rPr>
        <w:t>subsection</w:t>
      </w:r>
      <w:r w:rsidR="00A859CC" w:rsidRPr="00C44519">
        <w:rPr>
          <w:rFonts w:ascii="Times New Roman" w:hAnsi="Times New Roman" w:cs="Times New Roman"/>
          <w:sz w:val="24"/>
          <w:szCs w:val="24"/>
        </w:rPr>
        <w:t xml:space="preserve"> </w:t>
      </w:r>
      <w:r w:rsidR="00EF1600">
        <w:rPr>
          <w:rFonts w:ascii="Times New Roman" w:hAnsi="Times New Roman" w:cs="Times New Roman"/>
          <w:sz w:val="24"/>
          <w:szCs w:val="24"/>
        </w:rPr>
        <w:t xml:space="preserve">still </w:t>
      </w:r>
      <w:r w:rsidR="00A859CC" w:rsidRPr="00C44519">
        <w:rPr>
          <w:rFonts w:ascii="Times New Roman" w:hAnsi="Times New Roman" w:cs="Times New Roman"/>
          <w:sz w:val="24"/>
          <w:szCs w:val="24"/>
        </w:rPr>
        <w:t>cont</w:t>
      </w:r>
      <w:r w:rsidR="00A859CC"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w:t>
      </w:r>
      <w:r w:rsidR="00EF1600">
        <w:rPr>
          <w:rFonts w:ascii="Times New Roman" w:hAnsi="Times New Roman" w:cs="Times New Roman"/>
          <w:sz w:val="24"/>
          <w:szCs w:val="24"/>
        </w:rPr>
        <w:t xml:space="preserve"> remaining</w:t>
      </w:r>
      <w:r w:rsidR="00C223F5" w:rsidRPr="00C966A8">
        <w:rPr>
          <w:rFonts w:ascii="Times New Roman" w:hAnsi="Times New Roman" w:cs="Times New Roman"/>
          <w:sz w:val="24"/>
          <w:szCs w:val="24"/>
        </w:rPr>
        <w:t xml:space="preserve"> in Minnesota</w:t>
      </w:r>
      <w:r w:rsidR="009D4BC6">
        <w:rPr>
          <w:rFonts w:ascii="Times New Roman" w:hAnsi="Times New Roman" w:cs="Times New Roman"/>
          <w:sz w:val="24"/>
          <w:szCs w:val="24"/>
        </w:rPr>
        <w:t>. These areas are generally less suited to agriculture due to their excessively droughty soils</w:t>
      </w:r>
      <w:r w:rsidR="004146D9">
        <w:rPr>
          <w:rFonts w:ascii="Times New Roman" w:hAnsi="Times New Roman" w:cs="Times New Roman"/>
          <w:sz w:val="24"/>
          <w:szCs w:val="24"/>
        </w:rPr>
        <w:t xml:space="preserve"> and may have retained native plant communities due to their relatively low appeal to grazing livestock</w:t>
      </w:r>
      <w:r w:rsidR="009D4BC6">
        <w:rPr>
          <w:rFonts w:ascii="Times New Roman" w:hAnsi="Times New Roman" w:cs="Times New Roman"/>
          <w:sz w:val="24"/>
          <w:szCs w:val="24"/>
        </w:rPr>
        <w:t>,</w:t>
      </w:r>
      <w:r w:rsidR="00EF1600">
        <w:rPr>
          <w:rFonts w:ascii="Times New Roman" w:hAnsi="Times New Roman" w:cs="Times New Roman"/>
          <w:sz w:val="24"/>
          <w:szCs w:val="24"/>
        </w:rPr>
        <w:t xml:space="preserve"> </w:t>
      </w:r>
      <w:r w:rsidR="009D4BC6">
        <w:rPr>
          <w:rFonts w:ascii="Times New Roman" w:hAnsi="Times New Roman" w:cs="Times New Roman"/>
          <w:sz w:val="24"/>
          <w:szCs w:val="24"/>
        </w:rPr>
        <w:t>but development and other forms of land use</w:t>
      </w:r>
      <w:r w:rsidR="00377011">
        <w:rPr>
          <w:rFonts w:ascii="Times New Roman" w:hAnsi="Times New Roman" w:cs="Times New Roman"/>
          <w:sz w:val="24"/>
          <w:szCs w:val="24"/>
        </w:rPr>
        <w:t xml:space="preserve"> continue</w:t>
      </w:r>
      <w:r w:rsidR="00A54440">
        <w:rPr>
          <w:rFonts w:ascii="Times New Roman" w:hAnsi="Times New Roman" w:cs="Times New Roman"/>
          <w:sz w:val="24"/>
          <w:szCs w:val="24"/>
        </w:rPr>
        <w:t xml:space="preserve"> to threaten their</w:t>
      </w:r>
      <w:r w:rsidR="00931842">
        <w:rPr>
          <w:rFonts w:ascii="Times New Roman" w:hAnsi="Times New Roman" w:cs="Times New Roman"/>
          <w:sz w:val="24"/>
          <w:szCs w:val="24"/>
        </w:rPr>
        <w:t xml:space="preserve"> persistence</w:t>
      </w:r>
      <w:r w:rsidR="00EF1600">
        <w:rPr>
          <w:rFonts w:ascii="Times New Roman" w:hAnsi="Times New Roman" w:cs="Times New Roman"/>
          <w:sz w:val="24"/>
          <w:szCs w:val="24"/>
        </w:rPr>
        <w:t xml:space="preserve">. </w:t>
      </w:r>
      <w:r w:rsidR="0050238D">
        <w:rPr>
          <w:rFonts w:ascii="Times New Roman" w:hAnsi="Times New Roman" w:cs="Times New Roman"/>
          <w:sz w:val="24"/>
          <w:szCs w:val="24"/>
        </w:rPr>
        <w:t>Of the</w:t>
      </w:r>
      <w:r w:rsidR="00267127">
        <w:rPr>
          <w:rFonts w:ascii="Times New Roman" w:hAnsi="Times New Roman" w:cs="Times New Roman"/>
          <w:sz w:val="24"/>
          <w:szCs w:val="24"/>
        </w:rPr>
        <w:t xml:space="preserve"> </w:t>
      </w:r>
      <w:r w:rsidR="002F39EB">
        <w:rPr>
          <w:rFonts w:ascii="Times New Roman" w:hAnsi="Times New Roman" w:cs="Times New Roman"/>
          <w:sz w:val="24"/>
          <w:szCs w:val="24"/>
        </w:rPr>
        <w:t>309 ha of</w:t>
      </w:r>
      <w:r w:rsidR="000A424A">
        <w:rPr>
          <w:rFonts w:ascii="Times New Roman" w:hAnsi="Times New Roman" w:cs="Times New Roman"/>
          <w:sz w:val="24"/>
          <w:szCs w:val="24"/>
        </w:rPr>
        <w:t xml:space="preserve"> </w:t>
      </w:r>
      <w:r w:rsidR="00C60953">
        <w:rPr>
          <w:rFonts w:ascii="Times New Roman" w:hAnsi="Times New Roman" w:cs="Times New Roman"/>
          <w:sz w:val="24"/>
          <w:szCs w:val="24"/>
        </w:rPr>
        <w:t xml:space="preserve">oak savanna </w:t>
      </w:r>
      <w:r w:rsidR="00267127">
        <w:rPr>
          <w:rFonts w:ascii="Times New Roman" w:hAnsi="Times New Roman" w:cs="Times New Roman"/>
          <w:sz w:val="24"/>
          <w:szCs w:val="24"/>
        </w:rPr>
        <w:t xml:space="preserve">that have been </w:t>
      </w:r>
      <w:r w:rsidR="009135F3">
        <w:rPr>
          <w:rFonts w:ascii="Times New Roman" w:hAnsi="Times New Roman" w:cs="Times New Roman"/>
          <w:sz w:val="24"/>
          <w:szCs w:val="24"/>
        </w:rPr>
        <w:t xml:space="preserve">documented as </w:t>
      </w:r>
      <w:r w:rsidR="00267127">
        <w:rPr>
          <w:rFonts w:ascii="Times New Roman" w:hAnsi="Times New Roman" w:cs="Times New Roman"/>
          <w:sz w:val="24"/>
          <w:szCs w:val="24"/>
        </w:rPr>
        <w:t xml:space="preserve">converted or </w:t>
      </w:r>
      <w:r w:rsidR="00C60953">
        <w:rPr>
          <w:rFonts w:ascii="Times New Roman" w:hAnsi="Times New Roman" w:cs="Times New Roman"/>
          <w:sz w:val="24"/>
          <w:szCs w:val="24"/>
        </w:rPr>
        <w:t xml:space="preserve">destroyed since the counties were originally mapped between 1991 and 2009, </w:t>
      </w:r>
      <w:r w:rsidR="00267127">
        <w:rPr>
          <w:rFonts w:ascii="Times New Roman" w:hAnsi="Times New Roman" w:cs="Times New Roman"/>
          <w:sz w:val="24"/>
          <w:szCs w:val="24"/>
        </w:rPr>
        <w:t xml:space="preserve">82% </w:t>
      </w:r>
      <w:r w:rsidR="00083523">
        <w:rPr>
          <w:rFonts w:ascii="Times New Roman" w:hAnsi="Times New Roman" w:cs="Times New Roman"/>
          <w:sz w:val="24"/>
          <w:szCs w:val="24"/>
        </w:rPr>
        <w:t xml:space="preserve">of the loss </w:t>
      </w:r>
      <w:r w:rsidR="00267127">
        <w:rPr>
          <w:rFonts w:ascii="Times New Roman" w:hAnsi="Times New Roman" w:cs="Times New Roman"/>
          <w:sz w:val="24"/>
          <w:szCs w:val="24"/>
        </w:rPr>
        <w:t>occurred</w:t>
      </w:r>
      <w:r w:rsidR="00C60953">
        <w:rPr>
          <w:rFonts w:ascii="Times New Roman" w:hAnsi="Times New Roman" w:cs="Times New Roman"/>
          <w:sz w:val="24"/>
          <w:szCs w:val="24"/>
        </w:rPr>
        <w:t xml:space="preserve"> </w:t>
      </w:r>
      <w:r w:rsidR="00026E4C">
        <w:rPr>
          <w:rFonts w:ascii="Times New Roman" w:hAnsi="Times New Roman" w:cs="Times New Roman"/>
          <w:sz w:val="24"/>
          <w:szCs w:val="24"/>
        </w:rPr>
        <w:t>within the Anoka Sand Plain</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w:t>
      </w:r>
      <w:r w:rsidR="0012207A">
        <w:rPr>
          <w:rFonts w:ascii="Times New Roman" w:hAnsi="Times New Roman" w:cs="Times New Roman"/>
          <w:sz w:val="24"/>
          <w:szCs w:val="24"/>
        </w:rPr>
        <w:t>This continued loss is a direct threat</w:t>
      </w:r>
      <w:r w:rsidR="00E65578">
        <w:rPr>
          <w:rFonts w:ascii="Times New Roman" w:hAnsi="Times New Roman" w:cs="Times New Roman"/>
          <w:sz w:val="24"/>
          <w:szCs w:val="24"/>
        </w:rPr>
        <w:t xml:space="preserve"> to native plant and animal species, many of which have suffered drastic population declines as the landscape has been transformed</w:t>
      </w:r>
      <w:r w:rsidR="00AF44ED">
        <w:rPr>
          <w:rFonts w:ascii="Times New Roman" w:hAnsi="Times New Roman" w:cs="Times New Roman"/>
          <w:sz w:val="24"/>
          <w:szCs w:val="24"/>
        </w:rPr>
        <w:t xml:space="preserve"> (Coffin and </w:t>
      </w:r>
      <w:proofErr w:type="spellStart"/>
      <w:r w:rsidR="00AF44ED">
        <w:rPr>
          <w:rFonts w:ascii="Times New Roman" w:hAnsi="Times New Roman" w:cs="Times New Roman"/>
          <w:sz w:val="24"/>
          <w:szCs w:val="24"/>
        </w:rPr>
        <w:t>Pfannmuller</w:t>
      </w:r>
      <w:proofErr w:type="spellEnd"/>
      <w:r w:rsidR="00AF44ED">
        <w:rPr>
          <w:rFonts w:ascii="Times New Roman" w:hAnsi="Times New Roman" w:cs="Times New Roman"/>
          <w:sz w:val="24"/>
          <w:szCs w:val="24"/>
        </w:rPr>
        <w:t xml:space="preserve"> 1988</w:t>
      </w:r>
      <w:r w:rsidR="00E02E06">
        <w:rPr>
          <w:rFonts w:ascii="Times New Roman" w:hAnsi="Times New Roman" w:cs="Times New Roman"/>
          <w:sz w:val="24"/>
          <w:szCs w:val="24"/>
        </w:rPr>
        <w:t>)</w:t>
      </w:r>
      <w:r w:rsidR="00E65578">
        <w:rPr>
          <w:rFonts w:ascii="Times New Roman" w:hAnsi="Times New Roman" w:cs="Times New Roman"/>
          <w:sz w:val="24"/>
          <w:szCs w:val="24"/>
        </w:rPr>
        <w:t>. Specifically, t</w:t>
      </w:r>
      <w:r w:rsidR="00306D62">
        <w:rPr>
          <w:rFonts w:ascii="Times New Roman" w:hAnsi="Times New Roman" w:cs="Times New Roman"/>
          <w:sz w:val="24"/>
          <w:szCs w:val="24"/>
        </w:rPr>
        <w:t xml:space="preserve">he 2006 </w:t>
      </w:r>
      <w:r w:rsidR="00877434">
        <w:rPr>
          <w:rFonts w:ascii="Times New Roman" w:hAnsi="Times New Roman" w:cs="Times New Roman"/>
          <w:sz w:val="24"/>
          <w:szCs w:val="24"/>
        </w:rPr>
        <w:t xml:space="preserve">MN </w:t>
      </w:r>
      <w:r w:rsidR="00A859CC"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00A859CC"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A859CC"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00A859CC"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00A859CC"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00A859CC"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00A859CC"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00A859CC"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00A859CC"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00A859CC"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00A859CC"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00A859CC"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00A859CC"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12207A">
        <w:rPr>
          <w:rFonts w:ascii="Times New Roman" w:hAnsi="Times New Roman" w:cs="Times New Roman"/>
          <w:sz w:val="24"/>
          <w:szCs w:val="24"/>
        </w:rPr>
        <w:t>,</w:t>
      </w:r>
      <w:r w:rsidR="00766B9A">
        <w:rPr>
          <w:rFonts w:ascii="Times New Roman" w:hAnsi="Times New Roman" w:cs="Times New Roman"/>
          <w:sz w:val="24"/>
          <w:szCs w:val="24"/>
        </w:rPr>
        <w:t xml:space="preserve">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decline</w:t>
      </w:r>
      <w:r w:rsidR="00E02E06">
        <w:rPr>
          <w:rFonts w:ascii="Times New Roman" w:hAnsi="Times New Roman" w:cs="Times New Roman"/>
          <w:sz w:val="24"/>
          <w:szCs w:val="24"/>
        </w:rPr>
        <w:t>,</w:t>
      </w:r>
      <w:r w:rsidR="00766B9A">
        <w:rPr>
          <w:rFonts w:ascii="Times New Roman" w:hAnsi="Times New Roman" w:cs="Times New Roman"/>
          <w:sz w:val="24"/>
          <w:szCs w:val="24"/>
        </w:rPr>
        <w:t xml:space="preserve">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r w:rsidR="00E65578">
        <w:rPr>
          <w:rFonts w:ascii="Times New Roman" w:hAnsi="Times New Roman" w:cs="Times New Roman"/>
          <w:sz w:val="24"/>
          <w:szCs w:val="24"/>
        </w:rPr>
        <w:t>.</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083523">
        <w:rPr>
          <w:rFonts w:ascii="Times New Roman" w:hAnsi="Times New Roman" w:cs="Times New Roman"/>
          <w:bCs/>
          <w:sz w:val="24"/>
          <w:szCs w:val="24"/>
        </w:rPr>
        <w:t>managed</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083523">
        <w:rPr>
          <w:rFonts w:ascii="Times New Roman" w:hAnsi="Times New Roman" w:cs="Times New Roman"/>
          <w:bCs/>
          <w:sz w:val="24"/>
          <w:szCs w:val="24"/>
        </w:rPr>
        <w:t>aintained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C1004C">
        <w:rPr>
          <w:rFonts w:ascii="Times New Roman" w:hAnsi="Times New Roman" w:cs="Times New Roman"/>
          <w:sz w:val="24"/>
          <w:szCs w:val="24"/>
        </w:rPr>
        <w:t>on of pre-settlement</w:t>
      </w:r>
      <w:r w:rsidR="007A4FC1">
        <w:rPr>
          <w:rFonts w:ascii="Times New Roman" w:hAnsi="Times New Roman" w:cs="Times New Roman"/>
          <w:sz w:val="24"/>
          <w:szCs w:val="24"/>
        </w:rPr>
        <w:t xml:space="preserve">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816FBB">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w:t>
      </w:r>
      <w:bookmarkStart w:id="0" w:name="_GoBack"/>
      <w:bookmarkEnd w:id="0"/>
      <w:r w:rsidR="00B54D14" w:rsidRPr="00C966A8">
        <w:rPr>
          <w:rFonts w:ascii="Times New Roman" w:hAnsi="Times New Roman" w:cs="Times New Roman"/>
          <w:bCs/>
          <w:i/>
          <w:sz w:val="24"/>
          <w:szCs w:val="24"/>
        </w:rPr>
        <w:t>macus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B54D14" w:rsidRPr="00C966A8">
        <w:rPr>
          <w:rFonts w:ascii="Times New Roman" w:hAnsi="Times New Roman" w:cs="Times New Roman"/>
          <w:bCs/>
          <w:i/>
          <w:sz w:val="24"/>
          <w:szCs w:val="24"/>
        </w:rPr>
        <w:t>Pipilo erythrophthalmus</w:t>
      </w:r>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Hesperia leonardus</w:t>
      </w:r>
      <w:r w:rsidR="00B54D14" w:rsidRPr="00C966A8">
        <w:rPr>
          <w:rFonts w:ascii="Times New Roman" w:hAnsi="Times New Roman" w:cs="Times New Roman"/>
          <w:bCs/>
          <w:i/>
          <w:sz w:val="24"/>
          <w:szCs w:val="24"/>
        </w:rPr>
        <w:t xml:space="preserve"> leonardus</w:t>
      </w:r>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r w:rsidR="00D73177" w:rsidRPr="00C966A8">
        <w:rPr>
          <w:rFonts w:ascii="Times New Roman" w:hAnsi="Times New Roman" w:cs="Times New Roman"/>
          <w:bCs/>
          <w:i/>
          <w:sz w:val="24"/>
          <w:szCs w:val="24"/>
        </w:rPr>
        <w:t>Cicindela patruela</w:t>
      </w:r>
      <w:r w:rsidR="00DF5340">
        <w:rPr>
          <w:rFonts w:ascii="Times New Roman" w:hAnsi="Times New Roman" w:cs="Times New Roman"/>
          <w:bCs/>
          <w:i/>
          <w:sz w:val="24"/>
          <w:szCs w:val="24"/>
        </w:rPr>
        <w:t xml:space="preserve"> patruela</w:t>
      </w:r>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Heterodon nasicus</w:t>
      </w:r>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9A304C" w:rsidRPr="00C966A8">
        <w:rPr>
          <w:rFonts w:ascii="Times New Roman" w:hAnsi="Times New Roman" w:cs="Times New Roman"/>
          <w:bCs/>
          <w:i/>
          <w:sz w:val="24"/>
          <w:szCs w:val="24"/>
        </w:rPr>
        <w:t>Pituophis catenifer</w:t>
      </w:r>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xml:space="preserve">, which was </w:t>
      </w:r>
      <w:r w:rsidR="00D73177">
        <w:rPr>
          <w:rFonts w:ascii="Times New Roman" w:hAnsi="Times New Roman" w:cs="Times New Roman"/>
          <w:bCs/>
          <w:sz w:val="24"/>
          <w:szCs w:val="24"/>
        </w:rPr>
        <w:lastRenderedPageBreak/>
        <w:t>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H. l. pawnee</w:t>
      </w:r>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lastRenderedPageBreak/>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gophersnake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gophersnake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gophersnake</w:t>
      </w:r>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lastRenderedPageBreak/>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w:t>
      </w:r>
      <w:r w:rsidR="00A9355C">
        <w:rPr>
          <w:rFonts w:ascii="Times New Roman" w:hAnsi="Times New Roman" w:cs="Times New Roman"/>
          <w:sz w:val="24"/>
          <w:szCs w:val="24"/>
        </w:rPr>
        <w:t>217502;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2E79D0">
        <w:rPr>
          <w:rFonts w:ascii="Times New Roman" w:hAnsi="Times New Roman" w:cs="Times New Roman"/>
          <w:sz w:val="24"/>
          <w:szCs w:val="24"/>
        </w:rPr>
        <w:t>odland, sand prairie</w:t>
      </w:r>
      <w:r w:rsidR="006746AB">
        <w:rPr>
          <w:rFonts w:ascii="Times New Roman" w:hAnsi="Times New Roman" w:cs="Times New Roman"/>
          <w:sz w:val="24"/>
          <w:szCs w:val="24"/>
        </w:rPr>
        <w:t>,</w:t>
      </w:r>
      <w:r w:rsidR="00466818">
        <w:rPr>
          <w:rFonts w:ascii="Times New Roman" w:hAnsi="Times New Roman" w:cs="Times New Roman"/>
          <w:sz w:val="24"/>
          <w:szCs w:val="24"/>
        </w:rPr>
        <w:t xml:space="preserv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w:t>
      </w:r>
      <w:r w:rsidRPr="00C966A8">
        <w:rPr>
          <w:rFonts w:ascii="Times New Roman" w:hAnsi="Times New Roman" w:cs="Times New Roman"/>
          <w:sz w:val="24"/>
          <w:szCs w:val="24"/>
        </w:rPr>
        <w:lastRenderedPageBreak/>
        <w:t>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 xml:space="preserve">pecific </w:t>
      </w:r>
      <w:r w:rsidR="002371C0">
        <w:rPr>
          <w:rFonts w:ascii="Times New Roman" w:hAnsi="Times New Roman" w:cs="Times New Roman"/>
          <w:sz w:val="24"/>
          <w:szCs w:val="24"/>
        </w:rPr>
        <w:lastRenderedPageBreak/>
        <w:t>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 xml:space="preserve">ed to be concurrent </w:t>
      </w:r>
      <w:r w:rsidR="002E7EAC">
        <w:rPr>
          <w:rFonts w:ascii="Times New Roman" w:hAnsi="Times New Roman" w:cs="Times New Roman"/>
          <w:sz w:val="24"/>
          <w:szCs w:val="24"/>
        </w:rPr>
        <w:lastRenderedPageBreak/>
        <w:t>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surveyed for</w:t>
      </w:r>
      <w:r w:rsidR="00451CE5">
        <w:rPr>
          <w:rFonts w:ascii="Times New Roman" w:hAnsi="Times New Roman" w:cs="Times New Roman"/>
          <w:sz w:val="24"/>
          <w:szCs w:val="24"/>
        </w:rPr>
        <w:t xml:space="preserve"> gophersnake</w:t>
      </w:r>
      <w:r>
        <w:rPr>
          <w:rFonts w:ascii="Times New Roman" w:hAnsi="Times New Roman" w:cs="Times New Roman"/>
          <w:sz w:val="24"/>
          <w:szCs w:val="24"/>
        </w:rPr>
        <w:t>s</w:t>
      </w:r>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78160F"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 xml:space="preserve">Surveys - </w:t>
      </w:r>
      <w:r w:rsidR="004D7A78" w:rsidRPr="00C966A8">
        <w:rPr>
          <w:rFonts w:ascii="Times New Roman" w:hAnsi="Times New Roman" w:cs="Times New Roman"/>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r w:rsidR="00B22B07" w:rsidRPr="007E4C17">
        <w:rPr>
          <w:rFonts w:ascii="Times New Roman" w:hAnsi="Times New Roman" w:cs="Times New Roman"/>
          <w:i/>
          <w:sz w:val="24"/>
          <w:szCs w:val="24"/>
        </w:rPr>
        <w:t>Schizachyrium scoparium</w:t>
      </w:r>
      <w:r w:rsidR="00B22B07">
        <w:rPr>
          <w:rFonts w:ascii="Times New Roman" w:hAnsi="Times New Roman" w:cs="Times New Roman"/>
          <w:sz w:val="24"/>
          <w:szCs w:val="24"/>
        </w:rPr>
        <w:t>); number of stems of woody vegetation (i.e. shrubby species &lt; 0.5 m tall), blazing star (</w:t>
      </w:r>
      <w:r w:rsidR="00B22B07" w:rsidRPr="00981371">
        <w:rPr>
          <w:rFonts w:ascii="Times New Roman" w:hAnsi="Times New Roman" w:cs="Times New Roman"/>
          <w:i/>
          <w:sz w:val="24"/>
          <w:szCs w:val="24"/>
        </w:rPr>
        <w:t>Liatris</w:t>
      </w:r>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r w:rsidR="00B22B07" w:rsidRPr="00B22B07">
        <w:rPr>
          <w:rFonts w:ascii="Times New Roman" w:hAnsi="Times New Roman" w:cs="Times New Roman"/>
          <w:i/>
          <w:sz w:val="24"/>
          <w:szCs w:val="24"/>
        </w:rPr>
        <w:t>Asclepias</w:t>
      </w:r>
      <w:r w:rsidR="00B22B07">
        <w:rPr>
          <w:rFonts w:ascii="Times New Roman" w:hAnsi="Times New Roman" w:cs="Times New Roman"/>
          <w:sz w:val="24"/>
          <w:szCs w:val="24"/>
        </w:rPr>
        <w:t xml:space="preserve"> spp.); number of pocket gopher (</w:t>
      </w:r>
      <w:r w:rsidR="00B22B07" w:rsidRPr="00B22B07">
        <w:rPr>
          <w:rFonts w:ascii="Times New Roman" w:hAnsi="Times New Roman" w:cs="Times New Roman"/>
          <w:i/>
          <w:sz w:val="24"/>
          <w:szCs w:val="24"/>
        </w:rPr>
        <w:t>Geomys bursarius</w:t>
      </w:r>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78160F" w:rsidRDefault="0078160F" w:rsidP="00F27D39">
      <w:pPr>
        <w:spacing w:line="480" w:lineRule="auto"/>
        <w:outlineLvl w:val="0"/>
        <w:rPr>
          <w:rFonts w:ascii="Times New Roman" w:hAnsi="Times New Roman" w:cs="Times New Roman"/>
          <w:sz w:val="24"/>
          <w:szCs w:val="24"/>
        </w:rPr>
      </w:pPr>
      <w:r w:rsidRPr="0078160F">
        <w:rPr>
          <w:rFonts w:ascii="Times New Roman" w:hAnsi="Times New Roman" w:cs="Times New Roman"/>
          <w:sz w:val="24"/>
          <w:szCs w:val="24"/>
        </w:rPr>
        <w:lastRenderedPageBreak/>
        <w:t>Hypotheses</w:t>
      </w:r>
    </w:p>
    <w:p w:rsidR="0010428D" w:rsidRDefault="0010428D" w:rsidP="00E041E9">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Dechant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refugia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nectaring on blazing star (</w:t>
      </w:r>
      <w:r w:rsidRPr="00C966A8">
        <w:rPr>
          <w:rFonts w:ascii="Times New Roman" w:hAnsi="Times New Roman" w:cs="Times New Roman"/>
          <w:bCs/>
          <w:i/>
          <w:sz w:val="24"/>
          <w:szCs w:val="24"/>
        </w:rPr>
        <w:t xml:space="preserve">Liatris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r w:rsidRPr="00235C0E">
        <w:rPr>
          <w:rFonts w:ascii="Times New Roman" w:hAnsi="Times New Roman" w:cs="Times New Roman"/>
          <w:bCs/>
          <w:i/>
          <w:sz w:val="24"/>
          <w:szCs w:val="24"/>
        </w:rPr>
        <w:t>Liatris</w:t>
      </w:r>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graminoid cover and </w:t>
      </w:r>
      <w:r w:rsidRPr="004B40D5">
        <w:rPr>
          <w:rFonts w:ascii="Times New Roman" w:hAnsi="Times New Roman" w:cs="Times New Roman"/>
          <w:bCs/>
          <w:i/>
          <w:sz w:val="24"/>
          <w:szCs w:val="24"/>
        </w:rPr>
        <w:t>Liatris</w:t>
      </w:r>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r w:rsidRPr="00F56BAB">
        <w:rPr>
          <w:rFonts w:ascii="Times New Roman" w:hAnsi="Times New Roman" w:cs="Times New Roman"/>
          <w:bCs/>
          <w:i/>
          <w:sz w:val="24"/>
          <w:szCs w:val="24"/>
        </w:rPr>
        <w:t>Liatris</w:t>
      </w:r>
      <w:r>
        <w:rPr>
          <w:rFonts w:ascii="Times New Roman" w:hAnsi="Times New Roman" w:cs="Times New Roman"/>
          <w:bCs/>
          <w:sz w:val="24"/>
          <w:szCs w:val="24"/>
        </w:rPr>
        <w:t xml:space="preserve"> and negatively affected </w:t>
      </w:r>
      <w:r>
        <w:rPr>
          <w:rFonts w:ascii="Times New Roman" w:hAnsi="Times New Roman" w:cs="Times New Roman"/>
          <w:bCs/>
          <w:sz w:val="24"/>
          <w:szCs w:val="24"/>
        </w:rPr>
        <w:lastRenderedPageBreak/>
        <w:t xml:space="preserve">by wind speed. Northern barrens tiger beetles are chase and ambush predators known to inhabit oak savanna, pine barrens,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have rolling topography (Christopher Smith, MN Department of Transportation, pers.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Both the plains hog-nosed snake and gophersnake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rsidR="0078160F" w:rsidRPr="0078160F" w:rsidRDefault="0078160F" w:rsidP="0078160F">
      <w:pPr>
        <w:spacing w:line="480" w:lineRule="auto"/>
        <w:rPr>
          <w:rFonts w:ascii="Times New Roman" w:hAnsi="Times New Roman" w:cs="Times New Roman"/>
          <w:b/>
          <w:bCs/>
          <w:sz w:val="24"/>
          <w:szCs w:val="24"/>
        </w:rPr>
      </w:pPr>
      <w:r w:rsidRPr="0078160F">
        <w:rPr>
          <w:rFonts w:ascii="Times New Roman" w:hAnsi="Times New Roman" w:cs="Times New Roman"/>
          <w:b/>
          <w:bCs/>
          <w:sz w:val="24"/>
          <w:szCs w:val="24"/>
        </w:rPr>
        <w:t>Statistical Analysis</w:t>
      </w: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Royle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DD58FE">
        <w:rPr>
          <w:rFonts w:ascii="Times New Roman" w:hAnsi="Times New Roman" w:cs="Times New Roman"/>
          <w:sz w:val="24"/>
          <w:szCs w:val="24"/>
        </w:rPr>
        <w:t xml:space="preserve">changes in state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w:t>
      </w:r>
      <w:r w:rsidR="00E041E9">
        <w:rPr>
          <w:rFonts w:ascii="Times New Roman" w:hAnsi="Times New Roman" w:cs="Times New Roman"/>
          <w:sz w:val="24"/>
          <w:szCs w:val="24"/>
        </w:rPr>
        <w:t>rimary goal of many studies, including it</w:t>
      </w:r>
      <w:r w:rsidR="00F03388">
        <w:rPr>
          <w:rFonts w:ascii="Times New Roman" w:hAnsi="Times New Roman" w:cs="Times New Roman"/>
          <w:sz w:val="24"/>
          <w:szCs w:val="24"/>
        </w:rPr>
        <w:t xml:space="preserve"> in the </w:t>
      </w:r>
      <w:r w:rsidR="00E041E9">
        <w:rPr>
          <w:rFonts w:ascii="Times New Roman" w:hAnsi="Times New Roman" w:cs="Times New Roman"/>
          <w:sz w:val="24"/>
          <w:szCs w:val="24"/>
        </w:rPr>
        <w:t xml:space="preserve">modeling </w:t>
      </w:r>
      <w:r w:rsidR="00F03388">
        <w:rPr>
          <w:rFonts w:ascii="Times New Roman" w:hAnsi="Times New Roman" w:cs="Times New Roman"/>
          <w:sz w:val="24"/>
          <w:szCs w:val="24"/>
        </w:rPr>
        <w:t xml:space="preserve">process allows for inference </w:t>
      </w:r>
      <w:r w:rsidR="00F03388">
        <w:rPr>
          <w:rFonts w:ascii="Times New Roman" w:hAnsi="Times New Roman" w:cs="Times New Roman"/>
          <w:sz w:val="24"/>
          <w:szCs w:val="24"/>
        </w:rPr>
        <w:lastRenderedPageBreak/>
        <w:t>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w:t>
      </w:r>
      <w:r w:rsidR="00E041E9">
        <w:rPr>
          <w:rFonts w:ascii="Times New Roman" w:hAnsi="Times New Roman" w:cs="Times New Roman"/>
          <w:sz w:val="24"/>
          <w:szCs w:val="24"/>
        </w:rPr>
        <w:t xml:space="preserve"> (i</w:t>
      </w:r>
      <w:r w:rsidR="00646436">
        <w:rPr>
          <w:rFonts w:ascii="Times New Roman" w:hAnsi="Times New Roman" w:cs="Times New Roman"/>
          <w:sz w:val="24"/>
          <w:szCs w:val="24"/>
        </w:rPr>
        <w:t>.</w:t>
      </w:r>
      <w:r w:rsidR="00E041E9">
        <w:rPr>
          <w:rFonts w:ascii="Times New Roman" w:hAnsi="Times New Roman" w:cs="Times New Roman"/>
          <w:sz w:val="24"/>
          <w:szCs w:val="24"/>
        </w:rPr>
        <w:t>e</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w:t>
      </w:r>
      <w:r w:rsidR="00C46050">
        <w:rPr>
          <w:rFonts w:ascii="Times New Roman" w:hAnsi="Times New Roman" w:cs="Times New Roman"/>
          <w:sz w:val="24"/>
          <w:szCs w:val="24"/>
        </w:rPr>
        <w:t>non-detections of the target species) that are due to true</w:t>
      </w:r>
      <w:r w:rsidR="00E041E9">
        <w:rPr>
          <w:rFonts w:ascii="Times New Roman" w:hAnsi="Times New Roman" w:cs="Times New Roman"/>
          <w:sz w:val="24"/>
          <w:szCs w:val="24"/>
        </w:rPr>
        <w:t xml:space="preserve"> absences vs</w:t>
      </w:r>
      <w:r w:rsidR="00646436">
        <w:rPr>
          <w:rFonts w:ascii="Times New Roman" w:hAnsi="Times New Roman" w:cs="Times New Roman"/>
          <w:sz w:val="24"/>
          <w:szCs w:val="24"/>
        </w:rPr>
        <w:t>.</w:t>
      </w:r>
      <w:r w:rsidR="00E041E9">
        <w:rPr>
          <w:rFonts w:ascii="Times New Roman" w:hAnsi="Times New Roman" w:cs="Times New Roman"/>
          <w:sz w:val="24"/>
          <w:szCs w:val="24"/>
        </w:rPr>
        <w:t xml:space="preserve"> those that </w:t>
      </w:r>
      <w:r w:rsidR="00646436">
        <w:rPr>
          <w:rFonts w:ascii="Times New Roman" w:hAnsi="Times New Roman" w:cs="Times New Roman"/>
          <w:sz w:val="24"/>
          <w:szCs w:val="24"/>
        </w:rPr>
        <w:t>represent failures</w:t>
      </w:r>
      <w:r w:rsidR="00E041E9">
        <w:rPr>
          <w:rFonts w:ascii="Times New Roman" w:hAnsi="Times New Roman" w:cs="Times New Roman"/>
          <w:sz w:val="24"/>
          <w:szCs w:val="24"/>
        </w:rPr>
        <w:t xml:space="preserve"> to detect </w:t>
      </w:r>
      <w:r w:rsidR="00646436">
        <w:rPr>
          <w:rFonts w:ascii="Times New Roman" w:hAnsi="Times New Roman" w:cs="Times New Roman"/>
          <w:sz w:val="24"/>
          <w:szCs w:val="24"/>
        </w:rPr>
        <w:t>individuals that were</w:t>
      </w:r>
      <w:r w:rsidR="00E041E9">
        <w:rPr>
          <w:rFonts w:ascii="Times New Roman" w:hAnsi="Times New Roman" w:cs="Times New Roman"/>
          <w:sz w:val="24"/>
          <w:szCs w:val="24"/>
        </w:rPr>
        <w:t xml:space="preserve"> actually present during the survey</w:t>
      </w:r>
      <w:r w:rsidR="00646436">
        <w:rPr>
          <w:rFonts w:ascii="Times New Roman" w:hAnsi="Times New Roman" w:cs="Times New Roman"/>
          <w:sz w:val="24"/>
          <w:szCs w:val="24"/>
        </w:rPr>
        <w:t xml:space="preserve">, </w:t>
      </w:r>
      <w:r w:rsidR="00270D69">
        <w:rPr>
          <w:rFonts w:ascii="Times New Roman" w:hAnsi="Times New Roman" w:cs="Times New Roman"/>
          <w:sz w:val="24"/>
          <w:szCs w:val="24"/>
        </w:rPr>
        <w:t xml:space="preserve">as well as </w:t>
      </w:r>
      <w:r w:rsidR="00C46050">
        <w:rPr>
          <w:rFonts w:ascii="Times New Roman" w:hAnsi="Times New Roman" w:cs="Times New Roman"/>
          <w:sz w:val="24"/>
          <w:szCs w:val="24"/>
        </w:rPr>
        <w:t xml:space="preserve">addressing the </w:t>
      </w:r>
      <w:r w:rsidR="00270D69">
        <w:rPr>
          <w:rFonts w:ascii="Times New Roman" w:hAnsi="Times New Roman" w:cs="Times New Roman"/>
          <w:sz w:val="24"/>
          <w:szCs w:val="24"/>
        </w:rPr>
        <w:t>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Royle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Royle’s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an important assumption of the original N-mixture model described by Royle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 xml:space="preserve">individuals are counted </w:t>
      </w:r>
      <w:r w:rsidR="00FA0C4F">
        <w:rPr>
          <w:rFonts w:ascii="Times New Roman" w:hAnsi="Times New Roman" w:cs="Times New Roman"/>
          <w:sz w:val="24"/>
          <w:szCs w:val="24"/>
        </w:rPr>
        <w:lastRenderedPageBreak/>
        <w:t>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h,t</w:t>
      </w:r>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(eq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(eq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(eq 3)</w:t>
      </w:r>
      <w:r w:rsidRPr="00E269C1">
        <w:rPr>
          <w:rFonts w:ascii="Times New Roman" w:hAnsi="Times New Roman" w:cs="Times New Roman"/>
          <w:sz w:val="24"/>
          <w:szCs w:val="24"/>
        </w:rPr>
        <w:t>:</w:t>
      </w:r>
    </w:p>
    <w:p w:rsidR="00E269C1" w:rsidRPr="00E269C1" w:rsidRDefault="004146D9"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4146D9"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4146D9"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4146D9"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 xml:space="preserve">here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4146D9"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4146D9"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4146D9"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the probability of detecting individuals (</w:t>
      </w:r>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r w:rsidRPr="007F0531">
        <w:rPr>
          <w:rFonts w:ascii="Times New Roman" w:eastAsiaTheme="minorEastAsia" w:hAnsi="Times New Roman" w:cs="Times New Roman"/>
          <w:i/>
          <w:sz w:val="24"/>
          <w:szCs w:val="24"/>
        </w:rPr>
        <w:t>i</w:t>
      </w:r>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4146D9"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946509">
        <w:rPr>
          <w:rFonts w:ascii="Times New Roman" w:hAnsi="Times New Roman" w:cs="Times New Roman"/>
          <w:sz w:val="24"/>
          <w:szCs w:val="24"/>
        </w:rPr>
        <w:t>Mo</w:t>
      </w:r>
      <w:r w:rsidR="00834564">
        <w:rPr>
          <w:rFonts w:ascii="Times New Roman" w:hAnsi="Times New Roman" w:cs="Times New Roman"/>
          <w:sz w:val="24"/>
          <w:szCs w:val="24"/>
        </w:rPr>
        <w:t xml:space="preserve">del covariates were standardized prior to analysis to facilitate effect size comparisons. As a result, our final models are not directly predictive and cannot be used to extrapolate actual species abundance or occupancy.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w:t>
      </w:r>
      <w:r w:rsidR="000B58E1" w:rsidRPr="006B09FA">
        <w:rPr>
          <w:rFonts w:ascii="Times New Roman" w:hAnsi="Times New Roman" w:cs="Times New Roman"/>
          <w:sz w:val="24"/>
          <w:szCs w:val="24"/>
        </w:rPr>
        <w:lastRenderedPageBreak/>
        <w:t xml:space="preserve">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Giudice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As a first step, we estimated initial abundance using either Poisson, negative binomial, or zero-inflated Poisson distributions to determine which baseline model provided the best fit for our data, where “best” was determined based on minimum values of the Akaike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r w:rsidR="00982D56">
        <w:rPr>
          <w:rFonts w:ascii="Times New Roman" w:hAnsi="Times New Roman" w:cs="Times New Roman"/>
          <w:sz w:val="24"/>
          <w:szCs w:val="24"/>
        </w:rPr>
        <w:t xml:space="preserve"> We used 85% confidence intervals for all parameter estimates </w:t>
      </w:r>
      <w:r w:rsidR="00D45C2B">
        <w:rPr>
          <w:rFonts w:ascii="Times New Roman" w:hAnsi="Times New Roman" w:cs="Times New Roman"/>
          <w:sz w:val="24"/>
          <w:szCs w:val="24"/>
        </w:rPr>
        <w:t>to remain consistent with the AIC selection process, as described by Arnold (2010).</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 xml:space="preserve">vary among </w:t>
      </w:r>
      <w:r w:rsidR="00AF575F">
        <w:rPr>
          <w:rFonts w:ascii="Times New Roman" w:hAnsi="Times New Roman" w:cs="Times New Roman"/>
          <w:sz w:val="24"/>
          <w:szCs w:val="24"/>
        </w:rPr>
        <w:lastRenderedPageBreak/>
        <w:t>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4146D9"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4146D9"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4146D9"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4146D9"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4146D9"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4146D9"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to exhibit additional spatio-temporal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4146D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lastRenderedPageBreak/>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r w:rsidR="007F5C5A" w:rsidRPr="007F5C5A">
        <w:rPr>
          <w:rFonts w:ascii="Times New Roman" w:hAnsi="Times New Roman" w:cs="Times New Roman"/>
          <w:i/>
          <w:sz w:val="24"/>
          <w:szCs w:val="24"/>
        </w:rPr>
        <w:t>i</w:t>
      </w:r>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4146D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4146D9"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4146D9"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4146D9"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4146D9"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jagsUI (Kelner,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traceplots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r w:rsidR="00546249">
        <w:rPr>
          <w:rFonts w:ascii="Times New Roman" w:hAnsi="Times New Roman" w:cs="Times New Roman"/>
          <w:sz w:val="24"/>
          <w:szCs w:val="24"/>
        </w:rPr>
        <w:t xml:space="preserve"> We reported 85% credible intervals to remain consistent with our previous modeling steps.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 xml:space="preserve">Leonard’s skipper </w:t>
      </w:r>
      <w:r w:rsidR="004C55C6">
        <w:rPr>
          <w:rFonts w:ascii="Times New Roman" w:hAnsi="Times New Roman" w:cs="Times New Roman"/>
          <w:sz w:val="24"/>
          <w:szCs w:val="24"/>
        </w:rPr>
        <w:lastRenderedPageBreak/>
        <w:t>occupancy and abundance were</w:t>
      </w:r>
      <w:r w:rsidR="00827558">
        <w:rPr>
          <w:rFonts w:ascii="Times New Roman" w:hAnsi="Times New Roman" w:cs="Times New Roman"/>
          <w:sz w:val="24"/>
          <w:szCs w:val="24"/>
        </w:rPr>
        <w:t xml:space="preserve"> positively affected by number of </w:t>
      </w:r>
      <w:r w:rsidR="00827558" w:rsidRPr="00827558">
        <w:rPr>
          <w:rFonts w:ascii="Times New Roman" w:hAnsi="Times New Roman" w:cs="Times New Roman"/>
          <w:i/>
          <w:sz w:val="24"/>
          <w:szCs w:val="24"/>
        </w:rPr>
        <w:t>Liatris</w:t>
      </w:r>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lastRenderedPageBreak/>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r w:rsidRPr="00AB4ADE">
              <w:rPr>
                <w:rFonts w:ascii="Times New Roman" w:eastAsia="Times New Roman" w:hAnsi="Times New Roman" w:cs="Times New Roman"/>
                <w:i/>
                <w:color w:val="000000"/>
                <w:sz w:val="18"/>
                <w:szCs w:val="18"/>
              </w:rPr>
              <w:t>Liatris</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sd</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B97B59" w:rsidRDefault="00366CE6" w:rsidP="00366CE6">
            <w:pPr>
              <w:spacing w:after="0" w:line="240" w:lineRule="auto"/>
              <w:rPr>
                <w:rFonts w:ascii="Times New Roman" w:eastAsia="Times New Roman" w:hAnsi="Times New Roman" w:cs="Times New Roman"/>
                <w:i/>
                <w:color w:val="000000"/>
                <w:sz w:val="18"/>
                <w:szCs w:val="18"/>
              </w:rPr>
            </w:pPr>
            <w:r w:rsidRPr="00B97B59">
              <w:rPr>
                <w:rFonts w:ascii="Times New Roman" w:eastAsia="Times New Roman" w:hAnsi="Times New Roman" w:cs="Times New Roman"/>
                <w:i/>
                <w:color w:val="000000"/>
                <w:sz w:val="18"/>
                <w:szCs w:val="18"/>
              </w:rPr>
              <w:t>Liatris</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rsidTr="00366CE6">
        <w:trPr>
          <w:trHeight w:val="288"/>
        </w:trPr>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(abundance) and </w:t>
      </w:r>
      <w:r w:rsidR="00812E42" w:rsidRPr="00812E42">
        <w:rPr>
          <w:rFonts w:ascii="Times New Roman" w:hAnsi="Times New Roman" w:cs="Times New Roman"/>
          <w:i/>
          <w:sz w:val="20"/>
          <w:szCs w:val="20"/>
        </w:rPr>
        <w:t>Liatris</w:t>
      </w:r>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1467D5">
        <w:trPr>
          <w:trHeight w:val="288"/>
        </w:trPr>
        <w:tc>
          <w:tcPr>
            <w:tcW w:w="1350"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sd</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lastRenderedPageBreak/>
              <w:t>Occupancy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rsidTr="00B11324">
        <w:trPr>
          <w:trHeight w:val="288"/>
        </w:trPr>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Gophersnake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r>
        <w:rPr>
          <w:rFonts w:ascii="Times New Roman" w:hAnsi="Times New Roman" w:cs="Times New Roman"/>
          <w:sz w:val="24"/>
          <w:szCs w:val="24"/>
        </w:rPr>
        <w:t>Gophersnakes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gophersnakes were detected was 1.54 (85% CI 1.23-1.85).</w:t>
      </w:r>
      <w:r>
        <w:rPr>
          <w:rFonts w:ascii="Times New Roman" w:hAnsi="Times New Roman" w:cs="Times New Roman"/>
          <w:bCs/>
          <w:sz w:val="24"/>
          <w:szCs w:val="24"/>
        </w:rPr>
        <w:t xml:space="preserve"> Plains hog-</w:t>
      </w:r>
      <w:r>
        <w:rPr>
          <w:rFonts w:ascii="Times New Roman" w:hAnsi="Times New Roman" w:cs="Times New Roman"/>
          <w:bCs/>
          <w:sz w:val="24"/>
          <w:szCs w:val="24"/>
        </w:rPr>
        <w:lastRenderedPageBreak/>
        <w:t xml:space="preserve">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evens during replicate surveys,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r w:rsidR="002E2E43" w:rsidRPr="00A96F49">
        <w:rPr>
          <w:rFonts w:ascii="Times New Roman" w:hAnsi="Times New Roman" w:cs="Times New Roman"/>
          <w:bCs/>
          <w:sz w:val="24"/>
          <w:szCs w:val="24"/>
        </w:rPr>
        <w:t>Guillera-Arroita</w:t>
      </w:r>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xml:space="preserve">, Peterson and Reich 2001), the relative costs and benefits in terms of abundance, persistence, and survival vary across taxa and species (Bendel et </w:t>
      </w:r>
      <w:r w:rsidR="0015495C" w:rsidRPr="00A96F49">
        <w:rPr>
          <w:rFonts w:ascii="Times New Roman" w:hAnsi="Times New Roman" w:cs="Times New Roman"/>
          <w:bCs/>
          <w:sz w:val="24"/>
          <w:szCs w:val="24"/>
        </w:rPr>
        <w:lastRenderedPageBreak/>
        <w:t>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w:t>
      </w:r>
      <w:r w:rsidRPr="00A96F49">
        <w:rPr>
          <w:rFonts w:ascii="Times New Roman" w:hAnsi="Times New Roman" w:cs="Times New Roman"/>
          <w:bCs/>
          <w:sz w:val="24"/>
          <w:szCs w:val="24"/>
        </w:rPr>
        <w:lastRenderedPageBreak/>
        <w:t xml:space="preserve">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w:t>
      </w:r>
      <w:r w:rsidR="00A96F49" w:rsidRPr="00A96F49">
        <w:rPr>
          <w:rFonts w:ascii="Times New Roman" w:hAnsi="Times New Roman" w:cs="Times New Roman"/>
          <w:bCs/>
          <w:sz w:val="24"/>
          <w:szCs w:val="24"/>
        </w:rPr>
        <w:lastRenderedPageBreak/>
        <w:t>scale. Although restoration planning should be at a large scale to provide a variety of related habitat types on the landscape and should be planned over as long a term as is possible, actual restoration activities may need to be conducted at relatively</w:t>
      </w:r>
      <w:r w:rsidR="00FC056D">
        <w:rPr>
          <w:rFonts w:ascii="Times New Roman" w:hAnsi="Times New Roman" w:cs="Times New Roman"/>
          <w:bCs/>
          <w:sz w:val="24"/>
          <w:szCs w:val="24"/>
        </w:rPr>
        <w:t xml:space="preserve"> small scales to provide refugi</w:t>
      </w:r>
      <w:r>
        <w:rPr>
          <w:rFonts w:ascii="Times New Roman" w:hAnsi="Times New Roman" w:cs="Times New Roman"/>
          <w:bCs/>
          <w:sz w:val="24"/>
          <w:szCs w:val="24"/>
        </w:rPr>
        <w:t>a</w:t>
      </w:r>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(Guillera-Arroita</w:t>
      </w:r>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2010; Mackenzie &amp; Royle,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w:t>
      </w:r>
      <w:r w:rsidR="00A96F49" w:rsidRPr="00A96F49">
        <w:rPr>
          <w:rFonts w:ascii="Times New Roman" w:hAnsi="Times New Roman" w:cs="Times New Roman"/>
          <w:bCs/>
          <w:sz w:val="24"/>
          <w:szCs w:val="24"/>
        </w:rPr>
        <w:lastRenderedPageBreak/>
        <w:t>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sing Akaike's Information Criterion. The Journal of Wildlife Management, 74: 1175–1178. doi:10.1111/j.1937-2817.2010.tb01236.x</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Bendel, C.R.</w:t>
      </w:r>
      <w:r w:rsidR="004423CD">
        <w:rPr>
          <w:rFonts w:ascii="Times New Roman" w:hAnsi="Times New Roman" w:cs="Times New Roman"/>
          <w:sz w:val="24"/>
          <w:szCs w:val="24"/>
        </w:rPr>
        <w:t>, Hovick,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xml:space="preserve">. </w:t>
      </w:r>
      <w:hyperlink r:id="rId11" w:history="1">
        <w:r w:rsidR="004B0D75" w:rsidRPr="00941CED">
          <w:rPr>
            <w:rStyle w:val="Hyperlink"/>
            <w:rFonts w:ascii="Times New Roman" w:hAnsi="Times New Roman" w:cs="Times New Roman"/>
            <w:sz w:val="24"/>
            <w:szCs w:val="24"/>
          </w:rPr>
          <w:t>https://doi-org.ezp2.lib.umn.edu/10.1007/s10841-017-0041-9</w:t>
        </w:r>
      </w:hyperlink>
    </w:p>
    <w:p w:rsidR="004B0D75" w:rsidRDefault="004B0D75"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w:t>
      </w:r>
      <w:r w:rsidR="00D46000">
        <w:rPr>
          <w:rFonts w:ascii="Times New Roman" w:hAnsi="Times New Roman" w:cs="Times New Roman"/>
          <w:sz w:val="24"/>
          <w:szCs w:val="24"/>
        </w:rPr>
        <w:t>1988. The natural vegetation of Minnesota at the time of the public land survey: 1847-1907. Adapted from the Original Vegetation of Minnesota by F. J. Marschner. Minnesota Natural Heritage and Nongame Research Program, Minnesota Department of Natural Resources.</w:t>
      </w:r>
    </w:p>
    <w:p w:rsidR="00E02E06" w:rsidRPr="006A3EB9" w:rsidRDefault="00E02E06"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Coffin, B.J. and L. </w:t>
      </w:r>
      <w:proofErr w:type="spellStart"/>
      <w:r>
        <w:rPr>
          <w:rFonts w:ascii="Times New Roman" w:hAnsi="Times New Roman" w:cs="Times New Roman"/>
          <w:sz w:val="24"/>
          <w:szCs w:val="24"/>
        </w:rPr>
        <w:t>Pfannmuller</w:t>
      </w:r>
      <w:proofErr w:type="spellEnd"/>
      <w:r>
        <w:rPr>
          <w:rFonts w:ascii="Times New Roman" w:hAnsi="Times New Roman" w:cs="Times New Roman"/>
          <w:sz w:val="24"/>
          <w:szCs w:val="24"/>
        </w:rPr>
        <w:t>, editors. 1988. Minnesota’s endangered flora and fauna. University of Minnesota Press, Minneapolis, USA.</w:t>
      </w:r>
    </w:p>
    <w:p w:rsidR="006A3EB9" w:rsidRPr="006A3EB9" w:rsidRDefault="00630CC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Dana, R. 1991</w:t>
      </w:r>
      <w:r w:rsidR="006A3EB9" w:rsidRPr="006A3EB9">
        <w:rPr>
          <w:rFonts w:ascii="Times New Roman" w:hAnsi="Times New Roman" w:cs="Times New Roman"/>
          <w:sz w:val="24"/>
          <w:szCs w:val="24"/>
        </w:rPr>
        <w:t xml:space="preserve">. Conservation management of the prairie skippers, </w:t>
      </w:r>
      <w:r w:rsidR="006A3EB9" w:rsidRPr="00936CBE">
        <w:rPr>
          <w:rFonts w:ascii="Times New Roman" w:hAnsi="Times New Roman" w:cs="Times New Roman"/>
          <w:i/>
          <w:sz w:val="24"/>
          <w:szCs w:val="24"/>
        </w:rPr>
        <w:t>Hesperia dacotae</w:t>
      </w:r>
      <w:r w:rsidR="006A3EB9" w:rsidRPr="006A3EB9">
        <w:rPr>
          <w:rFonts w:ascii="Times New Roman" w:hAnsi="Times New Roman" w:cs="Times New Roman"/>
          <w:sz w:val="24"/>
          <w:szCs w:val="24"/>
        </w:rPr>
        <w:t xml:space="preserve"> and </w:t>
      </w:r>
      <w:r w:rsidR="006A3EB9" w:rsidRPr="00936CBE">
        <w:rPr>
          <w:rFonts w:ascii="Times New Roman" w:hAnsi="Times New Roman" w:cs="Times New Roman"/>
          <w:i/>
          <w:sz w:val="24"/>
          <w:szCs w:val="24"/>
        </w:rPr>
        <w:t>Hesperia ottoe</w:t>
      </w:r>
      <w:r w:rsidR="006A3EB9" w:rsidRPr="006A3EB9">
        <w:rPr>
          <w:rFonts w:ascii="Times New Roman" w:hAnsi="Times New Roman" w:cs="Times New Roman"/>
          <w:sz w:val="24"/>
          <w:szCs w:val="24"/>
        </w:rPr>
        <w:t>: Basic biology and threat of mortality during prescribed burning in spring (Station bulletin (University of Minnesota. Agricul</w:t>
      </w:r>
      <w:r w:rsidR="00936CBE">
        <w:rPr>
          <w:rFonts w:ascii="Times New Roman" w:hAnsi="Times New Roman" w:cs="Times New Roman"/>
          <w:sz w:val="24"/>
          <w:szCs w:val="24"/>
        </w:rPr>
        <w:t>tural Experiment Station)</w:t>
      </w:r>
      <w:r w:rsidR="006A3EB9"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w:t>
      </w:r>
      <w:r w:rsidR="00936CBE">
        <w:rPr>
          <w:rFonts w:ascii="Times New Roman" w:hAnsi="Times New Roman" w:cs="Times New Roman"/>
          <w:sz w:val="24"/>
          <w:szCs w:val="24"/>
        </w:rPr>
        <w:t>. W., Reich, P. B., Crozier, M., Query, T., Mitchell, E.</w:t>
      </w:r>
      <w:r w:rsidRPr="006A3EB9">
        <w:rPr>
          <w:rFonts w:ascii="Times New Roman" w:hAnsi="Times New Roman" w:cs="Times New Roman"/>
          <w:sz w:val="24"/>
          <w:szCs w:val="24"/>
        </w:rPr>
        <w:t>, Huntington, J. and Bazakas, P. (2000), Restoring Savanna Using Fire: Impact on the Breeding Bird Community. Restoration Ecology, 8: 30-40. doi:10.1046/j.1526-100x.2000.80005.x</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Fiske, I. and R. Chandler. 2011. unmarked: An R Package for Fitting Hierarchical Models of Wildlife Occurrence and Abundance. Journal of Statistical Software, 43(10), 1-23. URL http://www.jstatsoft.org/v43/i10/.</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Fondell, T. F., D. A. Miller, J. B. Grand, and R. M. Anthony. 2008. Survival of dusky Canada goose goslings in relation to weather and annual nest success. Journal of Wildlife Management 72:1614-1621.</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Giudice, J. H., J.</w:t>
      </w:r>
      <w:r w:rsidR="00A02AD2">
        <w:rPr>
          <w:rFonts w:ascii="Times New Roman" w:hAnsi="Times New Roman" w:cs="Times New Roman"/>
          <w:sz w:val="24"/>
          <w:szCs w:val="24"/>
        </w:rPr>
        <w:t xml:space="preserve"> R. Fieberg, and M. S. Lenarz. 2012.</w:t>
      </w:r>
      <w:r w:rsidRPr="006A3EB9">
        <w:rPr>
          <w:rFonts w:ascii="Times New Roman" w:hAnsi="Times New Roman" w:cs="Times New Roman"/>
          <w:sz w:val="24"/>
          <w:szCs w:val="24"/>
        </w:rPr>
        <w:t xml:space="preserve"> Spending degrees of freedom in a poor economy: A case study of building a sightability model for moose in northeastern Minnesota. The Journal of Wildlife Management, 76: 75–87. doi:10.1002/jwmg.213</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Greenlaw, Jon S. 2015. Eastern towhee (Pipilo erythrophthalmus), version 2.0. </w:t>
      </w:r>
      <w:r w:rsidRPr="00A02AD2">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https://doi.org/10.2173/bna.262</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 G., Rido</w:t>
      </w:r>
      <w:r w:rsidR="00A02AD2">
        <w:rPr>
          <w:rFonts w:ascii="Times New Roman" w:hAnsi="Times New Roman" w:cs="Times New Roman"/>
          <w:sz w:val="24"/>
          <w:szCs w:val="24"/>
        </w:rPr>
        <w:t>ut, M.S. &amp; Morgan, B.J.T. 2010.</w:t>
      </w:r>
      <w:r w:rsidRPr="006A3EB9">
        <w:rPr>
          <w:rFonts w:ascii="Times New Roman" w:hAnsi="Times New Roman" w:cs="Times New Roman"/>
          <w:sz w:val="24"/>
          <w:szCs w:val="24"/>
        </w:rPr>
        <w:t xml:space="preserve"> Design of occupancy studies with imperfect detection. Methods in Ecology and Evolution, 1, 131–139. DOI: 10.1111/j.2041-210X.2010.00017.x</w:t>
      </w:r>
    </w:p>
    <w:p w:rsidR="00D57913" w:rsidRPr="006A3EB9" w:rsidRDefault="00D57913" w:rsidP="00A70A22">
      <w:pPr>
        <w:autoSpaceDE w:val="0"/>
        <w:autoSpaceDN w:val="0"/>
        <w:spacing w:line="48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ervation Biology, 1:</w:t>
      </w:r>
      <w:r w:rsidRPr="00D57913">
        <w:rPr>
          <w:rFonts w:ascii="Times New Roman" w:hAnsi="Times New Roman" w:cs="Times New Roman"/>
          <w:sz w:val="24"/>
          <w:szCs w:val="24"/>
        </w:rPr>
        <w:t>59-62. http://www.jstor.org.ezp1.lib.umn.edu/stable/2386127.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Mackenzie, D. I., and J.A. Royle. 2005. Designing occupancy studies: General advice and allocating survey effort. Journal of Applied Ecology, 42, 1105–1114</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Martin, J. W. and J. R. Parrish. 2000. Lark Sparrow (Chondestes grammacus), version 2.0. </w:t>
      </w:r>
      <w:r w:rsidRPr="005F6691">
        <w:rPr>
          <w:rFonts w:ascii="Times New Roman" w:hAnsi="Times New Roman" w:cs="Times New Roman"/>
          <w:i/>
          <w:sz w:val="24"/>
          <w:szCs w:val="24"/>
        </w:rPr>
        <w:t>In</w:t>
      </w:r>
      <w:r w:rsidRPr="006A3EB9">
        <w:rPr>
          <w:rFonts w:ascii="Times New Roman" w:hAnsi="Times New Roman" w:cs="Times New Roman"/>
          <w:sz w:val="24"/>
          <w:szCs w:val="24"/>
        </w:rPr>
        <w:t xml:space="preserve"> The Birds of North America (P. G. Rodewald, editor). Cornell Lab of Ornithology, Ithaca, New York, USA. https://doi.org/10.2173/bna.488</w:t>
      </w:r>
    </w:p>
    <w:p w:rsidR="00D7453E" w:rsidRDefault="006A3EB9" w:rsidP="00D7453E">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Marshner, F. J. 1974. The original vegetation of Minnesota (map scale 1:500,000). USDA Forest Service, North Central Forest Experiment Station, St. Paul, Minnesota (redraft of the original 1930 edition)</w:t>
      </w:r>
    </w:p>
    <w:p w:rsidR="00735C47" w:rsidRPr="006A3EB9" w:rsidRDefault="00735C47" w:rsidP="00D7453E">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Minnesota Department of Natural Resources, 2005. Field Guide to the Native Plant Communities of Minnesota: The Eastern Broadleaf Forest Province. Ecological Land Classification Program, Minnesota County Biological Survey and Natural Heritage and Nongame Research Program, </w:t>
      </w:r>
      <w:r w:rsidRPr="006A3EB9">
        <w:rPr>
          <w:rFonts w:ascii="Times New Roman" w:hAnsi="Times New Roman" w:cs="Times New Roman"/>
          <w:sz w:val="24"/>
          <w:szCs w:val="24"/>
        </w:rPr>
        <w:t>Minnesota Department of Natural Resources</w:t>
      </w:r>
      <w:r>
        <w:rPr>
          <w:rFonts w:ascii="Times New Roman" w:hAnsi="Times New Roman" w:cs="Times New Roman"/>
          <w:sz w:val="24"/>
          <w:szCs w:val="24"/>
        </w:rPr>
        <w:t xml:space="preserve">, St. Paul, MN.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r w:rsidR="00735C47">
        <w:rPr>
          <w:rFonts w:ascii="Times New Roman" w:hAnsi="Times New Roman" w:cs="Times New Roman"/>
          <w:sz w:val="24"/>
          <w:szCs w:val="24"/>
        </w:rPr>
        <w:t>, St. Paul, MN</w:t>
      </w:r>
      <w:r w:rsidRPr="006A3EB9">
        <w:rPr>
          <w:rFonts w:ascii="Times New Roman" w:hAnsi="Times New Roman" w:cs="Times New Roman"/>
          <w:sz w:val="24"/>
          <w:szCs w:val="24"/>
        </w:rPr>
        <w:t>.</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Minnesota Department of Natural Resources, Division of Ecological Resources. 2008. Rare Species Guide: An online encyclopedia of Minnesota's rare native plants and animals </w:t>
      </w:r>
      <w:r w:rsidRPr="006A3EB9">
        <w:rPr>
          <w:rFonts w:ascii="Times New Roman" w:hAnsi="Times New Roman" w:cs="Times New Roman"/>
          <w:sz w:val="24"/>
          <w:szCs w:val="24"/>
        </w:rPr>
        <w:lastRenderedPageBreak/>
        <w:t>[Web Application]. Minnesota Department of Natural Resources, St. Paul, Minnesota. www.dnr.state.mn.us/rsg. Accessed [Mar 2018].</w:t>
      </w:r>
    </w:p>
    <w:p w:rsidR="0014771C" w:rsidRPr="006A3EB9" w:rsidRDefault="0014771C"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A70A22">
      <w:pPr>
        <w:autoSpaceDE w:val="0"/>
        <w:autoSpaceDN w:val="0"/>
        <w:spacing w:line="480" w:lineRule="auto"/>
        <w:ind w:left="720" w:hanging="720"/>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w:t>
      </w:r>
      <w:r w:rsidR="00936CBE">
        <w:rPr>
          <w:rFonts w:ascii="Times New Roman" w:hAnsi="Times New Roman" w:cs="Times New Roman"/>
          <w:sz w:val="24"/>
          <w:szCs w:val="24"/>
        </w:rPr>
        <w:t xml:space="preserve"> 2017.</w:t>
      </w:r>
      <w:r w:rsidRPr="00E01C54">
        <w:rPr>
          <w:rFonts w:ascii="Times New Roman" w:hAnsi="Times New Roman" w:cs="Times New Roman"/>
          <w:sz w:val="24"/>
          <w:szCs w:val="24"/>
        </w:rPr>
        <w:t xml:space="preserve">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936CBE"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Noss, R., &amp; Peters, R. 1995. Endangered ecosystems : A status report on America's vanishing habitat and wildlife. Washington, D.C.: Defenders of Wildlife.</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Nuzzo, V. A. 1986. Extent and status of Midwest oak savanna: presettlement and 1985. Natural Areas Journal 6(2):6-36</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Pfannmuller, L., G. Niemi, J. Green, B. Sample, N. Walton, E. Zlonis, T. Brown, A. Bracey, G. Host, J. Reed, K. Rewinkel, and N. Will. 2017. The First Minnesota Breeding Bird Atlas (2009-2013). Accessed November 2017.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Plummer, M. 2003. JAGS: A program for analysis of Bayesian graphical models using Gibbs sampling</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Specht, H.M., H.T Reich, F. Iannarilli, et al. 2017. Occupancy surveys with conditional replicates: An alternative sampling design for rare species. Methods</w:t>
      </w:r>
      <w:r w:rsidR="00936CBE">
        <w:rPr>
          <w:rFonts w:ascii="Times New Roman" w:hAnsi="Times New Roman" w:cs="Times New Roman"/>
          <w:sz w:val="24"/>
          <w:szCs w:val="24"/>
        </w:rPr>
        <w:t xml:space="preserve"> in</w:t>
      </w:r>
      <w:r w:rsidRPr="006A3EB9">
        <w:rPr>
          <w:rFonts w:ascii="Times New Roman" w:hAnsi="Times New Roman" w:cs="Times New Roman"/>
          <w:sz w:val="24"/>
          <w:szCs w:val="24"/>
        </w:rPr>
        <w:t xml:space="preserve"> Ecol</w:t>
      </w:r>
      <w:r w:rsidR="00936CBE">
        <w:rPr>
          <w:rFonts w:ascii="Times New Roman" w:hAnsi="Times New Roman" w:cs="Times New Roman"/>
          <w:sz w:val="24"/>
          <w:szCs w:val="24"/>
        </w:rPr>
        <w:t xml:space="preserve">ogy and Evolution. </w:t>
      </w:r>
      <w:r w:rsidRPr="006A3EB9">
        <w:rPr>
          <w:rFonts w:ascii="Times New Roman" w:hAnsi="Times New Roman" w:cs="Times New Roman"/>
          <w:sz w:val="24"/>
          <w:szCs w:val="24"/>
        </w:rPr>
        <w:t>8:1725–1734. https://doi-org.ezp1.lib.umn.edu/10.1111/2041-210X.12842</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1996. Effects of fire and hay management on abundance of prairie butterflies. Biological Conservation, 76(1), 73-85.</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Swengel, A. 1998. Effects of management on butterfly abundance in tallgrass prairie and pine barrens. Biological Conservation, 83(1), 77-89.</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w:t>
      </w:r>
      <w:r w:rsidR="00936CBE">
        <w:rPr>
          <w:rFonts w:ascii="Times New Roman" w:hAnsi="Times New Roman" w:cs="Times New Roman"/>
          <w:sz w:val="24"/>
          <w:szCs w:val="24"/>
        </w:rPr>
        <w:t xml:space="preserve">, Buckley, D., &amp; Applegate, R. </w:t>
      </w:r>
      <w:r w:rsidRPr="006A3EB9">
        <w:rPr>
          <w:rFonts w:ascii="Times New Roman" w:hAnsi="Times New Roman" w:cs="Times New Roman"/>
          <w:sz w:val="24"/>
          <w:szCs w:val="24"/>
        </w:rPr>
        <w:t>2016. Avian occupancy response to oak woodland and savanna restoration. Journal of Wildlife Management, 80(6), 1091-1105.</w:t>
      </w:r>
    </w:p>
    <w:p w:rsidR="00E92564" w:rsidRPr="008E2389" w:rsidRDefault="00E92564"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 xml:space="preserve">Wovcha, D.S., B.C. Delaney, </w:t>
      </w:r>
      <w:r w:rsidR="00630CC4">
        <w:rPr>
          <w:rFonts w:ascii="Times New Roman" w:hAnsi="Times New Roman" w:cs="Times New Roman"/>
          <w:sz w:val="24"/>
          <w:szCs w:val="24"/>
        </w:rPr>
        <w:t>and G.E. Nordquist. 1995. Minnesota’s St. Croix River Valley and Anoka Sandplain, a Guide to Native Habitats. University of Minnesota Press, St. Paul, USA.</w:t>
      </w:r>
    </w:p>
    <w:sectPr w:rsidR="00E92564"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4C"/>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3523"/>
    <w:rsid w:val="00084A8F"/>
    <w:rsid w:val="00085005"/>
    <w:rsid w:val="000850BF"/>
    <w:rsid w:val="00085AD1"/>
    <w:rsid w:val="000871D8"/>
    <w:rsid w:val="000A424A"/>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05EDD"/>
    <w:rsid w:val="001101ED"/>
    <w:rsid w:val="00110BEE"/>
    <w:rsid w:val="0011393B"/>
    <w:rsid w:val="00114996"/>
    <w:rsid w:val="0011680A"/>
    <w:rsid w:val="0012118B"/>
    <w:rsid w:val="0012207A"/>
    <w:rsid w:val="00124D3E"/>
    <w:rsid w:val="00126CCC"/>
    <w:rsid w:val="00130D27"/>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6183D"/>
    <w:rsid w:val="0016373A"/>
    <w:rsid w:val="001646DB"/>
    <w:rsid w:val="0017376F"/>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03E"/>
    <w:rsid w:val="001B6D64"/>
    <w:rsid w:val="001B7CEE"/>
    <w:rsid w:val="001C2100"/>
    <w:rsid w:val="001C219C"/>
    <w:rsid w:val="001C2D3F"/>
    <w:rsid w:val="001C4F14"/>
    <w:rsid w:val="001C55E2"/>
    <w:rsid w:val="001C7DE6"/>
    <w:rsid w:val="001C7F74"/>
    <w:rsid w:val="001D094C"/>
    <w:rsid w:val="001D386D"/>
    <w:rsid w:val="001D4B03"/>
    <w:rsid w:val="001D4BDD"/>
    <w:rsid w:val="001E2531"/>
    <w:rsid w:val="001E49CC"/>
    <w:rsid w:val="001E4AB7"/>
    <w:rsid w:val="001E6C9A"/>
    <w:rsid w:val="001F140F"/>
    <w:rsid w:val="001F1E28"/>
    <w:rsid w:val="00201430"/>
    <w:rsid w:val="00204E91"/>
    <w:rsid w:val="00204EEB"/>
    <w:rsid w:val="0021169B"/>
    <w:rsid w:val="0021261A"/>
    <w:rsid w:val="002127E4"/>
    <w:rsid w:val="00214065"/>
    <w:rsid w:val="00214505"/>
    <w:rsid w:val="00215785"/>
    <w:rsid w:val="0022080C"/>
    <w:rsid w:val="0022778A"/>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67127"/>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3235"/>
    <w:rsid w:val="002C41D9"/>
    <w:rsid w:val="002C6BA7"/>
    <w:rsid w:val="002D2E05"/>
    <w:rsid w:val="002D4FB7"/>
    <w:rsid w:val="002E2E43"/>
    <w:rsid w:val="002E79D0"/>
    <w:rsid w:val="002E7EAC"/>
    <w:rsid w:val="002F0A0D"/>
    <w:rsid w:val="002F39EB"/>
    <w:rsid w:val="00306D62"/>
    <w:rsid w:val="00310202"/>
    <w:rsid w:val="003132E0"/>
    <w:rsid w:val="00320962"/>
    <w:rsid w:val="00321590"/>
    <w:rsid w:val="00323408"/>
    <w:rsid w:val="00325B77"/>
    <w:rsid w:val="003338DA"/>
    <w:rsid w:val="003419C2"/>
    <w:rsid w:val="00346324"/>
    <w:rsid w:val="003533FD"/>
    <w:rsid w:val="00353FE1"/>
    <w:rsid w:val="00355A3D"/>
    <w:rsid w:val="00357842"/>
    <w:rsid w:val="00360D84"/>
    <w:rsid w:val="00361BA1"/>
    <w:rsid w:val="0036285E"/>
    <w:rsid w:val="00362B95"/>
    <w:rsid w:val="003661F5"/>
    <w:rsid w:val="00366CE6"/>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924"/>
    <w:rsid w:val="003F7A8A"/>
    <w:rsid w:val="0040396C"/>
    <w:rsid w:val="00406F81"/>
    <w:rsid w:val="004078FC"/>
    <w:rsid w:val="00407F35"/>
    <w:rsid w:val="00411412"/>
    <w:rsid w:val="00411E5F"/>
    <w:rsid w:val="004129B5"/>
    <w:rsid w:val="00413315"/>
    <w:rsid w:val="00413B2D"/>
    <w:rsid w:val="004146D9"/>
    <w:rsid w:val="00414976"/>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66818"/>
    <w:rsid w:val="00473C43"/>
    <w:rsid w:val="00474392"/>
    <w:rsid w:val="00474E91"/>
    <w:rsid w:val="00476F4A"/>
    <w:rsid w:val="004771E0"/>
    <w:rsid w:val="0048009D"/>
    <w:rsid w:val="00482C4A"/>
    <w:rsid w:val="004834C6"/>
    <w:rsid w:val="0048681F"/>
    <w:rsid w:val="00486C50"/>
    <w:rsid w:val="004875CE"/>
    <w:rsid w:val="00492140"/>
    <w:rsid w:val="00497B21"/>
    <w:rsid w:val="004B0316"/>
    <w:rsid w:val="004B0438"/>
    <w:rsid w:val="004B0D75"/>
    <w:rsid w:val="004B3A46"/>
    <w:rsid w:val="004B40D5"/>
    <w:rsid w:val="004B5B68"/>
    <w:rsid w:val="004C1D5D"/>
    <w:rsid w:val="004C4BC1"/>
    <w:rsid w:val="004C55C6"/>
    <w:rsid w:val="004C645C"/>
    <w:rsid w:val="004C67FB"/>
    <w:rsid w:val="004D7A78"/>
    <w:rsid w:val="004E22D3"/>
    <w:rsid w:val="004E315D"/>
    <w:rsid w:val="004E3BD9"/>
    <w:rsid w:val="004E6D6C"/>
    <w:rsid w:val="004F08FD"/>
    <w:rsid w:val="004F1174"/>
    <w:rsid w:val="004F17EB"/>
    <w:rsid w:val="004F1DBF"/>
    <w:rsid w:val="004F2EAA"/>
    <w:rsid w:val="004F3B92"/>
    <w:rsid w:val="004F3F14"/>
    <w:rsid w:val="004F60AF"/>
    <w:rsid w:val="0050061C"/>
    <w:rsid w:val="00501424"/>
    <w:rsid w:val="0050238D"/>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14C"/>
    <w:rsid w:val="00543524"/>
    <w:rsid w:val="005436B9"/>
    <w:rsid w:val="00546249"/>
    <w:rsid w:val="00546808"/>
    <w:rsid w:val="00550C2F"/>
    <w:rsid w:val="00555DFE"/>
    <w:rsid w:val="0055650C"/>
    <w:rsid w:val="005576D9"/>
    <w:rsid w:val="0056138D"/>
    <w:rsid w:val="005649AE"/>
    <w:rsid w:val="00567DD2"/>
    <w:rsid w:val="00570AE0"/>
    <w:rsid w:val="0057131E"/>
    <w:rsid w:val="00575987"/>
    <w:rsid w:val="00577C2F"/>
    <w:rsid w:val="00586FCC"/>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5F6691"/>
    <w:rsid w:val="00601419"/>
    <w:rsid w:val="00601B63"/>
    <w:rsid w:val="00605BA7"/>
    <w:rsid w:val="006066C0"/>
    <w:rsid w:val="0061040D"/>
    <w:rsid w:val="006124EE"/>
    <w:rsid w:val="00617950"/>
    <w:rsid w:val="0062247A"/>
    <w:rsid w:val="0062698A"/>
    <w:rsid w:val="00630CC4"/>
    <w:rsid w:val="00632E3B"/>
    <w:rsid w:val="006336DA"/>
    <w:rsid w:val="00635B7C"/>
    <w:rsid w:val="0063638E"/>
    <w:rsid w:val="00636D4B"/>
    <w:rsid w:val="00644AB7"/>
    <w:rsid w:val="00645110"/>
    <w:rsid w:val="00645EE1"/>
    <w:rsid w:val="00646436"/>
    <w:rsid w:val="00646E38"/>
    <w:rsid w:val="00647720"/>
    <w:rsid w:val="00647E82"/>
    <w:rsid w:val="006622E9"/>
    <w:rsid w:val="00666C90"/>
    <w:rsid w:val="00666F06"/>
    <w:rsid w:val="006745E2"/>
    <w:rsid w:val="006746AB"/>
    <w:rsid w:val="00674886"/>
    <w:rsid w:val="006759E7"/>
    <w:rsid w:val="00676122"/>
    <w:rsid w:val="00683719"/>
    <w:rsid w:val="006851E1"/>
    <w:rsid w:val="006874C2"/>
    <w:rsid w:val="00687F3C"/>
    <w:rsid w:val="006925CF"/>
    <w:rsid w:val="00692A1E"/>
    <w:rsid w:val="00692AFA"/>
    <w:rsid w:val="006937EC"/>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6F7CA8"/>
    <w:rsid w:val="00710195"/>
    <w:rsid w:val="007115B6"/>
    <w:rsid w:val="00712023"/>
    <w:rsid w:val="00712D2F"/>
    <w:rsid w:val="00713EEE"/>
    <w:rsid w:val="0071688F"/>
    <w:rsid w:val="00716A81"/>
    <w:rsid w:val="00716E3F"/>
    <w:rsid w:val="007212C5"/>
    <w:rsid w:val="007237D8"/>
    <w:rsid w:val="00726C90"/>
    <w:rsid w:val="00732171"/>
    <w:rsid w:val="00732FD0"/>
    <w:rsid w:val="007341DD"/>
    <w:rsid w:val="00735C47"/>
    <w:rsid w:val="00737789"/>
    <w:rsid w:val="0074174E"/>
    <w:rsid w:val="007444B5"/>
    <w:rsid w:val="00746A8A"/>
    <w:rsid w:val="00751DA5"/>
    <w:rsid w:val="00753073"/>
    <w:rsid w:val="0076472D"/>
    <w:rsid w:val="00766B9A"/>
    <w:rsid w:val="007701C3"/>
    <w:rsid w:val="00774C91"/>
    <w:rsid w:val="0078160F"/>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325"/>
    <w:rsid w:val="007C450E"/>
    <w:rsid w:val="007C481D"/>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065CE"/>
    <w:rsid w:val="00812E42"/>
    <w:rsid w:val="00815C7B"/>
    <w:rsid w:val="00816FBB"/>
    <w:rsid w:val="00824408"/>
    <w:rsid w:val="00827558"/>
    <w:rsid w:val="00830AA5"/>
    <w:rsid w:val="008337E1"/>
    <w:rsid w:val="00834564"/>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B4C59"/>
    <w:rsid w:val="008C23FC"/>
    <w:rsid w:val="008C491E"/>
    <w:rsid w:val="008C726B"/>
    <w:rsid w:val="008D05FA"/>
    <w:rsid w:val="008D0EBA"/>
    <w:rsid w:val="008E0A7F"/>
    <w:rsid w:val="008E1426"/>
    <w:rsid w:val="008E2389"/>
    <w:rsid w:val="008E2660"/>
    <w:rsid w:val="008F17C5"/>
    <w:rsid w:val="008F7AD8"/>
    <w:rsid w:val="0090105A"/>
    <w:rsid w:val="00907051"/>
    <w:rsid w:val="009073BD"/>
    <w:rsid w:val="00913006"/>
    <w:rsid w:val="0091303F"/>
    <w:rsid w:val="009132C4"/>
    <w:rsid w:val="009135F3"/>
    <w:rsid w:val="00913631"/>
    <w:rsid w:val="00916D5E"/>
    <w:rsid w:val="00921C27"/>
    <w:rsid w:val="00922136"/>
    <w:rsid w:val="00923D25"/>
    <w:rsid w:val="00925008"/>
    <w:rsid w:val="00930B84"/>
    <w:rsid w:val="009314C9"/>
    <w:rsid w:val="009315EF"/>
    <w:rsid w:val="00931842"/>
    <w:rsid w:val="0093304A"/>
    <w:rsid w:val="009352EB"/>
    <w:rsid w:val="00936CBE"/>
    <w:rsid w:val="009430FE"/>
    <w:rsid w:val="00946509"/>
    <w:rsid w:val="00947DBE"/>
    <w:rsid w:val="009522D1"/>
    <w:rsid w:val="00955BE0"/>
    <w:rsid w:val="00955BEB"/>
    <w:rsid w:val="009576AE"/>
    <w:rsid w:val="009607E2"/>
    <w:rsid w:val="00961869"/>
    <w:rsid w:val="0096356A"/>
    <w:rsid w:val="00963C64"/>
    <w:rsid w:val="00964417"/>
    <w:rsid w:val="00966443"/>
    <w:rsid w:val="00970FE4"/>
    <w:rsid w:val="009761A3"/>
    <w:rsid w:val="00981371"/>
    <w:rsid w:val="00981547"/>
    <w:rsid w:val="00982D56"/>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D4BC6"/>
    <w:rsid w:val="009F19B2"/>
    <w:rsid w:val="009F606B"/>
    <w:rsid w:val="00A00281"/>
    <w:rsid w:val="00A02AD2"/>
    <w:rsid w:val="00A05699"/>
    <w:rsid w:val="00A140A9"/>
    <w:rsid w:val="00A142B3"/>
    <w:rsid w:val="00A155B4"/>
    <w:rsid w:val="00A15942"/>
    <w:rsid w:val="00A16FEA"/>
    <w:rsid w:val="00A17893"/>
    <w:rsid w:val="00A30911"/>
    <w:rsid w:val="00A35BFE"/>
    <w:rsid w:val="00A369C3"/>
    <w:rsid w:val="00A40AF1"/>
    <w:rsid w:val="00A40BC6"/>
    <w:rsid w:val="00A43BAC"/>
    <w:rsid w:val="00A5044C"/>
    <w:rsid w:val="00A50D19"/>
    <w:rsid w:val="00A530B5"/>
    <w:rsid w:val="00A54440"/>
    <w:rsid w:val="00A62560"/>
    <w:rsid w:val="00A634CE"/>
    <w:rsid w:val="00A67FEF"/>
    <w:rsid w:val="00A70A22"/>
    <w:rsid w:val="00A70E48"/>
    <w:rsid w:val="00A71444"/>
    <w:rsid w:val="00A71739"/>
    <w:rsid w:val="00A77E67"/>
    <w:rsid w:val="00A859CC"/>
    <w:rsid w:val="00A86056"/>
    <w:rsid w:val="00A86E3F"/>
    <w:rsid w:val="00A87D1F"/>
    <w:rsid w:val="00A9124F"/>
    <w:rsid w:val="00A9355C"/>
    <w:rsid w:val="00A96F49"/>
    <w:rsid w:val="00A97A0D"/>
    <w:rsid w:val="00AA39E4"/>
    <w:rsid w:val="00AA501F"/>
    <w:rsid w:val="00AA5ACA"/>
    <w:rsid w:val="00AA7EA9"/>
    <w:rsid w:val="00AB3E22"/>
    <w:rsid w:val="00AB4ADE"/>
    <w:rsid w:val="00AB6518"/>
    <w:rsid w:val="00AB6E8D"/>
    <w:rsid w:val="00AB723B"/>
    <w:rsid w:val="00AC216B"/>
    <w:rsid w:val="00AC36C5"/>
    <w:rsid w:val="00AC4724"/>
    <w:rsid w:val="00AC6350"/>
    <w:rsid w:val="00AC68A5"/>
    <w:rsid w:val="00AC6AF4"/>
    <w:rsid w:val="00AC7BFD"/>
    <w:rsid w:val="00AC7FDA"/>
    <w:rsid w:val="00AD082B"/>
    <w:rsid w:val="00AD1AAC"/>
    <w:rsid w:val="00AE2805"/>
    <w:rsid w:val="00AE59AF"/>
    <w:rsid w:val="00AF0678"/>
    <w:rsid w:val="00AF089D"/>
    <w:rsid w:val="00AF1EB6"/>
    <w:rsid w:val="00AF44ED"/>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0CC0"/>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182B"/>
    <w:rsid w:val="00B72B45"/>
    <w:rsid w:val="00B731B5"/>
    <w:rsid w:val="00B7329B"/>
    <w:rsid w:val="00B73514"/>
    <w:rsid w:val="00B745AE"/>
    <w:rsid w:val="00B747FC"/>
    <w:rsid w:val="00B749BC"/>
    <w:rsid w:val="00B76BAA"/>
    <w:rsid w:val="00B77FC8"/>
    <w:rsid w:val="00B92692"/>
    <w:rsid w:val="00B93215"/>
    <w:rsid w:val="00B935A2"/>
    <w:rsid w:val="00B937C4"/>
    <w:rsid w:val="00B97B59"/>
    <w:rsid w:val="00BA02B2"/>
    <w:rsid w:val="00BA5670"/>
    <w:rsid w:val="00BA71CC"/>
    <w:rsid w:val="00BB00C9"/>
    <w:rsid w:val="00BB45C8"/>
    <w:rsid w:val="00BB7A14"/>
    <w:rsid w:val="00BC15D2"/>
    <w:rsid w:val="00BC4CE6"/>
    <w:rsid w:val="00BC720C"/>
    <w:rsid w:val="00BD05EF"/>
    <w:rsid w:val="00BD0AE5"/>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004C"/>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050"/>
    <w:rsid w:val="00C46183"/>
    <w:rsid w:val="00C46D6D"/>
    <w:rsid w:val="00C503A1"/>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3BBD"/>
    <w:rsid w:val="00C869CB"/>
    <w:rsid w:val="00C86B0B"/>
    <w:rsid w:val="00C87C86"/>
    <w:rsid w:val="00C966A8"/>
    <w:rsid w:val="00CA0A44"/>
    <w:rsid w:val="00CA1AAA"/>
    <w:rsid w:val="00CA1B6F"/>
    <w:rsid w:val="00CA5E63"/>
    <w:rsid w:val="00CA67A6"/>
    <w:rsid w:val="00CB01B2"/>
    <w:rsid w:val="00CB1F47"/>
    <w:rsid w:val="00CB399F"/>
    <w:rsid w:val="00CB79F9"/>
    <w:rsid w:val="00CC10C2"/>
    <w:rsid w:val="00CC2A08"/>
    <w:rsid w:val="00CD0801"/>
    <w:rsid w:val="00CD4BA5"/>
    <w:rsid w:val="00CD6A32"/>
    <w:rsid w:val="00CE0CB4"/>
    <w:rsid w:val="00CF468E"/>
    <w:rsid w:val="00CF74E9"/>
    <w:rsid w:val="00D044A4"/>
    <w:rsid w:val="00D04A7D"/>
    <w:rsid w:val="00D04DBC"/>
    <w:rsid w:val="00D075C6"/>
    <w:rsid w:val="00D159D5"/>
    <w:rsid w:val="00D21D92"/>
    <w:rsid w:val="00D247E0"/>
    <w:rsid w:val="00D25FC6"/>
    <w:rsid w:val="00D274C7"/>
    <w:rsid w:val="00D403CC"/>
    <w:rsid w:val="00D45C2B"/>
    <w:rsid w:val="00D46000"/>
    <w:rsid w:val="00D46122"/>
    <w:rsid w:val="00D501CE"/>
    <w:rsid w:val="00D50313"/>
    <w:rsid w:val="00D5052F"/>
    <w:rsid w:val="00D5242D"/>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7453E"/>
    <w:rsid w:val="00D80BE3"/>
    <w:rsid w:val="00D87F8E"/>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554B"/>
    <w:rsid w:val="00DB607C"/>
    <w:rsid w:val="00DC3E7F"/>
    <w:rsid w:val="00DC55CA"/>
    <w:rsid w:val="00DC7714"/>
    <w:rsid w:val="00DC78C3"/>
    <w:rsid w:val="00DD2708"/>
    <w:rsid w:val="00DD58FE"/>
    <w:rsid w:val="00DE02D7"/>
    <w:rsid w:val="00DE1B4C"/>
    <w:rsid w:val="00DE4235"/>
    <w:rsid w:val="00DF26BB"/>
    <w:rsid w:val="00DF5340"/>
    <w:rsid w:val="00DF7B12"/>
    <w:rsid w:val="00E003CB"/>
    <w:rsid w:val="00E00510"/>
    <w:rsid w:val="00E01C54"/>
    <w:rsid w:val="00E02343"/>
    <w:rsid w:val="00E02E06"/>
    <w:rsid w:val="00E041E9"/>
    <w:rsid w:val="00E041FC"/>
    <w:rsid w:val="00E11614"/>
    <w:rsid w:val="00E11718"/>
    <w:rsid w:val="00E1204E"/>
    <w:rsid w:val="00E1310F"/>
    <w:rsid w:val="00E13C13"/>
    <w:rsid w:val="00E1732D"/>
    <w:rsid w:val="00E25530"/>
    <w:rsid w:val="00E26486"/>
    <w:rsid w:val="00E268FF"/>
    <w:rsid w:val="00E269C1"/>
    <w:rsid w:val="00E27233"/>
    <w:rsid w:val="00E32E8F"/>
    <w:rsid w:val="00E36EA4"/>
    <w:rsid w:val="00E4359F"/>
    <w:rsid w:val="00E45039"/>
    <w:rsid w:val="00E5104C"/>
    <w:rsid w:val="00E519BD"/>
    <w:rsid w:val="00E52E45"/>
    <w:rsid w:val="00E550BB"/>
    <w:rsid w:val="00E637F4"/>
    <w:rsid w:val="00E64C9B"/>
    <w:rsid w:val="00E65578"/>
    <w:rsid w:val="00E6587F"/>
    <w:rsid w:val="00E75EE6"/>
    <w:rsid w:val="00E804FA"/>
    <w:rsid w:val="00E81529"/>
    <w:rsid w:val="00E81F23"/>
    <w:rsid w:val="00E82CA1"/>
    <w:rsid w:val="00E91166"/>
    <w:rsid w:val="00E91485"/>
    <w:rsid w:val="00E91A70"/>
    <w:rsid w:val="00E91C77"/>
    <w:rsid w:val="00E92564"/>
    <w:rsid w:val="00E92D00"/>
    <w:rsid w:val="00E950DA"/>
    <w:rsid w:val="00E9570F"/>
    <w:rsid w:val="00E95767"/>
    <w:rsid w:val="00E96B99"/>
    <w:rsid w:val="00EA2A5B"/>
    <w:rsid w:val="00EA7055"/>
    <w:rsid w:val="00EB0DBF"/>
    <w:rsid w:val="00EB18B3"/>
    <w:rsid w:val="00EB2548"/>
    <w:rsid w:val="00EC2EE7"/>
    <w:rsid w:val="00ED04D5"/>
    <w:rsid w:val="00ED1FAE"/>
    <w:rsid w:val="00ED47A0"/>
    <w:rsid w:val="00EE028A"/>
    <w:rsid w:val="00EE3DB6"/>
    <w:rsid w:val="00EE5782"/>
    <w:rsid w:val="00EE68BF"/>
    <w:rsid w:val="00EE74B5"/>
    <w:rsid w:val="00EF1600"/>
    <w:rsid w:val="00EF36D6"/>
    <w:rsid w:val="00EF656B"/>
    <w:rsid w:val="00EF79B5"/>
    <w:rsid w:val="00F002BB"/>
    <w:rsid w:val="00F027D0"/>
    <w:rsid w:val="00F03388"/>
    <w:rsid w:val="00F0597B"/>
    <w:rsid w:val="00F06679"/>
    <w:rsid w:val="00F06DB9"/>
    <w:rsid w:val="00F11D1E"/>
    <w:rsid w:val="00F2093E"/>
    <w:rsid w:val="00F24403"/>
    <w:rsid w:val="00F27D39"/>
    <w:rsid w:val="00F27E1E"/>
    <w:rsid w:val="00F33CA4"/>
    <w:rsid w:val="00F41278"/>
    <w:rsid w:val="00F41C68"/>
    <w:rsid w:val="00F4245C"/>
    <w:rsid w:val="00F42B5E"/>
    <w:rsid w:val="00F44673"/>
    <w:rsid w:val="00F47D57"/>
    <w:rsid w:val="00F5214B"/>
    <w:rsid w:val="00F5219E"/>
    <w:rsid w:val="00F538A2"/>
    <w:rsid w:val="00F56BAB"/>
    <w:rsid w:val="00F67C2C"/>
    <w:rsid w:val="00F70CD9"/>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2A13"/>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 w:type="character" w:styleId="Hyperlink">
    <w:name w:val="Hyperlink"/>
    <w:basedOn w:val="DefaultParagraphFont"/>
    <w:uiPriority w:val="99"/>
    <w:unhideWhenUsed/>
    <w:rsid w:val="004B0D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ezp2.lib.umn.edu/10.1007/s10841-017-0041-9"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5DBEC-7E8D-4E77-8DD8-74D77BF0A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17851</Words>
  <Characters>101756</Characters>
  <Application>Microsoft Office Word</Application>
  <DocSecurity>0</DocSecurity>
  <Lines>847</Lines>
  <Paragraphs>238</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119369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Margaret R Edwards</cp:lastModifiedBy>
  <cp:revision>2</cp:revision>
  <dcterms:created xsi:type="dcterms:W3CDTF">2019-02-18T21:26:00Z</dcterms:created>
  <dcterms:modified xsi:type="dcterms:W3CDTF">2019-02-18T21:26:00Z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