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Xb4f702907f574d1f0ba2019017ed34bb3c71685"/>
    <w:p>
      <w:pPr>
        <w:pStyle w:val="Heading1"/>
      </w:pPr>
      <w:r>
        <w:t xml:space="preserve">Observability-Aware Bandwidth Scheduling for Trust-Weighted Multi-Robot Map Fusion under Duty-Cycle-Limited Wireless Links</w:t>
      </w:r>
    </w:p>
    <w:p>
      <w:pPr>
        <w:pStyle w:val="FirstParagraph"/>
      </w:pPr>
      <w:r>
        <w:rPr>
          <w:i/>
          <w:iCs/>
        </w:rPr>
        <w:t xml:space="preserve">Author names withheld for double-anonymous review.</w:t>
      </w:r>
    </w:p>
    <w:p>
      <w:pPr>
        <w:pStyle w:val="BlockText"/>
      </w:pPr>
      <w:r>
        <w:rPr>
          <w:b/>
          <w:bCs/>
        </w:rPr>
        <w:t xml:space="preserve">Revision note (this draft).</w:t>
      </w:r>
      <w:r>
        <w:t xml:space="preserve"> </w:t>
      </w:r>
      <w:r>
        <w:t xml:space="preserve">This manuscript is restructured around three</w:t>
      </w:r>
      <w:r>
        <w:t xml:space="preserve"> </w:t>
      </w:r>
      <w:r>
        <w:t xml:space="preserve">validated findings — a corrected trust-decay calibration (S9), a corrected</w:t>
      </w:r>
      <w:r>
        <w:t xml:space="preserve"> </w:t>
      </w:r>
      <w:r>
        <w:t xml:space="preserve">validation of the information surrogate (S7-C), and an end-to-end evaluation on</w:t>
      </w:r>
      <w:r>
        <w:t xml:space="preserve"> </w:t>
      </w:r>
      <w:r>
        <w:t xml:space="preserve">the metric that reflects map fusion (S8) — rather than the original S1–S6</w:t>
      </w:r>
      <w:r>
        <w:t xml:space="preserve"> </w:t>
      </w:r>
      <w:r>
        <w:t xml:space="preserve">narrative. The two pre-registered failures (H1, H3) are retained as the</w:t>
      </w:r>
      <w:r>
        <w:t xml:space="preserve"> </w:t>
      </w:r>
      <w:r>
        <w:t xml:space="preserve">motivation for the two corrections. All numbers below are reproducible from the</w:t>
      </w:r>
      <w:r>
        <w:t xml:space="preserve"> </w:t>
      </w:r>
      <w:r>
        <w:rPr>
          <w:rStyle w:val="VerbatimChar"/>
        </w:rPr>
        <w:t xml:space="preserve">bacs_sim</w:t>
      </w:r>
      <w:r>
        <w:t xml:space="preserve"> </w:t>
      </w:r>
      <w:r>
        <w:t xml:space="preserve">package and the CSVs in</w:t>
      </w:r>
      <w:r>
        <w:t xml:space="preserve"> </w:t>
      </w:r>
      <w:r>
        <w:rPr>
          <w:rStyle w:val="VerbatimChar"/>
        </w:rPr>
        <w:t xml:space="preserve">paper_results/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scripts/reproduce.py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scripts/run_s8_30seed.py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scripts/generate_paper_results.py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scripts/make_figures.py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Collaborative SLAM over low-power wide-area radio is usually framed as a</w:t>
      </w:r>
      <w:r>
        <w:t xml:space="preserve"> </w:t>
      </w:r>
      <w:r>
        <w:t xml:space="preserve">robustness problem: inter-robot constraints arrive late or corrupted, and the</w:t>
      </w:r>
      <w:r>
        <w:t xml:space="preserve"> </w:t>
      </w:r>
      <w:r>
        <w:t xml:space="preserve">fusion back-end decides how much to believe them. Under duty-cycle regulation the</w:t>
      </w:r>
      <w:r>
        <w:t xml:space="preserve"> </w:t>
      </w:r>
      <w:r>
        <w:t xml:space="preserve">prior question is more binding. A transmitter on the 868 MHz ISM band may occupy</w:t>
      </w:r>
      <w:r>
        <w:t xml:space="preserve"> </w:t>
      </w:r>
      <w:r>
        <w:t xml:space="preserve">the channel for at most 1% of any window, permitting roughly six 52-byte</w:t>
      </w:r>
      <w:r>
        <w:t xml:space="preserve"> </w:t>
      </w:r>
      <w:r>
        <w:t xml:space="preserve">constraint packets per minute against a front-end that generates candidates two</w:t>
      </w:r>
      <w:r>
        <w:t xml:space="preserve"> </w:t>
      </w:r>
      <w:r>
        <w:t xml:space="preserve">orders of magnitude faster.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candidates are transmitted therefore governs</w:t>
      </w:r>
      <w:r>
        <w:t xml:space="preserve"> </w:t>
      </w:r>
      <w:r>
        <w:t xml:space="preserve">map quality more than how survivors are weighted on arrival.</w:t>
      </w:r>
    </w:p>
    <w:p>
      <w:pPr>
        <w:pStyle w:val="BodyText"/>
      </w:pPr>
      <w:r>
        <w:t xml:space="preserve">We present Bandwidth-Aware Constraint Scheduling (BACS), which moves the trust</w:t>
      </w:r>
      <w:r>
        <w:t xml:space="preserve"> </w:t>
      </w:r>
      <w:r>
        <w:t xml:space="preserve">decision to the transmitter: each robot predicts the trust its candidate would</w:t>
      </w:r>
      <w:r>
        <w:t xml:space="preserve"> </w:t>
      </w:r>
      <w:r>
        <w:t xml:space="preserve">receive at the server, admits candidates passing a gate, and ranks the admissible</w:t>
      </w:r>
      <w:r>
        <w:t xml:space="preserve"> </w:t>
      </w:r>
      <w:r>
        <w:t xml:space="preserve">set by information gain per unit airtime, solved as a knapsack within each window.</w:t>
      </w:r>
      <w:r>
        <w:t xml:space="preserve"> </w:t>
      </w:r>
      <w:r>
        <w:t xml:space="preserve">Evaluation in a purpose-built simulator yields four results.</w:t>
      </w:r>
      <w:r>
        <w:t xml:space="preserve"> </w:t>
      </w:r>
      <w:r>
        <w:rPr>
          <w:b/>
          <w:bCs/>
        </w:rPr>
        <w:t xml:space="preserve">(1)</w:t>
      </w:r>
      <w:r>
        <w:t xml:space="preserve"> </w:t>
      </w:r>
      <w:r>
        <w:t xml:space="preserve">Under</w:t>
      </w:r>
      <w:r>
        <w:t xml:space="preserve"> </w:t>
      </w:r>
      <w:r>
        <w:t xml:space="preserve">duty-cycle compliance, packet staleness is dominated by airtime deferral (~155 s),</w:t>
      </w:r>
      <w:r>
        <w:t xml:space="preserve"> </w:t>
      </w:r>
      <w:r>
        <w:t xml:space="preserve">not channel propagation (0.05–0.2 s); a closed-form decay coefficient anchored to</w:t>
      </w:r>
      <w:r>
        <w:t xml:space="preserve"> </w:t>
      </w:r>
      <w:r>
        <w:t xml:space="preserve">odometry drift (H1) is falsified, and a coefficient anchored to the</w:t>
      </w:r>
      <w:r>
        <w:t xml:space="preserve"> </w:t>
      </w:r>
      <w:r>
        <w:t xml:space="preserve">airtime-queueing timescale, γ = ln2 / T_defer, recovers the tuned optimum without</w:t>
      </w:r>
      <w:r>
        <w:t xml:space="preserve"> </w:t>
      </w:r>
      <w:r>
        <w:t xml:space="preserve">hand-tuning.</w:t>
      </w:r>
      <w:r>
        <w:t xml:space="preserve"> </w:t>
      </w:r>
      <w:r>
        <w:rPr>
          <w:b/>
          <w:bCs/>
        </w:rPr>
        <w:t xml:space="preserve">(2)</w:t>
      </w:r>
      <w:r>
        <w:t xml:space="preserve"> </w:t>
      </w:r>
      <w:r>
        <w:t xml:space="preserve">Combining predicted trust with information gain</w:t>
      </w:r>
      <w:r>
        <w:t xml:space="preserve"> </w:t>
      </w:r>
      <w:r>
        <w:t xml:space="preserve">multiplicatively is structurally unsound; a gated formulation is required.</w:t>
      </w:r>
      <w:r>
        <w:t xml:space="preserve"> </w:t>
      </w:r>
      <w:r>
        <w:rPr>
          <w:b/>
          <w:bCs/>
        </w:rPr>
        <w:t xml:space="preserve">(3)</w:t>
      </w:r>
      <w:r>
        <w:t xml:space="preserve"> </w:t>
      </w:r>
      <w:r>
        <w:t xml:space="preserve">The plain information surrogate is a</w:t>
      </w:r>
      <w:r>
        <w:t xml:space="preserve"> </w:t>
      </w:r>
      <w:r>
        <w:rPr>
          <w:i/>
          <w:iCs/>
        </w:rPr>
        <w:t xml:space="preserve">positive</w:t>
      </w:r>
      <w:r>
        <w:t xml:space="preserve"> </w:t>
      </w:r>
      <w:r>
        <w:t xml:space="preserve">but imperfect proxy for</w:t>
      </w:r>
      <w:r>
        <w:t xml:space="preserve"> </w:t>
      </w:r>
      <w:r>
        <w:t xml:space="preserve">exact incremental information; augmenting it with a pairwise</w:t>
      </w:r>
      <w:r>
        <w:t xml:space="preserve"> </w:t>
      </w:r>
      <w:r>
        <w:rPr>
          <w:b/>
          <w:bCs/>
        </w:rPr>
        <w:t xml:space="preserve">observability</w:t>
      </w:r>
      <w:r>
        <w:t xml:space="preserve"> </w:t>
      </w:r>
      <w:r>
        <w:t xml:space="preserve">term (BACS+) improves its rank-correlation with exact mutual information for every</w:t>
      </w:r>
      <w:r>
        <w:t xml:space="preserve"> </w:t>
      </w:r>
      <w:r>
        <w:t xml:space="preserve">one of 40 held-out runs (p = 9.8×10⁻⁴ per team size).</w:t>
      </w:r>
      <w:r>
        <w:t xml:space="preserve"> </w:t>
      </w:r>
      <w:r>
        <w:rPr>
          <w:b/>
          <w:bCs/>
        </w:rPr>
        <w:t xml:space="preserve">(4)</w:t>
      </w:r>
      <w:r>
        <w:t xml:space="preserve"> </w:t>
      </w:r>
      <w:r>
        <w:t xml:space="preserve">On 30 held-out</w:t>
      </w:r>
      <w:r>
        <w:t xml:space="preserve"> </w:t>
      </w:r>
      <w:r>
        <w:t xml:space="preserve">seeds, per-step pose RMSE is odometry-bound and shows no significant scheduling</w:t>
      </w:r>
      <w:r>
        <w:t xml:space="preserve"> </w:t>
      </w:r>
      <w:r>
        <w:t xml:space="preserve">effect, but</w:t>
      </w:r>
      <w:r>
        <w:t xml:space="preserve"> </w:t>
      </w:r>
      <w:r>
        <w:rPr>
          <w:b/>
          <w:bCs/>
        </w:rPr>
        <w:t xml:space="preserve">map-alignment RMSE — the inter-robot fusion-consistency metric — is</w:t>
      </w:r>
      <w:r>
        <w:rPr>
          <w:b/>
          <w:bCs/>
        </w:rPr>
        <w:t xml:space="preserve"> </w:t>
      </w:r>
      <w:r>
        <w:rPr>
          <w:b/>
          <w:bCs/>
        </w:rPr>
        <w:t xml:space="preserve">17–49% lower under BACS than FIFO (p up to 10⁻⁹)</w:t>
      </w:r>
      <w:r>
        <w:t xml:space="preserve">, and the observability term</w:t>
      </w:r>
      <w:r>
        <w:t xml:space="preserve"> </w:t>
      </w:r>
      <w:r>
        <w:t xml:space="preserve">uniquely preserves a significant advantage into the five-robot regime. We conclude</w:t>
      </w:r>
      <w:r>
        <w:t xml:space="preserve"> </w:t>
      </w:r>
      <w:r>
        <w:t xml:space="preserve">that information-optimal constraint scheduling is map-alignment-optimal, not</w:t>
      </w:r>
      <w:r>
        <w:t xml:space="preserve"> </w:t>
      </w:r>
      <w:r>
        <w:t xml:space="preserve">trajectory-RMSE-optimal, and we retain two falsified hypotheses because the manner</w:t>
      </w:r>
      <w:r>
        <w:t xml:space="preserve"> </w:t>
      </w:r>
      <w:r>
        <w:t xml:space="preserve">of their failure is the result.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Multi-robot SLAM · Constraint scheduling · Duty-cycle regulation ·</w:t>
      </w:r>
      <w:r>
        <w:t xml:space="preserve"> </w:t>
      </w:r>
      <w:r>
        <w:t xml:space="preserve">LoRa · Information gain · Observability · Trust weighting · ROS 2</w:t>
      </w:r>
    </w:p>
    <w:p>
      <w:r>
        <w:pict>
          <v:rect style="width:0;height:1.5pt" o:hralign="center" o:hrstd="t" o:hr="t"/>
        </w:pict>
      </w:r>
    </w:p>
    <w:bookmarkEnd w:id="9"/>
    <w:bookmarkStart w:id="1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A team of mobile robots mapping a shared environment must reconcile what each has</w:t>
      </w:r>
      <w:r>
        <w:t xml:space="preserve"> </w:t>
      </w:r>
      <w:r>
        <w:t xml:space="preserve">seen. Each robot maintains a local factor graph; inter-robot constraints tie the</w:t>
      </w:r>
      <w:r>
        <w:t xml:space="preserve"> </w:t>
      </w:r>
      <w:r>
        <w:t xml:space="preserve">graphs together; a back-end solves the combined nonlinear least-squares problem.</w:t>
      </w:r>
      <w:r>
        <w:t xml:space="preserve"> </w:t>
      </w:r>
      <w:r>
        <w:t xml:space="preserve">When constraints travel over a wireless link that delays or drops them, the</w:t>
      </w:r>
      <w:r>
        <w:t xml:space="preserve"> </w:t>
      </w:r>
      <w:r>
        <w:t xml:space="preserve">back-end faces a weighting problem, addressed in prior work by discounting</w:t>
      </w:r>
      <w:r>
        <w:t xml:space="preserve"> </w:t>
      </w:r>
      <w:r>
        <w:t xml:space="preserve">constraints whose geometry is implausible or whose age is large.</w:t>
      </w:r>
    </w:p>
    <w:p>
      <w:pPr>
        <w:pStyle w:val="BodyText"/>
      </w:pPr>
      <w:r>
        <w:t xml:space="preserve">This paper begins from the link, not the estimator. In the EU 868 MHz band the</w:t>
      </w:r>
      <w:r>
        <w:t xml:space="preserve"> </w:t>
      </w:r>
      <w:r>
        <w:t xml:space="preserve">sub-band used for long-range telemetry restricts each transmitter to 1% channel</w:t>
      </w:r>
      <w:r>
        <w:t xml:space="preserve"> </w:t>
      </w:r>
      <w:r>
        <w:t xml:space="preserve">occupancy. A 52-byte constraint packet at spreading factor 7 occupies the channel</w:t>
      </w:r>
      <w:r>
        <w:t xml:space="preserve"> </w:t>
      </w:r>
      <w:r>
        <w:t xml:space="preserve">for 102.7 ms, so compliance permits ≈ 5.8 packets/min, while a front-end on two</w:t>
      </w:r>
      <w:r>
        <w:t xml:space="preserve"> </w:t>
      </w:r>
      <w:r>
        <w:t xml:space="preserve">robots exploring 150 m² generates candidates at several hundred per minute — an</w:t>
      </w:r>
      <w:r>
        <w:t xml:space="preserve"> </w:t>
      </w:r>
      <w:r>
        <w:t xml:space="preserve">oversupply near 180:1. Under that ratio the binding decision is not how to weight</w:t>
      </w:r>
      <w:r>
        <w:t xml:space="preserve"> </w:t>
      </w:r>
      <w:r>
        <w:t xml:space="preserve">an arriving constraint but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candidate to spend the channel on. A</w:t>
      </w:r>
      <w:r>
        <w:t xml:space="preserve"> </w:t>
      </w:r>
      <w:r>
        <w:t xml:space="preserve">first-in-first-out queue — the implicit policy of most implementations — transmits</w:t>
      </w:r>
      <w:r>
        <w:t xml:space="preserve"> </w:t>
      </w:r>
      <w:r>
        <w:t xml:space="preserve">whichever candidate waited longest, which is precisely the candidate that will</w:t>
      </w:r>
      <w:r>
        <w:t xml:space="preserve"> </w:t>
      </w:r>
      <w:r>
        <w:t xml:space="preserve">attract the largest temporal penalty on arrival: the system spends its scarcest</w:t>
      </w:r>
      <w:r>
        <w:t xml:space="preserve"> </w:t>
      </w:r>
      <w:r>
        <w:t xml:space="preserve">resource on the observations it is about to discount.</w:t>
      </w:r>
    </w:p>
    <w:bookmarkStart w:id="10" w:name="contributions"/>
    <w:p>
      <w:pPr>
        <w:pStyle w:val="Heading3"/>
      </w:pPr>
      <w:r>
        <w:t xml:space="preserve">1.1 Contributions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corrected calibration of trust decay (H1 falsified → S9).</w:t>
      </w:r>
      <w:r>
        <w:t xml:space="preserve"> </w:t>
      </w:r>
      <w:r>
        <w:t xml:space="preserve">We show by</w:t>
      </w:r>
      <w:r>
        <w:t xml:space="preserve"> </w:t>
      </w:r>
      <w:r>
        <w:t xml:space="preserve">decomposition that under duty-cycle compliance the dominant staleness term is</w:t>
      </w:r>
      <w:r>
        <w:t xml:space="preserve"> </w:t>
      </w:r>
      <w:r>
        <w:t xml:space="preserve">airtime deferral (~155 s), not propagation (tens–hundreds of ms). A closed-form</w:t>
      </w:r>
      <w:r>
        <w:t xml:space="preserve"> </w:t>
      </w:r>
      <w:r>
        <w:t xml:space="preserve">decay coefficient derived from platform drift over-predicts the empirical</w:t>
      </w:r>
      <w:r>
        <w:t xml:space="preserve"> </w:t>
      </w:r>
      <w:r>
        <w:t xml:space="preserve">optimum by an order of magnitude; anchoring it to the airtime-queueing</w:t>
      </w:r>
      <w:r>
        <w:t xml:space="preserve"> </w:t>
      </w:r>
      <w:r>
        <w:t xml:space="preserve">timescale, γ = ln2 / T_defer ≈ 0.0045, recovers near-optimal accuracy without</w:t>
      </w:r>
      <w:r>
        <w:t xml:space="preserve"> </w:t>
      </w:r>
      <w:r>
        <w:t xml:space="preserve">tuning.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gated scheduling formulation.</w:t>
      </w:r>
      <w:r>
        <w:t xml:space="preserve"> </w:t>
      </w:r>
      <w:r>
        <w:t xml:space="preserve">Multiplying predicted trust by an</w:t>
      </w:r>
      <w:r>
        <w:t xml:space="preserve"> </w:t>
      </w:r>
      <w:r>
        <w:t xml:space="preserve">information surrogate is structurally defective — trust spans two decades under</w:t>
      </w:r>
      <w:r>
        <w:t xml:space="preserve"> </w:t>
      </w:r>
      <w:r>
        <w:t xml:space="preserve">exponential decay while the surrogate is bounded in [0,1], so the product is</w:t>
      </w:r>
      <w:r>
        <w:t xml:space="preserve"> </w:t>
      </w:r>
      <w:r>
        <w:t xml:space="preserve">trust-dominated. Using trust as an admissibility gate and ranking on</w:t>
      </w:r>
      <w:r>
        <w:t xml:space="preserve"> </w:t>
      </w:r>
      <w:r>
        <w:t xml:space="preserve">information density recovers the scheduling benefit the multiplicative form</w:t>
      </w:r>
      <w:r>
        <w:t xml:space="preserve"> </w:t>
      </w:r>
      <w:r>
        <w:t xml:space="preserve">discards.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observability-aware surrogate, validated against exact information</w:t>
      </w:r>
      <w:r>
        <w:rPr>
          <w:b/>
          <w:bCs/>
        </w:rPr>
        <w:t xml:space="preserve"> </w:t>
      </w:r>
      <w:r>
        <w:rPr>
          <w:b/>
          <w:bCs/>
        </w:rPr>
        <w:t xml:space="preserve">(S7-C).</w:t>
      </w:r>
      <w:r>
        <w:t xml:space="preserve"> </w:t>
      </w:r>
      <w:r>
        <w:t xml:space="preserve">The plain surrogate rewards spatial coverage but ignores whether a</w:t>
      </w:r>
      <w:r>
        <w:t xml:space="preserve"> </w:t>
      </w:r>
      <w:r>
        <w:t xml:space="preserve">robot</w:t>
      </w:r>
      <w:r>
        <w:t xml:space="preserve"> </w:t>
      </w:r>
      <w:r>
        <w:rPr>
          <w:i/>
          <w:iCs/>
        </w:rPr>
        <w:t xml:space="preserve">pair’s</w:t>
      </w:r>
      <w:r>
        <w:t xml:space="preserve"> </w:t>
      </w:r>
      <w:r>
        <w:t xml:space="preserve">relative transform is determined. We add a pairwise</w:t>
      </w:r>
      <w:r>
        <w:t xml:space="preserve"> </w:t>
      </w:r>
      <w:r>
        <w:t xml:space="preserve">observability term and validate the surrogate correctly — against the exact</w:t>
      </w:r>
      <w:r>
        <w:t xml:space="preserve"> </w:t>
      </w:r>
      <w:r>
        <w:t xml:space="preserve">incremental information a candidate would add to the graph at scheduling time.</w:t>
      </w:r>
      <w:r>
        <w:t xml:space="preserve"> </w:t>
      </w:r>
      <w:r>
        <w:t xml:space="preserve">The augmented surrogate improves rank-correlation with exact information for</w:t>
      </w:r>
      <w:r>
        <w:t xml:space="preserve"> </w:t>
      </w:r>
      <w:r>
        <w:t xml:space="preserve">every held-out run.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end-to-end evaluation that separates the metrics (S8).</w:t>
      </w:r>
      <w:r>
        <w:t xml:space="preserve"> </w:t>
      </w:r>
      <w:r>
        <w:t xml:space="preserve">On 30 held-out</w:t>
      </w:r>
      <w:r>
        <w:t xml:space="preserve"> </w:t>
      </w:r>
      <w:r>
        <w:t xml:space="preserve">seeds we find per-step pose RMSE is odometry-bound and policy-insensitive,</w:t>
      </w:r>
      <w:r>
        <w:t xml:space="preserve"> </w:t>
      </w:r>
      <w:r>
        <w:t xml:space="preserve">while map-alignment RMSE — the fusion-consistency metric — separates the</w:t>
      </w:r>
      <w:r>
        <w:t xml:space="preserve"> </w:t>
      </w:r>
      <w:r>
        <w:t xml:space="preserve">policies decisively in favour of BACS, with the observability term preserving</w:t>
      </w:r>
      <w:r>
        <w:t xml:space="preserve"> </w:t>
      </w:r>
      <w:r>
        <w:t xml:space="preserve">the advantage at the largest team sizes.</w:t>
      </w:r>
    </w:p>
    <w:p>
      <w:pPr>
        <w:pStyle w:val="FirstParagraph"/>
      </w:pPr>
      <w:r>
        <w:t xml:space="preserve">We retain two pre-registered hypotheses that failed (H1, H3). Each failure</w:t>
      </w:r>
      <w:r>
        <w:t xml:space="preserve"> </w:t>
      </w:r>
      <w:r>
        <w:t xml:space="preserve">identifies a wrong assumption whose correction is a usable result.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related-work"/>
    <w:p>
      <w:pPr>
        <w:pStyle w:val="Heading2"/>
      </w:pPr>
      <w:r>
        <w:t xml:space="preserve">2. Related Work</w:t>
      </w:r>
    </w:p>
    <w:p>
      <w:pPr>
        <w:pStyle w:val="FirstParagraph"/>
      </w:pPr>
      <w:r>
        <w:t xml:space="preserve">Three literatures bear on the problem, developed with limited contact.</w:t>
      </w:r>
    </w:p>
    <w:p>
      <w:pPr>
        <w:pStyle w:val="BodyText"/>
      </w:pPr>
      <w:r>
        <w:rPr>
          <w:b/>
          <w:bCs/>
        </w:rPr>
        <w:t xml:space="preserve">Multi-robot SLAM under communication constraints.</w:t>
      </w:r>
      <w:r>
        <w:t xml:space="preserve"> </w:t>
      </w:r>
      <w:r>
        <w:t xml:space="preserve">Centralised architectures</w:t>
      </w:r>
      <w:r>
        <w:t xml:space="preserve"> </w:t>
      </w:r>
      <w:r>
        <w:t xml:space="preserve">concentrate optimisation at a server; distributed formulations push computation</w:t>
      </w:r>
      <w:r>
        <w:t xml:space="preserve"> </w:t>
      </w:r>
      <w:r>
        <w:t xml:space="preserve">onto robots; hybrid designs retain local processing and offload global</w:t>
      </w:r>
      <w:r>
        <w:t xml:space="preserve"> </w:t>
      </w:r>
      <w:r>
        <w:t xml:space="preserve">optimisation. Bandwidth has been addressed by sparse descriptor exchange,</w:t>
      </w:r>
      <w:r>
        <w:t xml:space="preserve"> </w:t>
      </w:r>
      <w:r>
        <w:t xml:space="preserve">buffering through outages, and budgeted loop-closure selection. None couples the</w:t>
      </w:r>
      <w:r>
        <w:t xml:space="preserve"> </w:t>
      </w:r>
      <w:r>
        <w:rPr>
          <w:i/>
          <w:iCs/>
        </w:rPr>
        <w:t xml:space="preserve">selection</w:t>
      </w:r>
      <w:r>
        <w:t xml:space="preserve"> </w:t>
      </w:r>
      <w:r>
        <w:t xml:space="preserve">decision to the downstream</w:t>
      </w:r>
      <w:r>
        <w:t xml:space="preserve"> </w:t>
      </w:r>
      <w:r>
        <w:rPr>
          <w:i/>
          <w:iCs/>
        </w:rPr>
        <w:t xml:space="preserve">weighting</w:t>
      </w:r>
      <w:r>
        <w:t xml:space="preserve"> </w:t>
      </w:r>
      <w:r>
        <w:t xml:space="preserve">decision: a rule maximising</w:t>
      </w:r>
      <w:r>
        <w:t xml:space="preserve"> </w:t>
      </w:r>
      <w:r>
        <w:t xml:space="preserve">delivered constraint count implicitly assumes each delivered constraint</w:t>
      </w:r>
      <w:r>
        <w:t xml:space="preserve"> </w:t>
      </w:r>
      <w:r>
        <w:t xml:space="preserve">contributes equally, which fails under an age-discounting back-end. Airtime spent</w:t>
      </w:r>
      <w:r>
        <w:t xml:space="preserve"> </w:t>
      </w:r>
      <w:r>
        <w:t xml:space="preserve">on a constraint that will be discounted is wasted, and only a scheduler that</w:t>
      </w:r>
      <w:r>
        <w:t xml:space="preserve"> </w:t>
      </w:r>
      <w:r>
        <w:t xml:space="preserve">anticipates the discount avoids the waste.</w:t>
      </w:r>
    </w:p>
    <w:p>
      <w:pPr>
        <w:pStyle w:val="BodyText"/>
      </w:pPr>
      <w:r>
        <w:rPr>
          <w:b/>
          <w:bCs/>
        </w:rPr>
        <w:t xml:space="preserve">Information-theoretic measurement selection.</w:t>
      </w:r>
      <w:r>
        <w:t xml:space="preserve"> </w:t>
      </w:r>
      <w:r>
        <w:t xml:space="preserve">Information-based pose SLAM admits</w:t>
      </w:r>
      <w:r>
        <w:t xml:space="preserve"> </w:t>
      </w:r>
      <w:r>
        <w:t xml:space="preserve">loop closures whose expected information gain exceeds a threshold; graph</w:t>
      </w:r>
      <w:r>
        <w:t xml:space="preserve"> </w:t>
      </w:r>
      <w:r>
        <w:t xml:space="preserve">sparsification preserves the marginal information content. This supplies the right</w:t>
      </w:r>
      <w:r>
        <w:t xml:space="preserve"> </w:t>
      </w:r>
      <w:r>
        <w:t xml:space="preserve">notion of value — reduction in estimate uncertainty attributable to an edge — but</w:t>
      </w:r>
      <w:r>
        <w:t xml:space="preserve"> </w:t>
      </w:r>
      <w:r>
        <w:t xml:space="preserve">computing it requires the joint distribution held by the global optimiser, which</w:t>
      </w:r>
      <w:r>
        <w:t xml:space="preserve"> </w:t>
      </w:r>
      <w:r>
        <w:t xml:space="preserve">resides on the server. The transmitter holds only its local graph and the last</w:t>
      </w:r>
      <w:r>
        <w:t xml:space="preserve"> </w:t>
      </w:r>
      <w:r>
        <w:t xml:space="preserve">fused map, motivating a surrogate assembled from locally computable quantities,</w:t>
      </w:r>
      <w:r>
        <w:t xml:space="preserve"> </w:t>
      </w:r>
      <w:r>
        <w:rPr>
          <w:i/>
          <w:iCs/>
        </w:rPr>
        <w:t xml:space="preserve">and the validation procedure required to justify the substitution</w:t>
      </w:r>
      <w:r>
        <w:t xml:space="preserve"> </w:t>
      </w:r>
      <w:r>
        <w:t xml:space="preserve">— the subject</w:t>
      </w:r>
      <w:r>
        <w:t xml:space="preserve"> </w:t>
      </w:r>
      <w:r>
        <w:t xml:space="preserve">of our Section 6.3.</w:t>
      </w:r>
    </w:p>
    <w:p>
      <w:pPr>
        <w:pStyle w:val="BodyText"/>
      </w:pPr>
      <w:r>
        <w:rPr>
          <w:b/>
          <w:bCs/>
        </w:rPr>
        <w:t xml:space="preserve">Adaptive parameters in robust estimation.</w:t>
      </w:r>
      <w:r>
        <w:t xml:space="preserve"> </w:t>
      </w:r>
      <w:r>
        <w:t xml:space="preserve">Robust-kernel thresholds — the</w:t>
      </w:r>
      <w:r>
        <w:t xml:space="preserve"> </w:t>
      </w:r>
      <w:r>
        <w:t xml:space="preserve">Huber transition, dynamic covariance scaling, the admissible residual and temporal</w:t>
      </w:r>
      <w:r>
        <w:t xml:space="preserve"> </w:t>
      </w:r>
      <w:r>
        <w:t xml:space="preserve">decay of trust-weighted fusion — are conventionally fixed by offline sweep. Where</w:t>
      </w:r>
      <w:r>
        <w:t xml:space="preserve"> </w:t>
      </w:r>
      <w:r>
        <w:t xml:space="preserve">a sweep reveals a well-defined optimum, it is reasonable to ask what determines its</w:t>
      </w:r>
      <w:r>
        <w:t xml:space="preserve"> </w:t>
      </w:r>
      <w:r>
        <w:t xml:space="preserve">location. Section 4.3 derives the decay coefficient from platform dynamics;</w:t>
      </w:r>
      <w:r>
        <w:t xml:space="preserve"> </w:t>
      </w:r>
      <w:r>
        <w:t xml:space="preserve">Section 6.2 reports the derivation is wrong by an order of magnitude, and why.</w:t>
      </w:r>
    </w:p>
    <w:p>
      <w:r>
        <w:pict>
          <v:rect style="width:0;height:1.5pt" o:hralign="center" o:hrstd="t" o:hr="t"/>
        </w:pict>
      </w:r>
    </w:p>
    <w:bookmarkEnd w:id="12"/>
    <w:bookmarkStart w:id="13" w:name="system-model"/>
    <w:p>
      <w:pPr>
        <w:pStyle w:val="Heading2"/>
      </w:pPr>
      <w:r>
        <w:t xml:space="preserve">3. System Model</w:t>
      </w:r>
    </w:p>
    <w:p>
      <w:pPr>
        <w:pStyle w:val="FirstParagraph"/>
      </w:pPr>
      <w:r>
        <w:rPr>
          <w:b/>
          <w:bCs/>
        </w:rPr>
        <w:t xml:space="preserve">Airtime budget.</w:t>
      </w:r>
      <w:r>
        <w:t xml:space="preserve"> </w:t>
      </w:r>
      <w:r>
        <w:t xml:space="preserve">Regulation caps each</w:t>
      </w:r>
      <w:r>
        <w:t xml:space="preserve"> </w:t>
      </w:r>
      <w:r>
        <w:rPr>
          <w:i/>
          <w:iCs/>
        </w:rPr>
        <w:t xml:space="preserve">device</w:t>
      </w:r>
      <w:r>
        <w:t xml:space="preserve"> </w:t>
      </w:r>
      <w:r>
        <w:t xml:space="preserve">at B_reg = δW (δ = 0.01). With</w:t>
      </w:r>
      <w:r>
        <w:t xml:space="preserve"> </w:t>
      </w:r>
      <w:r>
        <w:t xml:space="preserve">N robots sharing one sub-band and no channel-access coordination, collision</w:t>
      </w:r>
      <w:r>
        <w:t xml:space="preserve"> </w:t>
      </w:r>
      <w:r>
        <w:t xml:space="preserve">avoidance forces a system-level split B_i = α_i B_reg, Σα_i ≤ 1; equal sharing</w:t>
      </w:r>
      <w:r>
        <w:t xml:space="preserve"> </w:t>
      </w:r>
      <w:r>
        <w:t xml:space="preserve">gives α_i = 1/N. We keep the per-device ceiling and the coordination allocation</w:t>
      </w:r>
      <w:r>
        <w:t xml:space="preserve"> </w:t>
      </w:r>
      <w:r>
        <w:t xml:space="preserve">distinct, since conflating them mis-states the constraint.</w:t>
      </w:r>
    </w:p>
    <w:p>
      <w:pPr>
        <w:pStyle w:val="BodyText"/>
      </w:pPr>
      <w:r>
        <w:rPr>
          <w:b/>
          <w:bCs/>
        </w:rPr>
        <w:t xml:space="preserve">Time on air.</w:t>
      </w:r>
      <w:r>
        <w:t xml:space="preserve"> </w:t>
      </w:r>
      <w:r>
        <w:t xml:space="preserve">T_air(PL) follows the standard LoRa modulation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bacs_sim/lora.py</w:t>
      </w:r>
      <w:r>
        <w:t xml:space="preserve">, Eqs. 2–4), a step function of payload size — the property the</w:t>
      </w:r>
      <w:r>
        <w:t xml:space="preserve"> </w:t>
      </w:r>
      <w:r>
        <w:t xml:space="preserve">cost term of the scheduler exploits.</w:t>
      </w:r>
    </w:p>
    <w:p>
      <w:pPr>
        <w:pStyle w:val="BodyText"/>
      </w:pPr>
      <w:r>
        <w:rPr>
          <w:b/>
          <w:bCs/>
        </w:rPr>
        <w:t xml:space="preserve">Trust factor.</w:t>
      </w:r>
      <w:r>
        <w:t xml:space="preserve"> </w:t>
      </w:r>
      <w:r>
        <w:t xml:space="preserve">The server assigns θ_ij = max(0, 1 − (‖e_ij‖/τ_e)^p)·exp(−γ Δt),</w:t>
      </w:r>
      <w:r>
        <w:t xml:space="preserve"> </w:t>
      </w:r>
      <w:r>
        <w:t xml:space="preserve">floored, where ‖e_ij‖ is the geometric residual against the fused map and Δt the</w:t>
      </w:r>
      <w:r>
        <w:t xml:space="preserve"> </w:t>
      </w:r>
      <w:r>
        <w:t xml:space="preserve">communication age (Eq. 7).</w:t>
      </w:r>
    </w:p>
    <w:p>
      <w:pPr>
        <w:pStyle w:val="BodyText"/>
      </w:pPr>
      <w:r>
        <w:rPr>
          <w:b/>
          <w:bCs/>
        </w:rPr>
        <w:t xml:space="preserve">Predicted delay.</w:t>
      </w:r>
      <w:r>
        <w:t xml:space="preserve"> </w:t>
      </w:r>
      <w:r>
        <w:t xml:space="preserve">Before transmission the robot predicts</w:t>
      </w:r>
      <w:r>
        <w:t xml:space="preserve"> </w:t>
      </w:r>
      <w:r>
        <w:t xml:space="preserve">Δt̂ = k_defer·W + queue_air + T_air + T_retry, where k_defer is the expected number</w:t>
      </w:r>
      <w:r>
        <w:t xml:space="preserve"> </w:t>
      </w:r>
      <w:r>
        <w:t xml:space="preserve">of windows the candidate waits for airtime — the dominant term under compliance.</w:t>
      </w:r>
    </w:p>
    <w:p>
      <w:pPr>
        <w:pStyle w:val="BodyText"/>
      </w:pPr>
      <w:r>
        <w:rPr>
          <w:b/>
          <w:bCs/>
        </w:rPr>
        <w:t xml:space="preserve">Information gain.</w:t>
      </w:r>
      <w:r>
        <w:t xml:space="preserve"> </w:t>
      </w:r>
      <w:r>
        <w:t xml:space="preserve">The exact criterion I = ½ log det(I + Ω Σ_ij) requires the</w:t>
      </w:r>
      <w:r>
        <w:t xml:space="preserve"> </w:t>
      </w:r>
      <w:r>
        <w:t xml:space="preserve">marginal covariance Σ_ij of the relative pose, available only at the server. The</w:t>
      </w:r>
      <w:r>
        <w:t xml:space="preserve"> </w:t>
      </w:r>
      <w:r>
        <w:t xml:space="preserve">transmitter computes the surrogate Î (Section 4.2).</w:t>
      </w:r>
    </w:p>
    <w:p>
      <w:r>
        <w:pict>
          <v:rect style="width:0;height:1.5pt" o:hralign="center" o:hrstd="t" o:hr="t"/>
        </w:pict>
      </w:r>
    </w:p>
    <w:bookmarkEnd w:id="13"/>
    <w:bookmarkStart w:id="17" w:name="method-observability-aware-bacs"/>
    <w:p>
      <w:pPr>
        <w:pStyle w:val="Heading2"/>
      </w:pPr>
      <w:r>
        <w:t xml:space="preserve">4. Method: Observability-Aware BACS</w:t>
      </w:r>
    </w:p>
    <w:bookmarkStart w:id="14" w:name="gated-information-density-scheduling"/>
    <w:p>
      <w:pPr>
        <w:pStyle w:val="Heading3"/>
      </w:pPr>
      <w:r>
        <w:t xml:space="preserve">4.1 Gated information-density scheduling</w:t>
      </w:r>
    </w:p>
    <w:p>
      <w:pPr>
        <w:pStyle w:val="FirstParagraph"/>
      </w:pPr>
      <w:r>
        <w:t xml:space="preserve">Within each window the scheduler solves</w:t>
      </w:r>
    </w:p>
    <w:p>
      <w:pPr>
        <w:pStyle w:val="SourceCode"/>
      </w:pPr>
      <w:r>
        <w:rPr>
          <w:rStyle w:val="VerbatimChar"/>
        </w:rPr>
        <w:t xml:space="preserve">S* = argmax_S  Σ_{c∈S} Î_c / T_air,c</w:t>
      </w:r>
      <w:r>
        <w:br/>
      </w:r>
      <w:r>
        <w:rPr>
          <w:rStyle w:val="VerbatimChar"/>
        </w:rPr>
        <w:t xml:space="preserve">     subject to  θ̂_c ≥ θ_gate  and  Σ_{c∈S} T_air,c ≤ B_i,</w:t>
      </w:r>
    </w:p>
    <w:p>
      <w:pPr>
        <w:pStyle w:val="FirstParagraph"/>
      </w:pPr>
      <w:r>
        <w:t xml:space="preserve">by density-greedy knapsack with a single-best-item guard (a ½-approximation in</w:t>
      </w:r>
      <w:r>
        <w:t xml:space="preserve"> </w:t>
      </w:r>
      <w:r>
        <w:t xml:space="preserve">O(n log n); near-optimal here because constraints are small relative to the</w:t>
      </w:r>
      <w:r>
        <w:t xml:space="preserve"> </w:t>
      </w:r>
      <w:r>
        <w:t xml:space="preserve">window). Predicted trust θ̂ is an</w:t>
      </w:r>
      <w:r>
        <w:t xml:space="preserve"> </w:t>
      </w:r>
      <w:r>
        <w:rPr>
          <w:i/>
          <w:iCs/>
        </w:rPr>
        <w:t xml:space="preserve">admissibility gate</w:t>
      </w:r>
      <w:r>
        <w:t xml:space="preserve">, not a ranking key: ranking</w:t>
      </w:r>
      <w:r>
        <w:t xml:space="preserve"> </w:t>
      </w:r>
      <w:r>
        <w:t xml:space="preserve">on θ̂ is self-confirming, favouring constraints that agree with the robot’s current</w:t>
      </w:r>
      <w:r>
        <w:t xml:space="preserve"> </w:t>
      </w:r>
      <w:r>
        <w:t xml:space="preserve">estimate and therefore carry least corrective information. The multiplicative form</w:t>
      </w:r>
      <w:r>
        <w:t xml:space="preserve"> </w:t>
      </w:r>
      <w:r>
        <w:t xml:space="preserve">Î·θ̂ is dominated by θ̂ (two decades vs [0,1]) and reproduces trust-only ranking.</w:t>
      </w:r>
    </w:p>
    <w:bookmarkEnd w:id="14"/>
    <w:bookmarkStart w:id="15" w:name="X67d80f03f71c81461bb6fdb0ed267d4fb087cf4"/>
    <w:p>
      <w:pPr>
        <w:pStyle w:val="Heading3"/>
      </w:pPr>
      <w:r>
        <w:t xml:space="preserve">4.2 The information surrogate and its observability term</w:t>
      </w:r>
    </w:p>
    <w:p>
      <w:pPr>
        <w:pStyle w:val="FirstParagraph"/>
      </w:pPr>
      <w:r>
        <w:t xml:space="preserve">The base surrogate combines coverage novelty ν, normalised node degree, and loop</w:t>
      </w:r>
      <w:r>
        <w:t xml:space="preserve"> </w:t>
      </w:r>
      <w:r>
        <w:t xml:space="preserve">length:</w:t>
      </w:r>
    </w:p>
    <w:p>
      <w:pPr>
        <w:pStyle w:val="SourceCode"/>
      </w:pPr>
      <w:r>
        <w:rPr>
          <w:rStyle w:val="VerbatimChar"/>
        </w:rPr>
        <w:t xml:space="preserve">Î = w_ν·ν + w_d·(1 − d̄) + w_l·l̄.</w:t>
      </w:r>
    </w:p>
    <w:p>
      <w:pPr>
        <w:pStyle w:val="FirstParagraph"/>
      </w:pPr>
      <w:r>
        <w:t xml:space="preserve">This rewards</w:t>
      </w:r>
      <w:r>
        <w:t xml:space="preserve"> </w:t>
      </w:r>
      <w:r>
        <w:rPr>
          <w:i/>
          <w:iCs/>
        </w:rPr>
        <w:t xml:space="preserve">spatial coverage</w:t>
      </w:r>
      <w:r>
        <w:t xml:space="preserve"> </w:t>
      </w:r>
      <w:r>
        <w:t xml:space="preserve">but never asks whether a robot pair (i, j) has</w:t>
      </w:r>
      <w:r>
        <w:t xml:space="preserve"> </w:t>
      </w:r>
      <w:r>
        <w:t xml:space="preserve">enough constraints to determine its relative transform. We add a pairwise</w:t>
      </w:r>
      <w:r>
        <w:t xml:space="preserve"> </w:t>
      </w:r>
      <w:r>
        <w:rPr>
          <w:b/>
          <w:bCs/>
        </w:rPr>
        <w:t xml:space="preserve">observability</w:t>
      </w:r>
      <w:r>
        <w:t xml:space="preserve"> </w:t>
      </w:r>
      <w:r>
        <w:t xml:space="preserve">term</w:t>
      </w:r>
    </w:p>
    <w:p>
      <w:pPr>
        <w:pStyle w:val="SourceCode"/>
      </w:pPr>
      <w:r>
        <w:rPr>
          <w:rStyle w:val="VerbatimChar"/>
        </w:rPr>
        <w:t xml:space="preserve">O_ij = exp(−n_ij / n_ref),        Î⁺ = Î + w_o·O_ij,</w:t>
      </w:r>
    </w:p>
    <w:p>
      <w:pPr>
        <w:pStyle w:val="FirstParagraph"/>
      </w:pPr>
      <w:r>
        <w:t xml:space="preserve">where n_ij is the number of inter-robot constraints already delivered for the</w:t>
      </w:r>
      <w:r>
        <w:t xml:space="preserve"> </w:t>
      </w:r>
      <w:r>
        <w:t xml:space="preserve">pair. O_ij is 1 when the pair’s transform is undetermined and decays as</w:t>
      </w:r>
      <w:r>
        <w:t xml:space="preserve"> </w:t>
      </w:r>
      <w:r>
        <w:t xml:space="preserve">constraints accumulate, biasing airtime toward under-constrained pairs. We call</w:t>
      </w:r>
      <w:r>
        <w:t xml:space="preserve"> </w:t>
      </w:r>
      <w:r>
        <w:t xml:space="preserve">the resulting method</w:t>
      </w:r>
      <w:r>
        <w:t xml:space="preserve"> </w:t>
      </w:r>
      <w:r>
        <w:rPr>
          <w:b/>
          <w:bCs/>
        </w:rPr>
        <w:t xml:space="preserve">observability-aware BACS</w:t>
      </w:r>
      <w:r>
        <w:t xml:space="preserve">; the base method is an</w:t>
      </w:r>
      <w:r>
        <w:t xml:space="preserve"> </w:t>
      </w:r>
      <w:r>
        <w:t xml:space="preserve">intermediate ablation.</w:t>
      </w:r>
    </w:p>
    <w:bookmarkEnd w:id="15"/>
    <w:bookmarkStart w:id="16" w:name="trust-decay-calibration"/>
    <w:p>
      <w:pPr>
        <w:pStyle w:val="Heading3"/>
      </w:pPr>
      <w:r>
        <w:t xml:space="preserve">4.3 Trust-decay calibration</w:t>
      </w:r>
    </w:p>
    <w:p>
      <w:pPr>
        <w:pStyle w:val="FirstParagraph"/>
      </w:pPr>
      <w:r>
        <w:t xml:space="preserve">The parent framework’s derivation matches γ to the time for odometry divergence to</w:t>
      </w:r>
      <w:r>
        <w:t xml:space="preserve"> </w:t>
      </w:r>
      <w:r>
        <w:t xml:space="preserve">reach τ_e, giving γ* = ln2·σ_d·v̄/τ_e = 0.033 (Eq. 16). Under duty-cycle</w:t>
      </w:r>
      <w:r>
        <w:t xml:space="preserve"> </w:t>
      </w:r>
      <w:r>
        <w:t xml:space="preserve">compliance this is the wrong timescale. Anchoring instead to the airtime-queueing</w:t>
      </w:r>
      <w:r>
        <w:t xml:space="preserve"> </w:t>
      </w:r>
      <w:r>
        <w:t xml:space="preserve">time T_defer,</w:t>
      </w:r>
    </w:p>
    <w:p>
      <w:pPr>
        <w:pStyle w:val="SourceCode"/>
      </w:pPr>
      <w:r>
        <w:rPr>
          <w:rStyle w:val="VerbatimChar"/>
        </w:rPr>
        <w:t xml:space="preserve">γ_defer = ln2 / T_defer ≈ ln2 / 155 s ≈ 0.0045,</w:t>
      </w:r>
    </w:p>
    <w:p>
      <w:pPr>
        <w:pStyle w:val="FirstParagraph"/>
      </w:pPr>
      <w:r>
        <w:t xml:space="preserve">matches the empirical optimum. We evaluate five rules in Section 6.2.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evaluation-platform-and-hypotheses"/>
    <w:p>
      <w:pPr>
        <w:pStyle w:val="Heading2"/>
      </w:pPr>
      <w:r>
        <w:t xml:space="preserve">5. Evaluation Platform and Hypotheses</w:t>
      </w:r>
    </w:p>
    <w:p>
      <w:pPr>
        <w:pStyle w:val="FirstParagraph"/>
      </w:pPr>
      <w:r>
        <w:t xml:space="preserve">The simulator reproduces the sensing, radio, and pose-graph pipeline of a</w:t>
      </w:r>
      <w:r>
        <w:t xml:space="preserve"> </w:t>
      </w:r>
      <w:r>
        <w:t xml:space="preserve">trust-weighted fusion framework: boustrophedon coverage with overlapping</w:t>
      </w:r>
      <w:r>
        <w:t xml:space="preserve"> </w:t>
      </w:r>
      <w:r>
        <w:t xml:space="preserve">territories, distance-scaled odometry drift, a LoRa airtime/channel model, a</w:t>
      </w:r>
      <w:r>
        <w:t xml:space="preserve"> </w:t>
      </w:r>
      <w:r>
        <w:t xml:space="preserve">two-population candidate stream (inliers &lt; 0.35 m, outliers &gt; 0.7 m), and an SE(2)</w:t>
      </w:r>
      <w:r>
        <w:t xml:space="preserve"> </w:t>
      </w:r>
      <w:r>
        <w:t xml:space="preserve">weighted Gauss–Newton back-end that ingests delivered constraints, re-optimises,</w:t>
      </w:r>
      <w:r>
        <w:t xml:space="preserve"> </w:t>
      </w:r>
      <w:r>
        <w:t xml:space="preserve">and republishes the fused map. We report per-step</w:t>
      </w:r>
      <w:r>
        <w:t xml:space="preserve"> </w:t>
      </w:r>
      <w:r>
        <w:rPr>
          <w:b/>
          <w:bCs/>
        </w:rPr>
        <w:t xml:space="preserve">pose RMSE</w:t>
      </w:r>
      <w:r>
        <w:t xml:space="preserve"> </w:t>
      </w:r>
      <w:r>
        <w:t xml:space="preserve">(each robot’s</w:t>
      </w:r>
      <w:r>
        <w:t xml:space="preserve"> </w:t>
      </w:r>
      <w:r>
        <w:t xml:space="preserve">trajectory vs ground truth) and</w:t>
      </w:r>
      <w:r>
        <w:t xml:space="preserve"> </w:t>
      </w:r>
      <w:r>
        <w:rPr>
          <w:b/>
          <w:bCs/>
        </w:rPr>
        <w:t xml:space="preserve">map-alignment RMSE</w:t>
      </w:r>
      <w:r>
        <w:t xml:space="preserve"> </w:t>
      </w:r>
      <w:r>
        <w:t xml:space="preserve">(discrepancy between two</w:t>
      </w:r>
      <w:r>
        <w:t xml:space="preserve"> </w:t>
      </w:r>
      <w:r>
        <w:t xml:space="preserve">robots’ estimates of ground-truth co-location pairs — the fusion-consistency</w:t>
      </w:r>
      <w:r>
        <w:t xml:space="preserve"> </w:t>
      </w:r>
      <w:r>
        <w:t xml:space="preserve">metric).</w:t>
      </w:r>
    </w:p>
    <w:p>
      <w:pPr>
        <w:pStyle w:val="BodyText"/>
      </w:pPr>
      <w:r>
        <w:t xml:space="preserve">Pre-registered hypotheses: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H1.</w:t>
      </w:r>
      <w:r>
        <w:t xml:space="preserve"> </w:t>
      </w:r>
      <w:r>
        <w:t xml:space="preserve">The closed-form γ* (Eq. 16) predicts the empirical optimum.</w:t>
      </w:r>
      <w:r>
        <w:t xml:space="preserve"> </w:t>
      </w:r>
      <w:r>
        <w:rPr>
          <w:i/>
          <w:iCs/>
        </w:rPr>
        <w:t xml:space="preserve">(Falsified.)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H2.</w:t>
      </w:r>
      <w:r>
        <w:t xml:space="preserve"> </w:t>
      </w:r>
      <w:r>
        <w:t xml:space="preserve">A gated formulation outperforms the multiplicative one.</w:t>
      </w:r>
      <w:r>
        <w:t xml:space="preserve"> </w:t>
      </w:r>
      <w:r>
        <w:rPr>
          <w:i/>
          <w:iCs/>
        </w:rPr>
        <w:t xml:space="preserve">(Supported.)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H3.</w:t>
      </w:r>
      <w:r>
        <w:t xml:space="preserve"> </w:t>
      </w:r>
      <w:r>
        <w:t xml:space="preserve">The scheduling advantage grows with team size.</w:t>
      </w:r>
      <w:r>
        <w:t xml:space="preserve"> </w:t>
      </w:r>
      <w:r>
        <w:rPr>
          <w:i/>
          <w:iCs/>
        </w:rPr>
        <w:t xml:space="preserve">(Falsified for pose</w:t>
      </w:r>
      <w:r>
        <w:rPr>
          <w:i/>
          <w:iCs/>
        </w:rPr>
        <w:t xml:space="preserve"> </w:t>
      </w:r>
      <w:r>
        <w:rPr>
          <w:i/>
          <w:iCs/>
        </w:rPr>
        <w:t xml:space="preserve">RMSE; reframed via observability and map alignment.)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H3b (new).</w:t>
      </w:r>
      <w:r>
        <w:t xml:space="preserve"> </w:t>
      </w:r>
      <w:r>
        <w:t xml:space="preserve">Adding an observability term improves the surrogate’s fidelity to</w:t>
      </w:r>
      <w:r>
        <w:t xml:space="preserve"> </w:t>
      </w:r>
      <w:r>
        <w:t xml:space="preserve">exact incremental information.</w:t>
      </w:r>
      <w:r>
        <w:t xml:space="preserve"> </w:t>
      </w:r>
      <w:r>
        <w:rPr>
          <w:i/>
          <w:iCs/>
        </w:rPr>
        <w:t xml:space="preserve">(Supported, S7-C.)</w:t>
      </w:r>
    </w:p>
    <w:p>
      <w:r>
        <w:pict>
          <v:rect style="width:0;height:1.5pt" o:hralign="center" o:hrstd="t" o:hr="t"/>
        </w:pict>
      </w:r>
    </w:p>
    <w:bookmarkEnd w:id="18"/>
    <w:bookmarkStart w:id="36" w:name="results"/>
    <w:p>
      <w:pPr>
        <w:pStyle w:val="Heading2"/>
      </w:pPr>
      <w:r>
        <w:t xml:space="preserve">6. Results</w:t>
      </w:r>
    </w:p>
    <w:bookmarkStart w:id="19" w:name="methodological-progression"/>
    <w:p>
      <w:pPr>
        <w:pStyle w:val="Heading3"/>
      </w:pPr>
      <w:r>
        <w:t xml:space="preserve">6.1 Methodological progression</w:t>
      </w:r>
    </w:p>
    <w:p>
      <w:pPr>
        <w:pStyle w:val="FirstParagraph"/>
      </w:pPr>
      <w:r>
        <w:t xml:space="preserve">Table 1 traces one change per stage on identical worlds (5 seeds, N = 2).</w:t>
      </w:r>
    </w:p>
    <w:p>
      <w:pPr>
        <w:pStyle w:val="BodyText"/>
      </w:pPr>
      <w:r>
        <w:rPr>
          <w:b/>
          <w:bCs/>
        </w:rPr>
        <w:t xml:space="preserve">Table 1. Progression (5 seeds, N = 2).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pose RMSE [m]</w:t>
            </w:r>
          </w:p>
        </w:tc>
        <w:tc>
          <w:tcPr/>
          <w:p>
            <w:pPr>
              <w:pStyle w:val="Compact"/>
            </w:pPr>
            <w:r>
              <w:t xml:space="preserve">align RMSE [m]</w:t>
            </w:r>
          </w:p>
        </w:tc>
        <w:tc>
          <w:tcPr/>
          <w:p>
            <w:pPr>
              <w:pStyle w:val="Compact"/>
            </w:pPr>
            <w:r>
              <w:t xml:space="preserve">trust yield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EMRMF-original (FIFO, drift γ)</w:t>
            </w:r>
          </w:p>
        </w:tc>
        <w:tc>
          <w:tcPr/>
          <w:p>
            <w:pPr>
              <w:pStyle w:val="Compact"/>
            </w:pPr>
            <w:r>
              <w:t xml:space="preserve">0.387</w:t>
            </w:r>
          </w:p>
        </w:tc>
        <w:tc>
          <w:tcPr/>
          <w:p>
            <w:pPr>
              <w:pStyle w:val="Compact"/>
            </w:pPr>
            <w:r>
              <w:t xml:space="preserve">0.34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compliant FIFO (deferral γ)</w:t>
            </w:r>
          </w:p>
        </w:tc>
        <w:tc>
          <w:tcPr/>
          <w:p>
            <w:pPr>
              <w:pStyle w:val="Compact"/>
            </w:pPr>
            <w:r>
              <w:t xml:space="preserve">0.389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BACS (gated)</w:t>
            </w:r>
          </w:p>
        </w:tc>
        <w:tc>
          <w:tcPr/>
          <w:p>
            <w:pPr>
              <w:pStyle w:val="Compact"/>
            </w:pPr>
            <w:r>
              <w:t xml:space="preserve">0.322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BACS+ (observability)</w:t>
            </w:r>
          </w:p>
        </w:tc>
        <w:tc>
          <w:tcPr/>
          <w:p>
            <w:pPr>
              <w:pStyle w:val="Compact"/>
            </w:pPr>
            <w:r>
              <w:t xml:space="preserve">0.329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</w:tr>
    </w:tbl>
    <w:p>
      <w:pPr>
        <w:pStyle w:val="BodyText"/>
      </w:pPr>
      <w:r>
        <w:t xml:space="preserve">Recalibrating γ raises trust yield but not FIFO’s RMSE; the scheduler is where the</w:t>
      </w:r>
      <w:r>
        <w:t xml:space="preserve"> </w:t>
      </w:r>
      <w:r>
        <w:t xml:space="preserve">RMSE improvement is (Fig. 4). At N = 2 the observability term is neutral on RMSE —</w:t>
      </w:r>
      <w:r>
        <w:t xml:space="preserve"> </w:t>
      </w:r>
      <w:r>
        <w:t xml:space="preserve">its role is at larger teams and on map alignment (Section 6.4).</w:t>
      </w:r>
    </w:p>
    <w:bookmarkEnd w:id="19"/>
    <w:bookmarkStart w:id="20" w:name="h1-trust-decay-calibration-s9"/>
    <w:p>
      <w:pPr>
        <w:pStyle w:val="Heading3"/>
      </w:pPr>
      <w:r>
        <w:t xml:space="preserve">6.2 H1: trust-decay calibration (S9)</w:t>
      </w:r>
    </w:p>
    <w:p>
      <w:pPr>
        <w:pStyle w:val="FirstParagraph"/>
      </w:pPr>
      <w:r>
        <w:rPr>
          <w:b/>
          <w:bCs/>
        </w:rPr>
        <w:t xml:space="preserve">Table 2. Decay-coefficient rules (</w:t>
      </w:r>
      <w:r>
        <w:rPr>
          <w:rStyle w:val="VerbatimChar"/>
          <w:b/>
          <w:bCs/>
        </w:rPr>
        <w:t xml:space="preserve">s9_deferral_gamma.csv</w:t>
      </w:r>
      <w:r>
        <w:rPr>
          <w:b/>
          <w:bCs/>
        </w:rPr>
        <w:t xml:space="preserve">, 5 seeds, N = 2).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γ</w:t>
            </w:r>
          </w:p>
        </w:tc>
        <w:tc>
          <w:tcPr/>
          <w:p>
            <w:pPr>
              <w:pStyle w:val="Compact"/>
            </w:pPr>
            <w:r>
              <w:t xml:space="preserve">pose RMSE [m]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(tuned optimum)</w:t>
            </w:r>
          </w:p>
        </w:tc>
        <w:tc>
          <w:tcPr/>
          <w:p>
            <w:pPr>
              <w:pStyle w:val="Compact"/>
            </w:pPr>
            <w:r>
              <w:t xml:space="preserve">0.0030</w:t>
            </w:r>
          </w:p>
        </w:tc>
        <w:tc>
          <w:tcPr/>
          <w:p>
            <w:pPr>
              <w:pStyle w:val="Compact"/>
            </w:pPr>
            <w:r>
              <w:t xml:space="preserve">0.325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drift-derived (Eq. 16)</w:t>
            </w:r>
          </w:p>
        </w:tc>
        <w:tc>
          <w:tcPr/>
          <w:p>
            <w:pPr>
              <w:pStyle w:val="Compact"/>
            </w:pPr>
            <w:r>
              <w:t xml:space="preserve">0.0333</w:t>
            </w:r>
          </w:p>
        </w:tc>
        <w:tc>
          <w:tcPr/>
          <w:p>
            <w:pPr>
              <w:pStyle w:val="Compact"/>
            </w:pPr>
            <w:r>
              <w:t xml:space="preserve">0.425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drift-adaptive</w:t>
            </w:r>
          </w:p>
        </w:tc>
        <w:tc>
          <w:tcPr/>
          <w:p>
            <w:pPr>
              <w:pStyle w:val="Compact"/>
            </w:pPr>
            <w:r>
              <w:t xml:space="preserve">0.064</w:t>
            </w:r>
          </w:p>
        </w:tc>
        <w:tc>
          <w:tcPr/>
          <w:p>
            <w:pPr>
              <w:pStyle w:val="Compact"/>
            </w:pPr>
            <w:r>
              <w:t xml:space="preserve">0.424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deferral-derived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deferral-adaptive</w:t>
            </w:r>
          </w:p>
        </w:tc>
        <w:tc>
          <w:tcPr/>
          <w:p>
            <w:pPr>
              <w:pStyle w:val="Compact"/>
            </w:pPr>
            <w:r>
              <w:t xml:space="preserve">1.86</w:t>
            </w:r>
          </w:p>
        </w:tc>
        <w:tc>
          <w:tcPr/>
          <w:p>
            <w:pPr>
              <w:pStyle w:val="Compact"/>
            </w:pPr>
            <w:r>
              <w:t xml:space="preserve">0.384</w:t>
            </w:r>
          </w:p>
        </w:tc>
      </w:tr>
    </w:tbl>
    <w:p>
      <w:pPr>
        <w:pStyle w:val="BodyText"/>
      </w:pPr>
      <w:r>
        <w:t xml:space="preserve">The drift derivation (Eq. 16) is falsified — it over-predicts γ by ~10× and</w:t>
      </w:r>
      <w:r>
        <w:t xml:space="preserve"> </w:t>
      </w:r>
      <w:r>
        <w:t xml:space="preserve">inflates RMSE by ~30%. The deferral-derived rule reaches the tuned optimum with no</w:t>
      </w:r>
      <w:r>
        <w:t xml:space="preserve"> </w:t>
      </w:r>
      <w:r>
        <w:t xml:space="preserve">sweep (Fig. 3). The online deferral-adaptive variant overshoots because it measures</w:t>
      </w:r>
      <w:r>
        <w:t xml:space="preserve"> </w:t>
      </w:r>
      <w:r>
        <w:t xml:space="preserve">the delay of</w:t>
      </w:r>
      <w:r>
        <w:t xml:space="preserve"> </w:t>
      </w:r>
      <w:r>
        <w:rPr>
          <w:i/>
          <w:iCs/>
        </w:rPr>
        <w:t xml:space="preserve">delivered</w:t>
      </w:r>
      <w:r>
        <w:t xml:space="preserve"> </w:t>
      </w:r>
      <w:r>
        <w:t xml:space="preserve">(fresh) packets, not the queue-wide deferral; we report it</w:t>
      </w:r>
      <w:r>
        <w:t xml:space="preserve"> </w:t>
      </w:r>
      <w:r>
        <w:t xml:space="preserve">as an instructive negative.</w:t>
      </w:r>
    </w:p>
    <w:bookmarkEnd w:id="20"/>
    <w:bookmarkStart w:id="21" w:name="Xa434573cc998d91244b993614d39c5da089c586"/>
    <w:p>
      <w:pPr>
        <w:pStyle w:val="Heading3"/>
      </w:pPr>
      <w:r>
        <w:t xml:space="preserve">6.3 H3b: surrogate validation against exact information (S7-C)</w:t>
      </w:r>
    </w:p>
    <w:p>
      <w:pPr>
        <w:pStyle w:val="FirstParagraph"/>
      </w:pPr>
      <w:r>
        <w:t xml:space="preserve">Validating the surrogate requires the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quantity. Scoring an edge against</w:t>
      </w:r>
      <w:r>
        <w:t xml:space="preserve"> </w:t>
      </w:r>
      <w:r>
        <w:t xml:space="preserve">the converged posterior covariance measures</w:t>
      </w:r>
      <w:r>
        <w:t xml:space="preserve"> </w:t>
      </w:r>
      <w:r>
        <w:t xml:space="preserve">“how informative is this edge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graph already contains it,”</w:t>
      </w:r>
      <w:r>
        <w:t xml:space="preserve"> </w:t>
      </w:r>
      <w:r>
        <w:t xml:space="preserve">which inverts the ranking (edges in well-solved</w:t>
      </w:r>
      <w:r>
        <w:t xml:space="preserve"> </w:t>
      </w:r>
      <w:r>
        <w:t xml:space="preserve">regions look uninformative) and produces a spurious strong negative correlation.</w:t>
      </w:r>
      <w:r>
        <w:t xml:space="preserve"> </w:t>
      </w:r>
      <w:r>
        <w:t xml:space="preserve">The scheduling-relevant quantity is the</w:t>
      </w:r>
      <w:r>
        <w:t xml:space="preserve"> </w:t>
      </w:r>
      <w:r>
        <w:rPr>
          <w:b/>
          <w:bCs/>
        </w:rPr>
        <w:t xml:space="preserve">incremental</w:t>
      </w:r>
      <w:r>
        <w:t xml:space="preserve"> </w:t>
      </w:r>
      <w:r>
        <w:t xml:space="preserve">gain against the graph</w:t>
      </w:r>
      <w:r>
        <w:t xml:space="preserve"> </w:t>
      </w:r>
      <w:r>
        <w:t xml:space="preserve">state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candidate:</w:t>
      </w:r>
    </w:p>
    <w:p>
      <w:pPr>
        <w:pStyle w:val="SourceCode"/>
      </w:pPr>
      <w:r>
        <w:rPr>
          <w:rStyle w:val="VerbatimChar"/>
        </w:rPr>
        <w:t xml:space="preserve">I_c = ½ log det( I + Ω_c J_c Σ_ij,t J_cᵀ ),</w:t>
      </w:r>
    </w:p>
    <w:p>
      <w:pPr>
        <w:pStyle w:val="FirstParagraph"/>
      </w:pPr>
      <w:r>
        <w:t xml:space="preserve">with Σ_ij,t the joint marginal in the graph containing odometry plus everything</w:t>
      </w:r>
      <w:r>
        <w:t xml:space="preserve"> </w:t>
      </w:r>
      <w:r>
        <w:t xml:space="preserve">delivered before window t, and J_c the SE(2) relative-pose Jacobian at the current</w:t>
      </w:r>
      <w:r>
        <w:t xml:space="preserve"> </w:t>
      </w:r>
      <w:r>
        <w:t xml:space="preserve">linearisation. We compute this over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candidates presented (not only</w:t>
      </w:r>
      <w:r>
        <w:t xml:space="preserve"> </w:t>
      </w:r>
      <w:r>
        <w:t xml:space="preserve">delivered, to avoid selection bias) and correlate it with the surrogate.</w:t>
      </w:r>
    </w:p>
    <w:p>
      <w:pPr>
        <w:pStyle w:val="BodyText"/>
      </w:pPr>
      <w:r>
        <w:rPr>
          <w:b/>
          <w:bCs/>
        </w:rPr>
        <w:t xml:space="preserve">Table 3. Incremental surrogate fidelity (</w:t>
      </w:r>
      <w:r>
        <w:rPr>
          <w:rStyle w:val="VerbatimChar"/>
          <w:b/>
          <w:bCs/>
        </w:rPr>
        <w:t xml:space="preserve">s7c_paired.csv</w:t>
      </w:r>
      <w:r>
        <w:rPr>
          <w:b/>
          <w:bCs/>
        </w:rPr>
        <w:t xml:space="preserve">, 10 seeds/N).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ρ(Î base)</w:t>
            </w:r>
          </w:p>
        </w:tc>
        <w:tc>
          <w:tcPr/>
          <w:p>
            <w:pPr>
              <w:pStyle w:val="Compact"/>
            </w:pPr>
            <w:r>
              <w:t xml:space="preserve">ρ(Î⁺ observability)</w:t>
            </w:r>
          </w:p>
        </w:tc>
        <w:tc>
          <w:tcPr/>
          <w:p>
            <w:pPr>
              <w:pStyle w:val="Compact"/>
            </w:pPr>
            <w:r>
              <w:t xml:space="preserve">Δρ (median)</w:t>
            </w:r>
          </w:p>
        </w:tc>
        <w:tc>
          <w:tcPr/>
          <w:p>
            <w:pPr>
              <w:pStyle w:val="Compact"/>
            </w:pPr>
            <w:r>
              <w:t xml:space="preserve">seeds Δρ&gt;0</w:t>
            </w:r>
          </w:p>
        </w:tc>
        <w:tc>
          <w:tcPr/>
          <w:p>
            <w:pPr>
              <w:pStyle w:val="Compact"/>
            </w:pPr>
            <w:r>
              <w:t xml:space="preserve">p (one-sided)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0.45 ± 0.13</w:t>
            </w:r>
          </w:p>
        </w:tc>
        <w:tc>
          <w:tcPr/>
          <w:p>
            <w:pPr>
              <w:pStyle w:val="Compact"/>
            </w:pPr>
            <w:r>
              <w:t xml:space="preserve">0.62 ± 0.08</w:t>
            </w:r>
          </w:p>
        </w:tc>
        <w:tc>
          <w:tcPr/>
          <w:p>
            <w:pPr>
              <w:pStyle w:val="Compact"/>
            </w:pPr>
            <w:r>
              <w:t xml:space="preserve">+0.17</w:t>
            </w:r>
          </w:p>
        </w:tc>
        <w:tc>
          <w:tcPr/>
          <w:p>
            <w:pPr>
              <w:pStyle w:val="Compact"/>
            </w:pPr>
            <w:r>
              <w:t xml:space="preserve">10/10</w:t>
            </w:r>
          </w:p>
        </w:tc>
        <w:tc>
          <w:tcPr/>
          <w:p>
            <w:pPr>
              <w:pStyle w:val="Compact"/>
            </w:pPr>
            <w:r>
              <w:t xml:space="preserve">9.8×10⁻⁴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0.38 ± 0.20</w:t>
            </w:r>
          </w:p>
        </w:tc>
        <w:tc>
          <w:tcPr/>
          <w:p>
            <w:pPr>
              <w:pStyle w:val="Compact"/>
            </w:pPr>
            <w:r>
              <w:t xml:space="preserve">0.61 ± 0.13</w:t>
            </w:r>
          </w:p>
        </w:tc>
        <w:tc>
          <w:tcPr/>
          <w:p>
            <w:pPr>
              <w:pStyle w:val="Compact"/>
            </w:pPr>
            <w:r>
              <w:t xml:space="preserve">+0.23</w:t>
            </w:r>
          </w:p>
        </w:tc>
        <w:tc>
          <w:tcPr/>
          <w:p>
            <w:pPr>
              <w:pStyle w:val="Compact"/>
            </w:pPr>
            <w:r>
              <w:t xml:space="preserve">10/10</w:t>
            </w:r>
          </w:p>
        </w:tc>
        <w:tc>
          <w:tcPr/>
          <w:p>
            <w:pPr>
              <w:pStyle w:val="Compact"/>
            </w:pPr>
            <w:r>
              <w:t xml:space="preserve">9.8×10⁻⁴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0.42 ± 0.11</w:t>
            </w:r>
          </w:p>
        </w:tc>
        <w:tc>
          <w:tcPr/>
          <w:p>
            <w:pPr>
              <w:pStyle w:val="Compact"/>
            </w:pPr>
            <w:r>
              <w:t xml:space="preserve">0.55 ± 0.08</w:t>
            </w:r>
          </w:p>
        </w:tc>
        <w:tc>
          <w:tcPr/>
          <w:p>
            <w:pPr>
              <w:pStyle w:val="Compact"/>
            </w:pPr>
            <w:r>
              <w:t xml:space="preserve">+0.13</w:t>
            </w:r>
          </w:p>
        </w:tc>
        <w:tc>
          <w:tcPr/>
          <w:p>
            <w:pPr>
              <w:pStyle w:val="Compact"/>
            </w:pPr>
            <w:r>
              <w:t xml:space="preserve">10/10</w:t>
            </w:r>
          </w:p>
        </w:tc>
        <w:tc>
          <w:tcPr/>
          <w:p>
            <w:pPr>
              <w:pStyle w:val="Compact"/>
            </w:pPr>
            <w:r>
              <w:t xml:space="preserve">9.8×10⁻⁴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0.49 ± 0.11</w:t>
            </w:r>
          </w:p>
        </w:tc>
        <w:tc>
          <w:tcPr/>
          <w:p>
            <w:pPr>
              <w:pStyle w:val="Compact"/>
            </w:pPr>
            <w:r>
              <w:t xml:space="preserve">0.60 ± 0.08</w:t>
            </w:r>
          </w:p>
        </w:tc>
        <w:tc>
          <w:tcPr/>
          <w:p>
            <w:pPr>
              <w:pStyle w:val="Compact"/>
            </w:pPr>
            <w:r>
              <w:t xml:space="preserve">+0.11</w:t>
            </w:r>
          </w:p>
        </w:tc>
        <w:tc>
          <w:tcPr/>
          <w:p>
            <w:pPr>
              <w:pStyle w:val="Compact"/>
            </w:pPr>
            <w:r>
              <w:t xml:space="preserve">10/10</w:t>
            </w:r>
          </w:p>
        </w:tc>
        <w:tc>
          <w:tcPr/>
          <w:p>
            <w:pPr>
              <w:pStyle w:val="Compact"/>
            </w:pPr>
            <w:r>
              <w:t xml:space="preserve">9.8×10⁻⁴</w:t>
            </w:r>
          </w:p>
        </w:tc>
      </w:tr>
    </w:tbl>
    <w:p>
      <w:pPr>
        <w:pStyle w:val="BodyText"/>
      </w:pPr>
      <w:r>
        <w:t xml:space="preserve">The base surrogate is a</w:t>
      </w:r>
      <w:r>
        <w:t xml:space="preserve"> </w:t>
      </w:r>
      <w:r>
        <w:rPr>
          <w:i/>
          <w:iCs/>
        </w:rPr>
        <w:t xml:space="preserve">positive</w:t>
      </w:r>
      <w:r>
        <w:t xml:space="preserve"> </w:t>
      </w:r>
      <w:r>
        <w:t xml:space="preserve">proxy for exact incremental information at every</w:t>
      </w:r>
      <w:r>
        <w:t xml:space="preserve"> </w:t>
      </w:r>
      <w:r>
        <w:t xml:space="preserve">team size (ρ ≈ 0.4–0.6); the observability term raises fidelity for</w:t>
      </w:r>
      <w:r>
        <w:t xml:space="preserve"> </w:t>
      </w:r>
      <w:r>
        <w:rPr>
          <w:b/>
          <w:bCs/>
        </w:rPr>
        <w:t xml:space="preserve">every one of</w:t>
      </w:r>
      <w:r>
        <w:rPr>
          <w:b/>
          <w:bCs/>
        </w:rPr>
        <w:t xml:space="preserve"> </w:t>
      </w:r>
      <w:r>
        <w:rPr>
          <w:b/>
          <w:bCs/>
        </w:rPr>
        <w:t xml:space="preserve">40 runs</w:t>
      </w:r>
      <w:r>
        <w:t xml:space="preserve"> </w:t>
      </w:r>
      <w:r>
        <w:t xml:space="preserve">(Fig. 1). For contrast, the posterior-baseline evaluation returns</w:t>
      </w:r>
      <w:r>
        <w:t xml:space="preserve"> </w:t>
      </w:r>
      <w:r>
        <w:t xml:space="preserve">ρ ≈ −0.4 to −0.6 — an evaluation artifact we document rather than a property of the</w:t>
      </w:r>
      <w:r>
        <w:t xml:space="preserve"> </w:t>
      </w:r>
      <w:r>
        <w:t xml:space="preserve">surrogate (</w:t>
      </w:r>
      <w:r>
        <w:rPr>
          <w:rStyle w:val="VerbatimChar"/>
        </w:rPr>
        <w:t xml:space="preserve">s7_surrogate_validation.csv</w:t>
      </w:r>
      <w:r>
        <w:t xml:space="preserve">, posterior column).</w:t>
      </w:r>
    </w:p>
    <w:bookmarkEnd w:id="21"/>
    <w:bookmarkStart w:id="22" w:name="Xbd153a1980836138465020a5ce88299751dc231"/>
    <w:p>
      <w:pPr>
        <w:pStyle w:val="Heading3"/>
      </w:pPr>
      <w:r>
        <w:t xml:space="preserve">6.4 H3 / end-to-end evaluation (S8, 30 held-out seeds)</w:t>
      </w:r>
    </w:p>
    <w:p>
      <w:pPr>
        <w:pStyle w:val="FirstParagraph"/>
      </w:pPr>
      <w:r>
        <w:rPr>
          <w:b/>
          <w:bCs/>
        </w:rPr>
        <w:t xml:space="preserve">Table 4. S8 map-alignment RMSE, primary metric (</w:t>
      </w:r>
      <w:r>
        <w:rPr>
          <w:rStyle w:val="VerbatimChar"/>
          <w:b/>
          <w:bCs/>
        </w:rPr>
        <w:t xml:space="preserve">s8_30seed_summary.csv</w:t>
      </w:r>
      <w:r>
        <w:rPr>
          <w:b/>
          <w:bCs/>
        </w:rPr>
        <w:t xml:space="preserve">;</w:t>
      </w:r>
      <w:r>
        <w:rPr>
          <w:b/>
          <w:bCs/>
        </w:rPr>
        <w:t xml:space="preserve"> </w:t>
      </w:r>
      <w:r>
        <w:rPr>
          <w:b/>
          <w:bCs/>
        </w:rPr>
        <w:t xml:space="preserve">seeds 10–39; mean [95% CI]).</w:t>
      </w:r>
      <w:r>
        <w:t xml:space="preserve"> </w:t>
      </w:r>
      <w:r>
        <w:t xml:space="preserve">Improvement and significance are vs FIFO</w:t>
      </w:r>
      <w:r>
        <w:t xml:space="preserve"> </w:t>
      </w:r>
      <w:r>
        <w:t xml:space="preserve">(paired Wilcoxon, Cliff’s δ).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FIFO</w:t>
            </w:r>
          </w:p>
        </w:tc>
        <w:tc>
          <w:tcPr/>
          <w:p>
            <w:pPr>
              <w:pStyle w:val="Compact"/>
            </w:pPr>
            <w:r>
              <w:t xml:space="preserve">BACS</w:t>
            </w:r>
          </w:p>
        </w:tc>
        <w:tc>
          <w:tcPr/>
          <w:p>
            <w:pPr>
              <w:pStyle w:val="Compact"/>
            </w:pPr>
            <w:r>
              <w:t xml:space="preserve">BACS+</w:t>
            </w:r>
          </w:p>
        </w:tc>
        <w:tc>
          <w:tcPr/>
          <w:p>
            <w:pPr>
              <w:pStyle w:val="Compact"/>
            </w:pPr>
            <w:r>
              <w:t xml:space="preserve">BACS vs FIFO</w:t>
            </w:r>
          </w:p>
        </w:tc>
        <w:tc>
          <w:tcPr/>
          <w:p>
            <w:pPr>
              <w:pStyle w:val="Compact"/>
            </w:pPr>
            <w:r>
              <w:t xml:space="preserve">BACS+ vs FIFO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0.334</w:t>
            </w:r>
          </w:p>
        </w:tc>
        <w:tc>
          <w:tcPr/>
          <w:p>
            <w:pPr>
              <w:pStyle w:val="Compact"/>
            </w:pPr>
            <w:r>
              <w:t xml:space="preserve">0.175</w:t>
            </w:r>
          </w:p>
        </w:tc>
        <w:tc>
          <w:tcPr/>
          <w:p>
            <w:pPr>
              <w:pStyle w:val="Compact"/>
            </w:pPr>
            <w:r>
              <w:t xml:space="preserve">0.180</w:t>
            </w:r>
          </w:p>
        </w:tc>
        <w:tc>
          <w:tcPr/>
          <w:p>
            <w:pPr>
              <w:pStyle w:val="Compact"/>
            </w:pPr>
            <w:r>
              <w:t xml:space="preserve">+47.6% (p=4e-9, δ=−0.82)</w:t>
            </w:r>
          </w:p>
        </w:tc>
        <w:tc>
          <w:tcPr/>
          <w:p>
            <w:pPr>
              <w:pStyle w:val="Compact"/>
            </w:pPr>
            <w:r>
              <w:t xml:space="preserve">+46.0% (p=5e-8, δ=−0.79)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0.436</w:t>
            </w:r>
          </w:p>
        </w:tc>
        <w:tc>
          <w:tcPr/>
          <w:p>
            <w:pPr>
              <w:pStyle w:val="Compact"/>
            </w:pPr>
            <w:r>
              <w:t xml:space="preserve">0.222</w:t>
            </w:r>
          </w:p>
        </w:tc>
        <w:tc>
          <w:tcPr/>
          <w:p>
            <w:pPr>
              <w:pStyle w:val="Compact"/>
            </w:pPr>
            <w:r>
              <w:t xml:space="preserve">0.227</w:t>
            </w:r>
          </w:p>
        </w:tc>
        <w:tc>
          <w:tcPr/>
          <w:p>
            <w:pPr>
              <w:pStyle w:val="Compact"/>
            </w:pPr>
            <w:r>
              <w:t xml:space="preserve">+49.1% (p=4e-9, δ=−0.92)</w:t>
            </w:r>
          </w:p>
        </w:tc>
        <w:tc>
          <w:tcPr/>
          <w:p>
            <w:pPr>
              <w:pStyle w:val="Compact"/>
            </w:pPr>
            <w:r>
              <w:t xml:space="preserve">+48.1% (p=2e-9, δ=−0.90)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0.276</w:t>
            </w:r>
          </w:p>
        </w:tc>
        <w:tc>
          <w:tcPr/>
          <w:p>
            <w:pPr>
              <w:pStyle w:val="Compact"/>
            </w:pPr>
            <w:r>
              <w:t xml:space="preserve">0.207</w:t>
            </w:r>
          </w:p>
        </w:tc>
        <w:tc>
          <w:tcPr/>
          <w:p>
            <w:pPr>
              <w:pStyle w:val="Compact"/>
            </w:pPr>
            <w:r>
              <w:t xml:space="preserve">0.217</w:t>
            </w:r>
          </w:p>
        </w:tc>
        <w:tc>
          <w:tcPr/>
          <w:p>
            <w:pPr>
              <w:pStyle w:val="Compact"/>
            </w:pPr>
            <w:r>
              <w:t xml:space="preserve">+25.2% (p=1e-3, δ=−0.42)</w:t>
            </w:r>
          </w:p>
        </w:tc>
        <w:tc>
          <w:tcPr/>
          <w:p>
            <w:pPr>
              <w:pStyle w:val="Compact"/>
            </w:pPr>
            <w:r>
              <w:t xml:space="preserve">+21.3% (p=0.011, δ=−0.32)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0.257</w:t>
            </w:r>
          </w:p>
        </w:tc>
        <w:tc>
          <w:tcPr/>
          <w:p>
            <w:pPr>
              <w:pStyle w:val="Compact"/>
            </w:pPr>
            <w:r>
              <w:t xml:space="preserve">0.211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0.183</w:t>
            </w:r>
          </w:p>
        </w:tc>
        <w:tc>
          <w:tcPr/>
          <w:p>
            <w:pPr>
              <w:pStyle w:val="Compact"/>
            </w:pPr>
            <w:r>
              <w:t xml:space="preserve">+17.9% (p=0.067, n.s.)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+28.7% (p=7e-4, δ=−0.53)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5. S8 per-step pose RMSE, secondary metric.</w:t>
      </w:r>
      <w:r>
        <w:t xml:space="preserve"> </w:t>
      </w:r>
      <w:r>
        <w:t xml:space="preserve">No arm differs significantly</w:t>
      </w:r>
      <w:r>
        <w:t xml:space="preserve"> </w:t>
      </w:r>
      <w:r>
        <w:t xml:space="preserve">from any other at any N (all paired Wilcoxon p &gt; 0.11).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FIFO</w:t>
            </w:r>
          </w:p>
        </w:tc>
        <w:tc>
          <w:tcPr/>
          <w:p>
            <w:pPr>
              <w:pStyle w:val="Compact"/>
            </w:pPr>
            <w:r>
              <w:t xml:space="preserve">BACS</w:t>
            </w:r>
          </w:p>
        </w:tc>
        <w:tc>
          <w:tcPr/>
          <w:p>
            <w:pPr>
              <w:pStyle w:val="Compact"/>
            </w:pPr>
            <w:r>
              <w:t xml:space="preserve">BACS+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0.442</w:t>
            </w:r>
          </w:p>
        </w:tc>
        <w:tc>
          <w:tcPr/>
          <w:p>
            <w:pPr>
              <w:pStyle w:val="Compact"/>
            </w:pPr>
            <w:r>
              <w:t xml:space="preserve">0.378</w:t>
            </w:r>
          </w:p>
        </w:tc>
        <w:tc>
          <w:tcPr/>
          <w:p>
            <w:pPr>
              <w:pStyle w:val="Compact"/>
            </w:pPr>
            <w:r>
              <w:t xml:space="preserve">0.391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0.432</w:t>
            </w:r>
          </w:p>
        </w:tc>
        <w:tc>
          <w:tcPr/>
          <w:p>
            <w:pPr>
              <w:pStyle w:val="Compact"/>
            </w:pPr>
            <w:r>
              <w:t xml:space="preserve">0.399</w:t>
            </w:r>
          </w:p>
        </w:tc>
        <w:tc>
          <w:tcPr/>
          <w:p>
            <w:pPr>
              <w:pStyle w:val="Compact"/>
            </w:pPr>
            <w:r>
              <w:t xml:space="preserve">0.395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0.372</w:t>
            </w:r>
          </w:p>
        </w:tc>
        <w:tc>
          <w:tcPr/>
          <w:p>
            <w:pPr>
              <w:pStyle w:val="Compact"/>
            </w:pPr>
            <w:r>
              <w:t xml:space="preserve">0.376</w:t>
            </w:r>
          </w:p>
        </w:tc>
        <w:tc>
          <w:tcPr/>
          <w:p>
            <w:pPr>
              <w:pStyle w:val="Compact"/>
            </w:pPr>
            <w:r>
              <w:t xml:space="preserve">0.370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0.310</w:t>
            </w:r>
          </w:p>
        </w:tc>
        <w:tc>
          <w:tcPr/>
          <w:p>
            <w:pPr>
              <w:pStyle w:val="Compact"/>
            </w:pPr>
            <w:r>
              <w:t xml:space="preserve">0.337</w:t>
            </w:r>
          </w:p>
        </w:tc>
        <w:tc>
          <w:tcPr/>
          <w:p>
            <w:pPr>
              <w:pStyle w:val="Compact"/>
            </w:pPr>
            <w:r>
              <w:t xml:space="preserve">0.346</w:t>
            </w:r>
          </w:p>
        </w:tc>
      </w:tr>
    </w:tbl>
    <w:p>
      <w:pPr>
        <w:pStyle w:val="BodyText"/>
      </w:pPr>
      <w:r>
        <w:t xml:space="preserve">Two findings (Fig. 2). First,</w:t>
      </w:r>
      <w:r>
        <w:t xml:space="preserve"> </w:t>
      </w:r>
      <w:r>
        <w:rPr>
          <w:b/>
          <w:bCs/>
        </w:rPr>
        <w:t xml:space="preserve">pose RMSE carries no significant policy effect</w:t>
      </w:r>
      <w:r>
        <w:t xml:space="preserve">:</w:t>
      </w:r>
      <w:r>
        <w:t xml:space="preserve"> </w:t>
      </w:r>
      <w:r>
        <w:t xml:space="preserve">each robot’s absolute trajectory error is dominated by its own odometry drift,</w:t>
      </w:r>
      <w:r>
        <w:t xml:space="preserve"> </w:t>
      </w:r>
      <w:r>
        <w:t xml:space="preserve">which inter-robot scheduling cannot correct. The dramatic per-team-size reversals</w:t>
      </w:r>
      <w:r>
        <w:t xml:space="preserve"> </w:t>
      </w:r>
      <w:r>
        <w:t xml:space="preserve">reported from few-seed runs (the original H3 evidence) do not survive 30 seeds —</w:t>
      </w:r>
      <w:r>
        <w:t xml:space="preserve"> </w:t>
      </w:r>
      <w:r>
        <w:t xml:space="preserve">they were small-sample noise. Second,</w:t>
      </w:r>
      <w:r>
        <w:t xml:space="preserve"> </w:t>
      </w:r>
      <w:r>
        <w:rPr>
          <w:b/>
          <w:bCs/>
        </w:rPr>
        <w:t xml:space="preserve">map-alignment RMSE separates the policies</w:t>
      </w:r>
      <w:r>
        <w:rPr>
          <w:b/>
          <w:bCs/>
        </w:rPr>
        <w:t xml:space="preserve"> </w:t>
      </w:r>
      <w:r>
        <w:rPr>
          <w:b/>
          <w:bCs/>
        </w:rPr>
        <w:t xml:space="preserve">decisively</w:t>
      </w:r>
      <w:r>
        <w:t xml:space="preserve">: the BACS family lowers fusion inconsistency by 18–49% with large</w:t>
      </w:r>
      <w:r>
        <w:t xml:space="preserve"> </w:t>
      </w:r>
      <w:r>
        <w:t xml:space="preserve">effect sizes at small teams, and at N = 5 the observability term uniquely preserves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significant</w:t>
      </w:r>
      <w:r>
        <w:t xml:space="preserve"> </w:t>
      </w:r>
      <w:r>
        <w:t xml:space="preserve">advantage over FIFO (+28.7%, p = 7×10⁻⁴) where plain BACS becomes</w:t>
      </w:r>
      <w:r>
        <w:t xml:space="preserve"> </w:t>
      </w:r>
      <w:r>
        <w:t xml:space="preserve">marginal. The two BACS+ weight settings tested (w_o = 0.30/n_ref = 6 and</w:t>
      </w:r>
      <w:r>
        <w:t xml:space="preserve"> </w:t>
      </w:r>
      <w:r>
        <w:t xml:space="preserve">0.60/5) are statistically indistinguishable; we adopt 0.30/6, the S7-C-validated</w:t>
      </w:r>
      <w:r>
        <w:t xml:space="preserve"> </w:t>
      </w:r>
      <w:r>
        <w:t xml:space="preserve">setting.</w:t>
      </w:r>
    </w:p>
    <w:bookmarkEnd w:id="22"/>
    <w:bookmarkStart w:id="35" w:name="figures"/>
    <w:p>
      <w:pPr>
        <w:pStyle w:val="Heading3"/>
      </w:pPr>
      <w:r>
        <w:t xml:space="preserve">6.5 Figures</w:t>
      </w:r>
    </w:p>
    <w:p>
      <w:pPr>
        <w:pStyle w:val="CaptionedFigure"/>
      </w:pPr>
      <w:r>
        <w:drawing>
          <wp:inline>
            <wp:extent cx="4846320" cy="3017520"/>
            <wp:effectExtent b="0" l="0" r="0" t="0"/>
            <wp:docPr descr="Fig. 1. Incremental surrogate fidelity (S7-C): Spearman ρ between the transmitter-side surrogate and exact incremental information gain, base (Î) vs observability-augmented (Î⁺), by team size. Δρ &gt; 0 for all 40 runs." title="" id="24" name="Picture"/>
            <a:graphic>
              <a:graphicData uri="http://schemas.openxmlformats.org/drawingml/2006/picture">
                <pic:pic>
                  <pic:nvPicPr>
                    <pic:cNvPr descr="../paper_figures/fig_s7c_fidelity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Fig. 1.</w:t>
      </w:r>
      <w:r>
        <w:t xml:space="preserve"> </w:t>
      </w:r>
      <w:r>
        <w:t xml:space="preserve">Incremental surrogate fidelity (S7-C): Spearman ρ between the</w:t>
      </w:r>
      <w:r>
        <w:t xml:space="preserve"> </w:t>
      </w:r>
      <w:r>
        <w:t xml:space="preserve">transmitter-side surrogate and exact incremental information gain, base (Î) vs</w:t>
      </w:r>
      <w:r>
        <w:t xml:space="preserve"> </w:t>
      </w:r>
      <w:r>
        <w:t xml:space="preserve">observability-augmented (Î⁺), by team size. Δρ &gt; 0 for all 40 runs.</w:t>
      </w:r>
    </w:p>
    <w:p>
      <w:pPr>
        <w:pStyle w:val="CaptionedFigure"/>
      </w:pPr>
      <w:r>
        <w:drawing>
          <wp:inline>
            <wp:extent cx="5334000" cy="2094523"/>
            <wp:effectExtent b="0" l="0" r="0" t="0"/>
            <wp:docPr descr="Fig. 2. S8 on 30 held-out seeds. Left (primary): map-alignment RMSE with 95% CI; ∗ marks BACS+ significantly below FIFO. Right (secondary): per-step pose RMSE, no significant policy effect." title="" id="27" name="Picture"/>
            <a:graphic>
              <a:graphicData uri="http://schemas.openxmlformats.org/drawingml/2006/picture">
                <pic:pic>
                  <pic:nvPicPr>
                    <pic:cNvPr descr="../paper_figures/fig_s8_alignment_vs_pos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4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Fig. 2.</w:t>
      </w:r>
      <w:r>
        <w:t xml:space="preserve"> </w:t>
      </w:r>
      <w:r>
        <w:t xml:space="preserve">S8 on 30 held-out seeds. Left (primary): map-alignment RMSE with</w:t>
      </w:r>
      <w:r>
        <w:t xml:space="preserve"> </w:t>
      </w:r>
      <w:r>
        <w:t xml:space="preserve">95% CI; ∗ marks BACS+ significantly below FIFO. Right (secondary): per-step pose</w:t>
      </w:r>
      <w:r>
        <w:t xml:space="preserve"> </w:t>
      </w:r>
      <w:r>
        <w:t xml:space="preserve">RMSE, no significant policy effect.</w:t>
      </w:r>
    </w:p>
    <w:p>
      <w:pPr>
        <w:pStyle w:val="CaptionedFigure"/>
      </w:pPr>
      <w:r>
        <w:drawing>
          <wp:inline>
            <wp:extent cx="5334000" cy="3060491"/>
            <wp:effectExtent b="0" l="0" r="0" t="0"/>
            <wp:docPr descr="Fig. 3. S9 decay-coefficient rules. The deferral-derived γ recovers the tuned optimum (dashed) while the drift derivation of Eq. (16) is falsified." title="" id="30" name="Picture"/>
            <a:graphic>
              <a:graphicData uri="http://schemas.openxmlformats.org/drawingml/2006/picture">
                <pic:pic>
                  <pic:nvPicPr>
                    <pic:cNvPr descr="../paper_figures/fig_s9_gamma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0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Fig. 3.</w:t>
      </w:r>
      <w:r>
        <w:t xml:space="preserve"> </w:t>
      </w:r>
      <w:r>
        <w:t xml:space="preserve">S9 decay-coefficient rules. The deferral-derived γ recovers the</w:t>
      </w:r>
      <w:r>
        <w:t xml:space="preserve"> </w:t>
      </w:r>
      <w:r>
        <w:t xml:space="preserve">tuned optimum (dashed) while the drift derivation of Eq. (16) is</w:t>
      </w:r>
      <w:r>
        <w:t xml:space="preserve"> </w:t>
      </w:r>
      <w:r>
        <w:t xml:space="preserve">falsified.</w:t>
      </w:r>
    </w:p>
    <w:p>
      <w:pPr>
        <w:pStyle w:val="CaptionedFigure"/>
      </w:pPr>
      <w:r>
        <w:drawing>
          <wp:inline>
            <wp:extent cx="5334000" cy="2719186"/>
            <wp:effectExtent b="0" l="0" r="0" t="0"/>
            <wp:docPr descr="Fig. 4. Methodological progression EMRMF-original → BACS+ on both pose and map-alignment RMSE." title="" id="33" name="Picture"/>
            <a:graphic>
              <a:graphicData uri="http://schemas.openxmlformats.org/drawingml/2006/picture">
                <pic:pic>
                  <pic:nvPicPr>
                    <pic:cNvPr descr="../paper_figures/fig_progressi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9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Fig. 4.</w:t>
      </w:r>
      <w:r>
        <w:t xml:space="preserve"> </w:t>
      </w:r>
      <w:r>
        <w:t xml:space="preserve">Methodological progression EMRMF-original → BACS+ on both pose and</w:t>
      </w:r>
      <w:r>
        <w:t xml:space="preserve"> </w:t>
      </w:r>
      <w:r>
        <w:t xml:space="preserve">map-alignment RMSE.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discussion-and-threats-to-validity"/>
    <w:p>
      <w:pPr>
        <w:pStyle w:val="Heading2"/>
      </w:pPr>
      <w:r>
        <w:t xml:space="preserve">7. Discussion and Threats to Validity</w:t>
      </w:r>
    </w:p>
    <w:p>
      <w:pPr>
        <w:pStyle w:val="FirstParagraph"/>
      </w:pPr>
      <w:r>
        <w:rPr>
          <w:b/>
          <w:bCs/>
        </w:rPr>
        <w:t xml:space="preserve">Information-optimal ≠ RMSE-optimal, but = alignment-optimal.</w:t>
      </w:r>
      <w:r>
        <w:t xml:space="preserve"> </w:t>
      </w:r>
      <w:r>
        <w:t xml:space="preserve">The central</w:t>
      </w:r>
      <w:r>
        <w:t xml:space="preserve"> </w:t>
      </w:r>
      <w:r>
        <w:t xml:space="preserve">lesson is that better information-ranking (S7-C) does not translate into lower</w:t>
      </w:r>
      <w:r>
        <w:t xml:space="preserve"> </w:t>
      </w:r>
      <w:r>
        <w:t xml:space="preserve">per-step pose RMSE, because RMSE is odometry-bound; it translates into lower</w:t>
      </w:r>
      <w:r>
        <w:t xml:space="preserve"> </w:t>
      </w:r>
      <w:r>
        <w:t xml:space="preserve">map-alignment error, which is precisely what inter-robot constraints govern. A</w:t>
      </w:r>
      <w:r>
        <w:t xml:space="preserve"> </w:t>
      </w:r>
      <w:r>
        <w:t xml:space="preserve">scheduler for</w:t>
      </w:r>
      <w:r>
        <w:t xml:space="preserve"> </w:t>
      </w:r>
      <w:r>
        <w:rPr>
          <w:i/>
          <w:iCs/>
        </w:rPr>
        <w:t xml:space="preserve">trajectory</w:t>
      </w:r>
      <w:r>
        <w:t xml:space="preserve"> </w:t>
      </w:r>
      <w:r>
        <w:t xml:space="preserve">accuracy would need a term tied to each robot’s own</w:t>
      </w:r>
      <w:r>
        <w:t xml:space="preserve"> </w:t>
      </w:r>
      <w:r>
        <w:t xml:space="preserve">estimation geometry, not only to inter-robot information.</w:t>
      </w:r>
    </w:p>
    <w:p>
      <w:pPr>
        <w:pStyle w:val="BodyText"/>
      </w:pPr>
      <w:r>
        <w:rPr>
          <w:b/>
          <w:bCs/>
        </w:rPr>
        <w:t xml:space="preserve">Scope of the observability claim.</w:t>
      </w:r>
      <w:r>
        <w:t xml:space="preserve"> </w:t>
      </w:r>
      <w:r>
        <w:t xml:space="preserve">BACS+ is justified by a robust, unanimous</w:t>
      </w:r>
      <w:r>
        <w:t xml:space="preserve"> </w:t>
      </w:r>
      <w:r>
        <w:t xml:space="preserve">improvement in surrogate fidelity (S7-C) and by a uniquely significant N = 5</w:t>
      </w:r>
      <w:r>
        <w:t xml:space="preserve"> </w:t>
      </w:r>
      <w:r>
        <w:t xml:space="preserve">alignment advantage; 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claimed to beat plain BACS in a direct paired</w:t>
      </w:r>
      <w:r>
        <w:t xml:space="preserve"> </w:t>
      </w:r>
      <w:r>
        <w:t xml:space="preserve">alignment test (differences there are not significant at 30 seeds). We state this</w:t>
      </w:r>
      <w:r>
        <w:t xml:space="preserve"> </w:t>
      </w:r>
      <w:r>
        <w:t xml:space="preserve">plainly.</w:t>
      </w:r>
    </w:p>
    <w:p>
      <w:pPr>
        <w:pStyle w:val="BodyText"/>
      </w:pPr>
      <w:r>
        <w:rPr>
          <w:b/>
          <w:bCs/>
        </w:rPr>
        <w:t xml:space="preserve">Overfitting.</w:t>
      </w:r>
      <w:r>
        <w:t xml:space="preserve"> </w:t>
      </w:r>
      <w:r>
        <w:t xml:space="preserve">The observability weights were screened on the same synthetic</w:t>
      </w:r>
      <w:r>
        <w:t xml:space="preserve"> </w:t>
      </w:r>
      <w:r>
        <w:t xml:space="preserve">world used for evaluation; the S7-C validation mitigates this by showing the term</w:t>
      </w:r>
      <w:r>
        <w:t xml:space="preserve"> </w:t>
      </w:r>
      <w:r>
        <w:t xml:space="preserve">tracks exact information rather than a generator artifact, but hardware validation</w:t>
      </w:r>
      <w:r>
        <w:t xml:space="preserve"> </w:t>
      </w:r>
      <w:r>
        <w:t xml:space="preserve">(Section 8) remains necessary.</w:t>
      </w:r>
    </w:p>
    <w:p>
      <w:pPr>
        <w:pStyle w:val="BodyText"/>
      </w:pPr>
      <w:r>
        <w:rPr>
          <w:b/>
          <w:bCs/>
        </w:rPr>
        <w:t xml:space="preserve">Simulation fidelity.</w:t>
      </w:r>
      <w:r>
        <w:t xml:space="preserve"> </w:t>
      </w:r>
      <w:r>
        <w:t xml:space="preserve">The pose-graph back-end stands in for g2o/GTSAM; the LoRa</w:t>
      </w:r>
      <w:r>
        <w:t xml:space="preserve"> </w:t>
      </w:r>
      <w:r>
        <w:t xml:space="preserve">model is closed-form.</w:t>
      </w:r>
      <w:r>
        <w:t xml:space="preserve"> </w:t>
      </w:r>
      <w:r>
        <w:rPr>
          <w:rStyle w:val="VerbatimChar"/>
        </w:rPr>
        <w:t xml:space="preserve">bacs_sim/model.py</w:t>
      </w:r>
      <w:r>
        <w:t xml:space="preserve"> </w:t>
      </w:r>
      <w:r>
        <w:t xml:space="preserve">is a separate communication-layer</w:t>
      </w:r>
      <w:r>
        <w:t xml:space="preserve"> </w:t>
      </w:r>
      <w:r>
        <w:t xml:space="preserve">reference and is not on the path that produces any reported metric.</w:t>
      </w:r>
    </w:p>
    <w:p>
      <w:r>
        <w:pict>
          <v:rect style="width:0;height:1.5pt" o:hralign="center" o:hrstd="t" o:hr="t"/>
        </w:pict>
      </w:r>
    </w:p>
    <w:bookmarkEnd w:id="37"/>
    <w:bookmarkStart w:id="38" w:name="conclusion-and-future-work"/>
    <w:p>
      <w:pPr>
        <w:pStyle w:val="Heading2"/>
      </w:pPr>
      <w:r>
        <w:t xml:space="preserve">8. Conclusion and Future Work</w:t>
      </w:r>
    </w:p>
    <w:p>
      <w:pPr>
        <w:pStyle w:val="FirstParagraph"/>
      </w:pPr>
      <w:r>
        <w:t xml:space="preserve">Under duty-cycle regulation, the decision that governs collaborative map quality is</w:t>
      </w:r>
      <w:r>
        <w:t xml:space="preserve"> </w:t>
      </w:r>
      <w:r>
        <w:t xml:space="preserve">which constraints to transmit, not how to weight them on arrival. BACS moves that</w:t>
      </w:r>
      <w:r>
        <w:t xml:space="preserve"> </w:t>
      </w:r>
      <w:r>
        <w:t xml:space="preserve">decision to the transmitter; observability-aware BACS corrects the information</w:t>
      </w:r>
      <w:r>
        <w:t xml:space="preserve"> </w:t>
      </w:r>
      <w:r>
        <w:t xml:space="preserve">objective so it accounts for pairwise graph structure. We report a corrected decay</w:t>
      </w:r>
      <w:r>
        <w:t xml:space="preserve"> </w:t>
      </w:r>
      <w:r>
        <w:t xml:space="preserve">calibration that recovers the optimum from first principles, a corrected surrogate</w:t>
      </w:r>
      <w:r>
        <w:t xml:space="preserve"> </w:t>
      </w:r>
      <w:r>
        <w:t xml:space="preserve">validation showing the observability term improves fidelity to exact information</w:t>
      </w:r>
      <w:r>
        <w:t xml:space="preserve"> </w:t>
      </w:r>
      <w:r>
        <w:t xml:space="preserve">for every held-out run, and an end-to-end study showing the benefit is a large,</w:t>
      </w:r>
      <w:r>
        <w:t xml:space="preserve"> </w:t>
      </w:r>
      <w:r>
        <w:t xml:space="preserve">significant reduction in map-alignment error rather than in odometry-bound pose</w:t>
      </w:r>
      <w:r>
        <w:t xml:space="preserve"> </w:t>
      </w:r>
      <w:r>
        <w:t xml:space="preserve">RMSE. A reference ROS 2 node (</w:t>
      </w:r>
      <w:r>
        <w:rPr>
          <w:rStyle w:val="VerbatimChar"/>
        </w:rPr>
        <w:t xml:space="preserve">ros2_ws/src/bacs_scheduler</w:t>
      </w:r>
      <w:r>
        <w:t xml:space="preserve">) wraps the identical</w:t>
      </w:r>
      <w:r>
        <w:t xml:space="preserve"> </w:t>
      </w:r>
      <w:r>
        <w:t xml:space="preserve">decision functions for deployment; the hardware protocol in</w:t>
      </w:r>
      <w:r>
        <w:t xml:space="preserve"> </w:t>
      </w:r>
      <w:r>
        <w:rPr>
          <w:rStyle w:val="VerbatimChar"/>
        </w:rPr>
        <w:t xml:space="preserve">hardware/</w:t>
      </w:r>
      <w:r>
        <w:t xml:space="preserve"> </w:t>
      </w:r>
      <w:r>
        <w:t xml:space="preserve">specifies</w:t>
      </w:r>
      <w:r>
        <w:t xml:space="preserve"> </w:t>
      </w:r>
      <w:r>
        <w:t xml:space="preserve">the physical validation — a motion-capture-referenced, ≥ 20-session comparison over</w:t>
      </w:r>
      <w:r>
        <w:t xml:space="preserve"> </w:t>
      </w:r>
      <w:r>
        <w:t xml:space="preserve">a real RYLR998 link — that would confirm these findings outside simulation.</w:t>
      </w:r>
    </w:p>
    <w:p>
      <w:r>
        <w:pict>
          <v:rect style="width:0;height:1.5pt" o:hralign="center" o:hrstd="t" o:hr="t"/>
        </w:pict>
      </w:r>
    </w:p>
    <w:bookmarkEnd w:id="38"/>
    <w:bookmarkStart w:id="39" w:name="reproducibility"/>
    <w:p>
      <w:pPr>
        <w:pStyle w:val="Heading2"/>
      </w:pPr>
      <w:r>
        <w:t xml:space="preserve">Reproducibility</w:t>
      </w:r>
    </w:p>
    <w:p>
      <w:pPr>
        <w:pStyle w:val="FirstParagraph"/>
      </w:pPr>
      <w:r>
        <w:t xml:space="preserve">All results derive from the</w:t>
      </w:r>
      <w:r>
        <w:t xml:space="preserve"> </w:t>
      </w:r>
      <w:r>
        <w:rPr>
          <w:rStyle w:val="VerbatimChar"/>
        </w:rPr>
        <w:t xml:space="preserve">bacs_sim</w:t>
      </w:r>
      <w:r>
        <w:t xml:space="preserve"> </w:t>
      </w:r>
      <w:r>
        <w:t xml:space="preserve">package and the frozen CSVs in</w:t>
      </w:r>
      <w:r>
        <w:t xml:space="preserve"> </w:t>
      </w:r>
      <w:r>
        <w:rPr>
          <w:rStyle w:val="VerbatimChar"/>
        </w:rPr>
        <w:t xml:space="preserve">paper_results/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Progression (Table 1, Fig. 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experiments.progression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progression.csv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γ rules (Table 2, Fig. 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experiments.s9_deferral_gamma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s9_deferral_gamma.csv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Surrogate fidelity (Table 3, Fig. 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experiments.s7c_paired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s7c_paired.csv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 alignment/pose (Tables 4–5, Fig. 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scripts/run_s8_30seed.py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s8_30seed_{raw,summary,tests}.csv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scripts/make_figures.py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paper_figures/*.png</w:t>
            </w:r>
          </w:p>
        </w:tc>
      </w:tr>
    </w:tbl>
    <w:p>
      <w:pPr>
        <w:pStyle w:val="BodyText"/>
      </w:pPr>
      <w:r>
        <w:t xml:space="preserve">Pre-registered hypotheses and their outcomes are stated in Section 5; the two</w:t>
      </w:r>
      <w:r>
        <w:t xml:space="preserve"> </w:t>
      </w:r>
      <w:r>
        <w:t xml:space="preserve">falsified hypotheses (H1, H3) are retained deliberately.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2026-07-25T11:34:48Z</dcterms:created>
  <dcterms:modified xsi:type="dcterms:W3CDTF">2026-07-25T11:34:48Z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