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Год рабочих профессий</w:t>
        <w:br w:type="textWrapping"/>
        <w:br w:type="textWrapping"/>
      </w:r>
      <w:r w:rsidDel="00000000" w:rsidR="00000000" w:rsidRPr="00000000">
        <w:rPr>
          <w:rtl w:val="0"/>
        </w:rPr>
        <w:t xml:space="preserve">Мы разработали визуальные и коммуникационные материалы для проекта «Год рабочих профессий». Подготовили макеты для соцсетей, наружной рекламы и официальных носителей. Проект направлен на повышение престижа рабочих специальностей и уважения к труду.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Казахстан Регби </w:t>
      </w:r>
      <w:r w:rsidDel="00000000" w:rsidR="00000000" w:rsidRPr="00000000">
        <w:rPr>
          <w:rtl w:val="0"/>
        </w:rPr>
        <w:br w:type="textWrapping"/>
        <w:br w:type="textWrapping"/>
        <w:t xml:space="preserve">Мы провели полный ребрендинг национальной федерации: новый логотип, фирменные цвета и айдентика для формы, мерча и медиа. Федерация получила современный образ, адаптированный под международные площадки.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Область Жетысу  </w:t>
      </w:r>
      <w:r w:rsidDel="00000000" w:rsidR="00000000" w:rsidRPr="00000000">
        <w:rPr>
          <w:rtl w:val="0"/>
        </w:rPr>
        <w:br w:type="textWrapping"/>
        <w:br w:type="textWrapping"/>
        <w:t xml:space="preserve">Мы создали фирменный стиль региона: логотип, паттерны и фирменную палитру. Новый визуальный язык сделал Жетысу узнаваемым брендом, основанным на природе и культуре Семиречья!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Закон и Порядок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разработали визуальную коммуникацию для проекта, направленного на формирование культуры правосознания и укрепление гражданской ответственности. Подготовили серию образовательных материалов, инфографику и медиа-контент, которые объясняют важные правовые нормы простым и понятным языком. Проект способствует повышению доверия к государственным институтам и формирует уважение к закону.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