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20, 2026</w:t>
      </w:r>
      <w:r w:rsidDel="00000000" w:rsidR="00000000" w:rsidRPr="00000000">
        <w:rPr>
          <w:rtl w:val="0"/>
        </w:rPr>
      </w:r>
    </w:p>
    <w:p w:rsidR="00000000" w:rsidDel="00000000" w:rsidP="00000000" w:rsidRDefault="00000000" w:rsidRPr="00000000" w14:paraId="00000002">
      <w:pPr>
        <w:pStyle w:val="Heading2"/>
        <w:rPr/>
      </w:pPr>
      <w:bookmarkStart w:colFirst="0" w:colLast="0" w:name="_rvxwa4cb1hjl" w:id="0"/>
      <w:bookmarkEnd w:id="0"/>
      <w:r w:rsidDel="00000000" w:rsidR="00000000" w:rsidRPr="00000000">
        <w:rPr>
          <w:rtl w:val="0"/>
        </w:rPr>
        <w:t xml:space="preserve">TMClient Config_Navigation_UXTesting </w:t>
      </w:r>
    </w:p>
    <w:p w:rsidR="00000000" w:rsidDel="00000000" w:rsidP="00000000" w:rsidRDefault="00000000" w:rsidRPr="00000000" w14:paraId="00000003">
      <w:pPr>
        <w:rPr>
          <w:strike w:val="1"/>
        </w:rPr>
      </w:pPr>
      <w:r w:rsidDel="00000000" w:rsidR="00000000" w:rsidRPr="00000000">
        <w:rPr>
          <w:rtl w:val="0"/>
        </w:rPr>
        <w:t xml:space="preserve">Invited </w:t>
      </w:r>
      <w:hyperlink r:id="rId6">
        <w:r w:rsidDel="00000000" w:rsidR="00000000" w:rsidRPr="00000000">
          <w:rPr>
            <w:color w:val="0000ee"/>
            <w:u w:val="single"/>
            <w:rtl w:val="0"/>
          </w:rPr>
          <w:t xml:space="preserve">Jonas Bernien</w:t>
        </w:r>
      </w:hyperlink>
      <w:r w:rsidDel="00000000" w:rsidR="00000000" w:rsidRPr="00000000">
        <w:rPr>
          <w:rtl w:val="0"/>
        </w:rPr>
        <w:t xml:space="preserve"> </w:t>
      </w:r>
      <w:hyperlink r:id="rId7">
        <w:r w:rsidDel="00000000" w:rsidR="00000000" w:rsidRPr="00000000">
          <w:rPr>
            <w:color w:val="0000ee"/>
            <w:u w:val="single"/>
            <w:rtl w:val="0"/>
          </w:rPr>
          <w:t xml:space="preserve">Mahalakshmi Ravikumar</w:t>
        </w:r>
      </w:hyperlink>
      <w:r w:rsidDel="00000000" w:rsidR="00000000" w:rsidRPr="00000000">
        <w:rPr>
          <w:rtl w:val="0"/>
        </w:rPr>
        <w:t xml:space="preserve"> </w:t>
      </w:r>
      <w:hyperlink r:id="rId8">
        <w:r w:rsidDel="00000000" w:rsidR="00000000" w:rsidRPr="00000000">
          <w:rPr>
            <w:strike w:val="1"/>
            <w:color w:val="0000ee"/>
            <w:u w:val="single"/>
            <w:rtl w:val="0"/>
          </w:rPr>
          <w:t xml:space="preserve">Ravi Teja Avvari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TMClient Config_Navigation_UXTesting </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w:t>
      </w:r>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lhyxtesvy48"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Meeting discussion focused on refining configuration architecture, prioritizing telemetry event types, and optimizing user interface display logic.</w:t>
        <w:br w:type="textWrapping"/>
        <w:br w:type="textWrapping"/>
      </w:r>
      <w:r w:rsidDel="00000000" w:rsidR="00000000" w:rsidRPr="00000000">
        <w:rPr>
          <w:b w:val="1"/>
          <w:bCs w:val="1"/>
          <w:rtl w:val="0"/>
        </w:rPr>
        <w:t xml:space="preserve">Configuration and Navigation Logic</w:t>
      </w:r>
      <w:r w:rsidDel="00000000" w:rsidR="00000000" w:rsidRPr="00000000">
        <w:rPr>
          <w:rtl w:val="0"/>
        </w:rPr>
        <w:br w:type="textWrapping"/>
        <w:t xml:space="preserve">Participants aligned on consolidating settings within privacy and capture rules. The team decided that SAP-specific UI attributes should only display when the SAP scope is active.</w:t>
        <w:br w:type="textWrapping"/>
        <w:br w:type="textWrapping"/>
      </w:r>
      <w:r w:rsidDel="00000000" w:rsidR="00000000" w:rsidRPr="00000000">
        <w:rPr>
          <w:b w:val="1"/>
          <w:bCs w:val="1"/>
          <w:rtl w:val="0"/>
        </w:rPr>
        <w:t xml:space="preserve">Prioritizing Telemetry Event Types</w:t>
      </w:r>
      <w:r w:rsidDel="00000000" w:rsidR="00000000" w:rsidRPr="00000000">
        <w:rPr>
          <w:rtl w:val="0"/>
        </w:rPr>
        <w:br w:type="textWrapping"/>
        <w:t xml:space="preserve">Event categories were ranked by analytical value, classifying interaction and identity events as high priority. Scroll and technical attributes were demoted to lower importance.</w:t>
        <w:br w:type="textWrapping"/>
        <w:br w:type="textWrapping"/>
      </w:r>
      <w:r w:rsidDel="00000000" w:rsidR="00000000" w:rsidRPr="00000000">
        <w:rPr>
          <w:b w:val="1"/>
          <w:bCs w:val="1"/>
          <w:rtl w:val="0"/>
        </w:rPr>
        <w:t xml:space="preserve">System Access and Monitoring</w:t>
      </w:r>
      <w:r w:rsidDel="00000000" w:rsidR="00000000" w:rsidRPr="00000000">
        <w:rPr>
          <w:rtl w:val="0"/>
        </w:rPr>
        <w:br w:type="textWrapping"/>
        <w:t xml:space="preserve">The team agreed that live monitoring features require administrator-level access controls. They also evaluated the situational sensitivity of clipboard and session lifecycle logging.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b04w3z71se34"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c8efcd" w:val="clear"/>
        </w:rPr>
      </w:pPr>
      <w:bookmarkStart w:colFirst="0" w:colLast="0" w:name="_7kl4a5pj4v1y" w:id="3"/>
      <w:bookmarkEnd w:id="3"/>
      <w:r w:rsidDel="00000000" w:rsidR="00000000" w:rsidRPr="00000000">
        <w:rPr>
          <w:b w:val="0"/>
          <w:bCs w:val="0"/>
          <w:shd w:fill="c8efcd" w:val="clear"/>
          <w:rtl w:val="0"/>
        </w:rPr>
        <w:t xml:space="preserve">Aligned</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SAP configuration moved to scope</w:t>
      </w:r>
      <w:r w:rsidDel="00000000" w:rsidR="00000000" w:rsidRPr="00000000">
        <w:rPr>
          <w:rtl w:val="0"/>
        </w:rPr>
        <w:t xml:space="preserve"> The SAP configuration and associated attributes will be moved into the scope settings, ensuring they are displayed only when the SAP option is enabled.</w:t>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1">
        <w:r w:rsidDel="00000000" w:rsidR="00000000" w:rsidRPr="00000000">
          <w:rPr>
            <w:color w:val="1155cc"/>
            <w:u w:val="single"/>
            <w:rtl w:val="0"/>
          </w:rPr>
          <w:t xml:space="preserve">Helpful</w:t>
        </w:r>
      </w:hyperlink>
      <w:r w:rsidDel="00000000" w:rsidR="00000000" w:rsidRPr="00000000">
        <w:rPr>
          <w:rtl w:val="0"/>
        </w:rPr>
        <w:t xml:space="preserve"> or </w:t>
      </w:r>
      <w:hyperlink r:id="rId12">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color w:val="303030"/>
        </w:rPr>
      </w:pPr>
      <w:bookmarkStart w:colFirst="0" w:colLast="0" w:name="_vi187oempeqn"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5">
      <w:pPr>
        <w:numPr>
          <w:ilvl w:val="0"/>
          <w:numId w:val="3"/>
        </w:numPr>
        <w:spacing w:after="80" w:lineRule="auto"/>
        <w:ind w:left="720" w:hanging="360"/>
      </w:pPr>
      <w:r w:rsidDel="00000000" w:rsidR="00000000" w:rsidRPr="00000000">
        <w:rPr>
          <w:rtl w:val="0"/>
        </w:rPr>
        <w:t xml:space="preserve">[Mahalakshmi Ravikumar] Rethink Extraction Logic: Evaluate the integration of web page extraction configurations into the main capture rules.</w:t>
      </w:r>
    </w:p>
    <w:p w:rsidR="00000000" w:rsidDel="00000000" w:rsidP="00000000" w:rsidRDefault="00000000" w:rsidRPr="00000000" w14:paraId="00000016">
      <w:pPr>
        <w:numPr>
          <w:ilvl w:val="0"/>
          <w:numId w:val="3"/>
        </w:numPr>
        <w:spacing w:after="80" w:lineRule="auto"/>
        <w:ind w:left="720" w:hanging="360"/>
      </w:pPr>
      <w:r w:rsidDel="00000000" w:rsidR="00000000" w:rsidRPr="00000000">
        <w:rPr>
          <w:rtl w:val="0"/>
        </w:rPr>
        <w:t xml:space="preserve">[Mahalakshmi Ravikumar] Present Final Designs: Review the finalized design iterations with Yonas after they are completed.</w:t>
      </w:r>
    </w:p>
    <w:p w:rsidR="00000000" w:rsidDel="00000000" w:rsidP="00000000" w:rsidRDefault="00000000" w:rsidRPr="00000000" w14:paraId="00000017">
      <w:pPr>
        <w:numPr>
          <w:ilvl w:val="0"/>
          <w:numId w:val="3"/>
        </w:numPr>
        <w:spacing w:after="80" w:lineRule="auto"/>
        <w:ind w:left="720" w:hanging="360"/>
      </w:pPr>
      <w:r w:rsidDel="00000000" w:rsidR="00000000" w:rsidRPr="00000000">
        <w:rPr>
          <w:rtl w:val="0"/>
        </w:rPr>
        <w:t xml:space="preserve">[The group] Refine Admin Controls: Define criteria for administrative roles and establish access permissions for the live event monitor feature.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spacing w:after="160" w:lineRule="auto"/>
        <w:jc w:val="left"/>
        <w:rPr/>
      </w:pPr>
      <w:bookmarkStart w:colFirst="0" w:colLast="0" w:name="_hd48edfrrnhd"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UI Navigation and Data Redaction</w:t>
      </w:r>
      <w:r w:rsidDel="00000000" w:rsidR="00000000" w:rsidRPr="00000000">
        <w:rPr>
          <w:rtl w:val="0"/>
        </w:rPr>
        <w:t xml:space="preserve">: Mahalakshmi Ravikumar initiated a review of the navigation flow for data redaction. Jonas Bernien identified that to redact credit card numbers and avoid storing them in captured data, they would navigate to the "Privacy and consent" section and utilize the "Data reduction" feature.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Capture Rules and Field Control</w:t>
      </w:r>
      <w:r w:rsidDel="00000000" w:rsidR="00000000" w:rsidRPr="00000000">
        <w:rPr>
          <w:rtl w:val="0"/>
        </w:rPr>
        <w:t xml:space="preserve">: Regarding the configuration of recorded data fields, Jonas Bernien suggested that users would navigate to "Capture rules" to define which applications or URLs are targeted for capture.</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Understanding Capture Levels</w:t>
      </w:r>
      <w:r w:rsidDel="00000000" w:rsidR="00000000" w:rsidRPr="00000000">
        <w:rPr>
          <w:rtl w:val="0"/>
        </w:rPr>
        <w:t xml:space="preserve">: While reviewing "Capture level" settings—specifically "Full," "Usage only," and "Deny"—Jonas Bernien expressed uncertainty regarding the functional difference between "Full" and "Usage only" capture modes. Mahalakshmi Ravikumar clarified that "Deny" is not currently an active blocking feature but rather a non-interactable placeholder, and they discussed the user's intent to configure specific attributes.</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Configuring Attributes and Privacy Settings</w:t>
      </w:r>
      <w:r w:rsidDel="00000000" w:rsidR="00000000" w:rsidRPr="00000000">
        <w:rPr>
          <w:rtl w:val="0"/>
        </w:rPr>
        <w:t xml:space="preserve">: Jonas Bernien confirmed that to anonymize usernames, they would access "Privacy and consent" to apply hashing or data reduction techniques. Additionally, they identified that disabling screenshots would also be managed through the "Capture rules" configuration.</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Client Startup and SAP Configuration</w:t>
      </w:r>
      <w:r w:rsidDel="00000000" w:rsidR="00000000" w:rsidRPr="00000000">
        <w:rPr>
          <w:rtl w:val="0"/>
        </w:rPr>
        <w:t xml:space="preserve">: For configuring automatic client startup, Jonas Bernien noted this would be handled under client behavior or startup mode settings. When discussing SAP transaction data, they identified that SAP should be configured as an application within "Capture rules," acknowledging that while they have activated SAP configurations previously, it often requires the customer to install specific scripts on their side.</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Web Extensions and SAP Field Display Logic</w:t>
      </w:r>
      <w:r w:rsidDel="00000000" w:rsidR="00000000" w:rsidRPr="00000000">
        <w:rPr>
          <w:rtl w:val="0"/>
        </w:rPr>
        <w:t xml:space="preserve">: Jonas Bernien noted that web extensions and extractions are managed under the "Integrations and extensions" section. Mahalakshmi Ravikumar raised the concern of displaying 10 to 15 SAP-related fields to customers who do not use SAP. Jonas Bernien suggested that to improve the user experience, the UI should only display SAP-specific attributes if SAP is enabled within the scope, rather than showing them by default.</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Consolidating Capture and Data Connection Settings</w:t>
      </w:r>
      <w:r w:rsidDel="00000000" w:rsidR="00000000" w:rsidRPr="00000000">
        <w:rPr>
          <w:rtl w:val="0"/>
        </w:rPr>
        <w:t xml:space="preserve">: In summarizing the configuration architecture, Jonas Bernien recommended grouping "Client behavior" with "Data connection" settings, as the latter pertains to how information is transmitted to the platform. They reiterated that "Capture rules" remains the primary location for defining applications and URLs.</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Integration of Web Page Extractions</w:t>
      </w:r>
      <w:r w:rsidDel="00000000" w:rsidR="00000000" w:rsidRPr="00000000">
        <w:rPr>
          <w:rtl w:val="0"/>
        </w:rPr>
        <w:t xml:space="preserve">: Jonas Bernien suggested that "Web page extractions" should be integrated into "Capture rules" rather than remaining a separate, independent configuration. They argued that because both involve conditional logic based on URLs, treating them similarly would be more intuitive for the user, though Mahalakshmi Ravikumar noted that the current system architecture treats them as independent processes.</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Live Event Monitor and Access Control</w:t>
      </w:r>
      <w:r w:rsidDel="00000000" w:rsidR="00000000" w:rsidRPr="00000000">
        <w:rPr>
          <w:rtl w:val="0"/>
        </w:rPr>
        <w:t xml:space="preserve">: Mahalakshmi Ravikumar and Jonas Bernien discussed the "Live Event Monitor" for real-time validation. Jonas Bernien suggested this would likely fall under client behavior. Regarding visibility, they agreed that providing this transparency to all users might be problematic and that the feature should be restricted, perhaps toggled by an administrator at the project or user level.</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Evaluation of Navigation and Interaction Events</w:t>
      </w:r>
      <w:r w:rsidDel="00000000" w:rsidR="00000000" w:rsidRPr="00000000">
        <w:rPr>
          <w:rtl w:val="0"/>
        </w:rPr>
        <w:t xml:space="preserve">: Mahalakshmi Ravikumar presented grouped event lists for feedback. Jonas Bernien categorized "Navigation" events, such as application window changes, as high priority for analysis. "Interaction" events, including keyboard and mouse clicks, were also rated as high priority due to their effectiveness when combined with UI automation data.</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Assessment of Clipboard and Scroll Events</w:t>
      </w:r>
      <w:r w:rsidDel="00000000" w:rsidR="00000000" w:rsidRPr="00000000">
        <w:rPr>
          <w:rtl w:val="0"/>
        </w:rPr>
        <w:t xml:space="preserve">: Regarding clipboard events, Jonas Bernien distinguished between sensitive content (e.g., clipboard content, entered text) and non-sensitive interactions (e.g., the act of copying or pasting). They noted that tracking the interaction itself is useful, while the content is sensitive, rendering the priority situational. "Scroll" events were rated as low priority for general analysis.</w:t>
      </w:r>
    </w:p>
    <w:p w:rsidR="00000000" w:rsidDel="00000000" w:rsidP="00000000" w:rsidRDefault="00000000" w:rsidRPr="00000000" w14:paraId="00000026">
      <w:pPr>
        <w:numPr>
          <w:ilvl w:val="0"/>
          <w:numId w:val="1"/>
        </w:numPr>
        <w:spacing w:after="160" w:lineRule="auto"/>
        <w:ind w:left="720" w:hanging="360"/>
        <w:jc w:val="left"/>
      </w:pPr>
      <w:r w:rsidDel="00000000" w:rsidR="00000000" w:rsidRPr="00000000">
        <w:rPr>
          <w:b w:val="1"/>
          <w:bCs w:val="1"/>
          <w:rtl w:val="0"/>
        </w:rPr>
        <w:t xml:space="preserve">Importance of Session Lifecycle and Identity Logs</w:t>
      </w:r>
      <w:r w:rsidDel="00000000" w:rsidR="00000000" w:rsidRPr="00000000">
        <w:rPr>
          <w:rtl w:val="0"/>
        </w:rPr>
        <w:t xml:space="preserve">: Jonas Bernien affirmed the importance of session lifecycle events for data transformation, ranking them as medium to high importance. For identity-related logs (system users, usernames), they agreed with the hypothesis that these are highly important, provided privacy measures like hashing are in place. Timestamps and application/window context were also deemed very important, while process IDs were considered less critical.</w:t>
      </w:r>
    </w:p>
    <w:p w:rsidR="00000000" w:rsidDel="00000000" w:rsidP="00000000" w:rsidRDefault="00000000" w:rsidRPr="00000000" w14:paraId="00000027">
      <w:pPr>
        <w:numPr>
          <w:ilvl w:val="0"/>
          <w:numId w:val="1"/>
        </w:numPr>
        <w:spacing w:after="160" w:lineRule="auto"/>
        <w:ind w:left="720" w:hanging="360"/>
        <w:jc w:val="left"/>
      </w:pPr>
      <w:r w:rsidDel="00000000" w:rsidR="00000000" w:rsidRPr="00000000">
        <w:rPr>
          <w:b w:val="1"/>
          <w:bCs w:val="1"/>
          <w:rtl w:val="0"/>
        </w:rPr>
        <w:t xml:space="preserve">Review of Content, DOM, and Technical Attributes</w:t>
      </w:r>
      <w:r w:rsidDel="00000000" w:rsidR="00000000" w:rsidRPr="00000000">
        <w:rPr>
          <w:rtl w:val="0"/>
        </w:rPr>
        <w:t xml:space="preserve">: Jonas Bernien noted that content input is privacy-sensitive but highly useful, while web page and DOM extractions (URLs, XPaths) are often essential. Technical attributes like screenshot dimensions were marked as low priority, while versioning information (extension/client version) was seen as beneficial for monitoring.</w:t>
      </w:r>
    </w:p>
    <w:p w:rsidR="00000000" w:rsidDel="00000000" w:rsidP="00000000" w:rsidRDefault="00000000" w:rsidRPr="00000000" w14:paraId="00000028">
      <w:pPr>
        <w:numPr>
          <w:ilvl w:val="0"/>
          <w:numId w:val="1"/>
        </w:numPr>
        <w:spacing w:after="160" w:lineRule="auto"/>
        <w:ind w:left="720" w:hanging="360"/>
        <w:jc w:val="left"/>
      </w:pPr>
      <w:r w:rsidDel="00000000" w:rsidR="00000000" w:rsidRPr="00000000">
        <w:rPr>
          <w:b w:val="1"/>
          <w:bCs w:val="1"/>
          <w:rtl w:val="0"/>
        </w:rPr>
        <w:t xml:space="preserve">Final Categorization of SAP and UI Fields</w:t>
      </w:r>
      <w:r w:rsidDel="00000000" w:rsidR="00000000" w:rsidRPr="00000000">
        <w:rPr>
          <w:rtl w:val="0"/>
        </w:rPr>
        <w:t xml:space="preserve">: Jonas Bernien classified SAP-related fields and UI fields (UIAA/elements) as situational, as their necessity depends on the specific customer use case. They confirmed these could be marked as situational to avoid unnecessary clutter.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747775"/>
        </w:rPr>
      </w:pPr>
      <w:r w:rsidDel="00000000" w:rsidR="00000000" w:rsidRPr="00000000">
        <w:rPr>
          <w:i w:val="1"/>
          <w:iCs w:val="1"/>
          <w:color w:val="747775"/>
          <w:rtl w:val="0"/>
        </w:rPr>
        <w:t xml:space="preserve">You should review Gemini's notes to make sure they're accurate. </w:t>
      </w:r>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C">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4">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5p6FWBVWvynleNU?isGoogler=no&amp;isHelpful=yes" TargetMode="External"/><Relationship Id="rId10" Type="http://schemas.openxmlformats.org/officeDocument/2006/relationships/hyperlink" Target="https://drive.google.com/file/d/1eY4yvixloTaeNv2kXDOPCYE71V7WfhBo/view?usp=drive_web"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google.qualtrics.com/jfe/form/SV_5p6FWBVWvynleNU?isGoogler=no&amp;isHelpful=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N25yaGIzbW9nc3FocHZnMDRnamgwdWExcmggbS5yYXZpa3VtYXJAY2Vsb25pcy5kZQ" TargetMode="External"/><Relationship Id="rId14" Type="http://schemas.openxmlformats.org/officeDocument/2006/relationships/hyperlink" Target="https://google.qualtrics.com/jfe/form/SV_9vK3UZEaIQKKE7A?confid=tkNw4fuk2fKXFdHhLDGsDxIROAIIigIgABgDCA&amp;detailid=standard&amp;screenshot=false" TargetMode="External"/><Relationship Id="rId5" Type="http://schemas.openxmlformats.org/officeDocument/2006/relationships/styles" Target="styles.xml"/><Relationship Id="rId6" Type="http://schemas.openxmlformats.org/officeDocument/2006/relationships/hyperlink" Target="mailto:j.bernien@celonis.de" TargetMode="External"/><Relationship Id="rId7" Type="http://schemas.openxmlformats.org/officeDocument/2006/relationships/hyperlink" Target="mailto:m.ravikumar@celonis.de" TargetMode="External"/><Relationship Id="rId8" Type="http://schemas.openxmlformats.org/officeDocument/2006/relationships/hyperlink" Target="mailto:r.avvari@celoni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