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pPr>
      <w:r>
        <w:rPr>
          <w:rFonts w:ascii="Arial" w:cs="Arial" w:eastAsia="Arial" w:hAnsi="Arial"/>
          <w:b/>
          <w:bCs/>
          <w:color w:val="1E293B"/>
          <w:sz w:val="34"/>
          <w:szCs w:val="34"/>
        </w:rPr>
        <w:t xml:space="preserve">Task Mining Client Configuration — Scope, Phasing &amp; Success Metrics</w:t>
      </w:r>
    </w:p>
    <w:p>
      <w:pPr>
        <w:spacing w:after="40"/>
      </w:pPr>
      <w:r>
        <w:rPr>
          <w:rFonts w:ascii="Arial" w:cs="Arial" w:eastAsia="Arial" w:hAnsi="Arial"/>
          <w:i/>
          <w:iCs/>
          <w:color w:val="64748B"/>
          <w:sz w:val="20"/>
          <w:szCs w:val="20"/>
        </w:rPr>
        <w:t xml:space="preserve">Draft for alignment — a Product Design strawman for PM / Engineering to confirm and own. Not final.</w:t>
      </w:r>
    </w:p>
    <w:p>
      <w:pPr>
        <w:spacing w:after="120"/>
      </w:pPr>
      <w:r>
        <w:rPr>
          <w:rFonts w:ascii="Arial" w:cs="Arial" w:eastAsia="Arial" w:hAnsi="Arial"/>
          <w:color w:val="64748B"/>
          <w:sz w:val="18"/>
          <w:szCs w:val="18"/>
        </w:rPr>
        <w:t xml:space="preserve">Prepared by Product Design  ·  21 Jul 2026</w:t>
      </w:r>
    </w:p>
    <w:p>
      <w:pPr>
        <w:pBdr>
          <w:bottom w:val="single" w:color="CBD5E1" w:sz="6" w:space="1"/>
        </w:pBdr>
        <w:spacing w:after="150"/>
      </w:pPr>
    </w:p>
    <w:p>
      <w:pPr>
        <w:spacing w:after="120" w:line="276"/>
      </w:pPr>
      <w:r>
        <w:rPr>
          <w:rFonts w:ascii="Arial" w:cs="Arial" w:eastAsia="Arial" w:hAnsi="Arial"/>
          <w:sz w:val="21"/>
          <w:szCs w:val="21"/>
        </w:rPr>
        <w:t xml:space="preserve">Purpose: this one-pager proposes how the Task Mining configuration redesign could be scoped into phases and how we would measure success — so design, product, and engineering are aiming at the same target. It is a starting point for discussion, meant to be corrected, not a final plan.</w:t>
      </w:r>
    </w:p>
    <w:p>
      <w:pPr>
        <w:spacing w:after="120" w:line="276"/>
      </w:pPr>
      <w:r>
        <w:rPr>
          <w:rFonts w:ascii="Arial" w:cs="Arial" w:eastAsia="Arial" w:hAnsi="Arial"/>
          <w:sz w:val="21"/>
          <w:szCs w:val="21"/>
        </w:rPr>
        <w:t xml:space="preserve">Problem it serves: research showed configuration is where Admins lose the most time and confidence — fragmented setup, ambiguous controls, and noisy capture. The redesign consolidates this into one guided structure built around capture levels. Success should therefore be measured against reduced friction, fewer errors, and more trustworthy data.</w:t>
      </w:r>
    </w:p>
    <w:p>
      <w:pPr>
        <w:pStyle w:val="Heading1"/>
        <w:spacing w:after="100" w:before="200"/>
      </w:pPr>
      <w:r>
        <w:rPr>
          <w:rFonts w:ascii="Arial" w:cs="Arial" w:eastAsia="Arial" w:hAnsi="Arial"/>
          <w:b/>
          <w:bCs/>
          <w:color w:val="1E293B"/>
          <w:sz w:val="26"/>
          <w:szCs w:val="26"/>
        </w:rPr>
        <w:t xml:space="preserve">Phasing</w:t>
      </w:r>
    </w:p>
    <w:p>
      <w:pPr>
        <w:spacing w:after="140" w:before="80"/>
        <w:jc w:val="center"/>
      </w:pPr>
      <w:r>
        <w:drawing>
          <wp:inline distT="0" distB="0" distL="0" distR="0">
            <wp:extent cx="5943600" cy="1857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43600" cy="1857375"/>
                    </a:xfrm>
                    <a:prstGeom prst="rect">
                      <a:avLst/>
                    </a:prstGeom>
                  </pic:spPr>
                </pic:pic>
              </a:graphicData>
            </a:graphic>
          </wp:inline>
        </w:drawing>
      </w:r>
    </w:p>
    <w:p>
      <w:pPr>
        <w:spacing w:after="120" w:line="276"/>
      </w:pPr>
      <w:r>
        <w:rPr>
          <w:rFonts w:ascii="Arial" w:cs="Arial" w:eastAsia="Arial" w:hAnsi="Arial"/>
          <w:i/>
          <w:iCs/>
          <w:color w:val="64748B"/>
          <w:sz w:val="21"/>
          <w:szCs w:val="21"/>
        </w:rPr>
        <w:t xml:space="preserve">Scope guardrail: the new configuration applies to new projects only — existing projects keep their current setup (no migration). Reuse across new projects is via duplicating rule sets.</w:t>
      </w:r>
    </w:p>
    <w:p>
      <w:pPr>
        <w:pStyle w:val="Heading1"/>
        <w:spacing w:after="100" w:before="200"/>
      </w:pPr>
      <w:r>
        <w:rPr>
          <w:rFonts w:ascii="Arial" w:cs="Arial" w:eastAsia="Arial" w:hAnsi="Arial"/>
          <w:b/>
          <w:bCs/>
          <w:color w:val="1E293B"/>
          <w:sz w:val="26"/>
          <w:szCs w:val="26"/>
        </w:rPr>
        <w:t xml:space="preserve">Success metrics (proposed)</w:t>
      </w:r>
    </w:p>
    <w:p>
      <w:pPr>
        <w:spacing w:after="120" w:line="276"/>
      </w:pPr>
      <w:r>
        <w:rPr>
          <w:rFonts w:ascii="Arial" w:cs="Arial" w:eastAsia="Arial" w:hAnsi="Arial"/>
          <w:sz w:val="21"/>
          <w:szCs w:val="21"/>
        </w:rPr>
        <w:t xml:space="preserve">A small set tied to the problem, split into leading indicators we can read now and lagging ones after launch. Targets (baseline + goal) to be set with PM.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600"/>
        <w:gridCol w:w="5260"/>
      </w:tblGrid>
      <w:tr>
        <w:trPr>
          <w:tblHeader/>
        </w:trPr>
        <w:tc>
          <w:tcPr>
            <w:tcW w:type="dxa" w:w="2500"/>
            <w:shd w:fill="404040" w:val="clear"/>
            <w:tcMar>
              <w:top w:type="dxa" w:w="60"/>
              <w:left w:type="dxa" w:w="90"/>
              <w:bottom w:type="dxa" w:w="60"/>
              <w:right w:type="dxa" w:w="90"/>
            </w:tcMar>
          </w:tcPr>
          <w:p>
            <w:r>
              <w:rPr>
                <w:rFonts w:ascii="Arial" w:cs="Arial" w:eastAsia="Arial" w:hAnsi="Arial"/>
                <w:b/>
                <w:bCs/>
                <w:color w:val="FFFFFF"/>
                <w:sz w:val="19"/>
                <w:szCs w:val="19"/>
              </w:rPr>
              <w:t xml:space="preserve">Metric</w:t>
            </w:r>
          </w:p>
        </w:tc>
        <w:tc>
          <w:tcPr>
            <w:tcW w:type="dxa" w:w="1600"/>
            <w:shd w:fill="404040" w:val="clear"/>
            <w:tcMar>
              <w:top w:type="dxa" w:w="60"/>
              <w:left w:type="dxa" w:w="90"/>
              <w:bottom w:type="dxa" w:w="60"/>
              <w:right w:type="dxa" w:w="90"/>
            </w:tcMar>
          </w:tcPr>
          <w:p>
            <w:r>
              <w:rPr>
                <w:rFonts w:ascii="Arial" w:cs="Arial" w:eastAsia="Arial" w:hAnsi="Arial"/>
                <w:b/>
                <w:bCs/>
                <w:color w:val="FFFFFF"/>
                <w:sz w:val="19"/>
                <w:szCs w:val="19"/>
              </w:rPr>
              <w:t xml:space="preserve">Type</w:t>
            </w:r>
          </w:p>
        </w:tc>
        <w:tc>
          <w:tcPr>
            <w:tcW w:type="dxa" w:w="5260"/>
            <w:shd w:fill="404040" w:val="clear"/>
            <w:tcMar>
              <w:top w:type="dxa" w:w="60"/>
              <w:left w:type="dxa" w:w="90"/>
              <w:bottom w:type="dxa" w:w="60"/>
              <w:right w:type="dxa" w:w="90"/>
            </w:tcMar>
          </w:tcPr>
          <w:p>
            <w:r>
              <w:rPr>
                <w:rFonts w:ascii="Arial" w:cs="Arial" w:eastAsia="Arial" w:hAnsi="Arial"/>
                <w:b/>
                <w:bCs/>
                <w:color w:val="FFFFFF"/>
                <w:sz w:val="19"/>
                <w:szCs w:val="19"/>
              </w:rPr>
              <w:t xml:space="preserve">How we’d measure it</w:t>
            </w:r>
          </w:p>
        </w:tc>
      </w:tr>
      <w:tr>
        <w:tc>
          <w:tcPr>
            <w:tcW w:type="dxa" w:w="2500"/>
            <w:tcMar>
              <w:top w:type="dxa" w:w="60"/>
              <w:left w:type="dxa" w:w="90"/>
              <w:bottom w:type="dxa" w:w="60"/>
              <w:right w:type="dxa" w:w="90"/>
            </w:tcMar>
          </w:tcPr>
          <w:p>
            <w:r>
              <w:rPr>
                <w:rFonts w:ascii="Arial" w:cs="Arial" w:eastAsia="Arial" w:hAnsi="Arial"/>
                <w:b/>
                <w:bCs/>
                <w:sz w:val="19"/>
                <w:szCs w:val="19"/>
              </w:rPr>
              <w:t xml:space="preserve">Time-to-first-valid-config</w:t>
            </w:r>
          </w:p>
        </w:tc>
        <w:tc>
          <w:tcPr>
            <w:tcW w:type="dxa" w:w="1600"/>
            <w:tcMar>
              <w:top w:type="dxa" w:w="60"/>
              <w:left w:type="dxa" w:w="90"/>
              <w:bottom w:type="dxa" w:w="60"/>
              <w:right w:type="dxa" w:w="90"/>
            </w:tcMar>
          </w:tcPr>
          <w:p>
            <w:r>
              <w:rPr>
                <w:rFonts w:ascii="Arial" w:cs="Arial" w:eastAsia="Arial" w:hAnsi="Arial"/>
                <w:b w:val="false"/>
                <w:bCs w:val="false"/>
                <w:sz w:val="19"/>
                <w:szCs w:val="19"/>
              </w:rPr>
              <w:t xml:space="preserve">Lagging</w:t>
            </w:r>
          </w:p>
        </w:tc>
        <w:tc>
          <w:tcPr>
            <w:tcW w:type="dxa" w:w="5260"/>
            <w:tcMar>
              <w:top w:type="dxa" w:w="60"/>
              <w:left w:type="dxa" w:w="90"/>
              <w:bottom w:type="dxa" w:w="60"/>
              <w:right w:type="dxa" w:w="90"/>
            </w:tcMar>
          </w:tcPr>
          <w:p>
            <w:r>
              <w:rPr>
                <w:rFonts w:ascii="Arial" w:cs="Arial" w:eastAsia="Arial" w:hAnsi="Arial"/>
                <w:b w:val="false"/>
                <w:bCs w:val="false"/>
                <w:sz w:val="19"/>
                <w:szCs w:val="19"/>
              </w:rPr>
              <w:t xml:space="preserve">Time from starting a config to a validated, deployable rule set (new vs. today’s baseline).</w:t>
            </w:r>
          </w:p>
        </w:tc>
      </w:tr>
      <w:tr>
        <w:tc>
          <w:tcPr>
            <w:tcW w:type="dxa" w:w="2500"/>
            <w:tcMar>
              <w:top w:type="dxa" w:w="60"/>
              <w:left w:type="dxa" w:w="90"/>
              <w:bottom w:type="dxa" w:w="60"/>
              <w:right w:type="dxa" w:w="90"/>
            </w:tcMar>
          </w:tcPr>
          <w:p>
            <w:r>
              <w:rPr>
                <w:rFonts w:ascii="Arial" w:cs="Arial" w:eastAsia="Arial" w:hAnsi="Arial"/>
                <w:b/>
                <w:bCs/>
                <w:sz w:val="19"/>
                <w:szCs w:val="19"/>
              </w:rPr>
              <w:t xml:space="preserve">Config errors / rework</w:t>
            </w:r>
          </w:p>
        </w:tc>
        <w:tc>
          <w:tcPr>
            <w:tcW w:type="dxa" w:w="1600"/>
            <w:tcMar>
              <w:top w:type="dxa" w:w="60"/>
              <w:left w:type="dxa" w:w="90"/>
              <w:bottom w:type="dxa" w:w="60"/>
              <w:right w:type="dxa" w:w="90"/>
            </w:tcMar>
          </w:tcPr>
          <w:p>
            <w:r>
              <w:rPr>
                <w:rFonts w:ascii="Arial" w:cs="Arial" w:eastAsia="Arial" w:hAnsi="Arial"/>
                <w:b w:val="false"/>
                <w:bCs w:val="false"/>
                <w:sz w:val="19"/>
                <w:szCs w:val="19"/>
              </w:rPr>
              <w:t xml:space="preserve">Lagging</w:t>
            </w:r>
          </w:p>
        </w:tc>
        <w:tc>
          <w:tcPr>
            <w:tcW w:type="dxa" w:w="5260"/>
            <w:tcMar>
              <w:top w:type="dxa" w:w="60"/>
              <w:left w:type="dxa" w:w="90"/>
              <w:bottom w:type="dxa" w:w="60"/>
              <w:right w:type="dxa" w:w="90"/>
            </w:tcMar>
          </w:tcPr>
          <w:p>
            <w:r>
              <w:rPr>
                <w:rFonts w:ascii="Arial" w:cs="Arial" w:eastAsia="Arial" w:hAnsi="Arial"/>
                <w:b w:val="false"/>
                <w:bCs w:val="false"/>
                <w:sz w:val="19"/>
                <w:szCs w:val="19"/>
              </w:rPr>
              <w:t xml:space="preserve">Misconfigurations, re-uploads, and config-related support tickets.</w:t>
            </w:r>
          </w:p>
        </w:tc>
      </w:tr>
      <w:tr>
        <w:tc>
          <w:tcPr>
            <w:tcW w:type="dxa" w:w="2500"/>
            <w:tcMar>
              <w:top w:type="dxa" w:w="60"/>
              <w:left w:type="dxa" w:w="90"/>
              <w:bottom w:type="dxa" w:w="60"/>
              <w:right w:type="dxa" w:w="90"/>
            </w:tcMar>
          </w:tcPr>
          <w:p>
            <w:r>
              <w:rPr>
                <w:rFonts w:ascii="Arial" w:cs="Arial" w:eastAsia="Arial" w:hAnsi="Arial"/>
                <w:b/>
                <w:bCs/>
                <w:sz w:val="19"/>
                <w:szCs w:val="19"/>
              </w:rPr>
              <w:t xml:space="preserve">Task success &amp; comprehension</w:t>
            </w:r>
          </w:p>
        </w:tc>
        <w:tc>
          <w:tcPr>
            <w:tcW w:type="dxa" w:w="1600"/>
            <w:tcMar>
              <w:top w:type="dxa" w:w="60"/>
              <w:left w:type="dxa" w:w="90"/>
              <w:bottom w:type="dxa" w:w="60"/>
              <w:right w:type="dxa" w:w="90"/>
            </w:tcMar>
          </w:tcPr>
          <w:p>
            <w:r>
              <w:rPr>
                <w:rFonts w:ascii="Arial" w:cs="Arial" w:eastAsia="Arial" w:hAnsi="Arial"/>
                <w:b w:val="false"/>
                <w:bCs w:val="false"/>
                <w:sz w:val="19"/>
                <w:szCs w:val="19"/>
              </w:rPr>
              <w:t xml:space="preserve">Leading (now)</w:t>
            </w:r>
          </w:p>
        </w:tc>
        <w:tc>
          <w:tcPr>
            <w:tcW w:type="dxa" w:w="5260"/>
            <w:tcMar>
              <w:top w:type="dxa" w:w="60"/>
              <w:left w:type="dxa" w:w="90"/>
              <w:bottom w:type="dxa" w:w="60"/>
              <w:right w:type="dxa" w:w="90"/>
            </w:tcMar>
          </w:tcPr>
          <w:p>
            <w:r>
              <w:rPr>
                <w:rFonts w:ascii="Arial" w:cs="Arial" w:eastAsia="Arial" w:hAnsi="Arial"/>
                <w:b w:val="false"/>
                <w:bCs w:val="false"/>
                <w:sz w:val="19"/>
                <w:szCs w:val="19"/>
              </w:rPr>
              <w:t xml:space="preserve">Tree/usability test success + directness; can Admins explain the capture levels.</w:t>
            </w:r>
          </w:p>
        </w:tc>
      </w:tr>
      <w:tr>
        <w:tc>
          <w:tcPr>
            <w:tcW w:type="dxa" w:w="2500"/>
            <w:tcMar>
              <w:top w:type="dxa" w:w="60"/>
              <w:left w:type="dxa" w:w="90"/>
              <w:bottom w:type="dxa" w:w="60"/>
              <w:right w:type="dxa" w:w="90"/>
            </w:tcMar>
          </w:tcPr>
          <w:p>
            <w:r>
              <w:rPr>
                <w:rFonts w:ascii="Arial" w:cs="Arial" w:eastAsia="Arial" w:hAnsi="Arial"/>
                <w:b/>
                <w:bCs/>
                <w:sz w:val="19"/>
                <w:szCs w:val="19"/>
              </w:rPr>
              <w:t xml:space="preserve">Data quality (signal-to-noise)</w:t>
            </w:r>
          </w:p>
        </w:tc>
        <w:tc>
          <w:tcPr>
            <w:tcW w:type="dxa" w:w="1600"/>
            <w:tcMar>
              <w:top w:type="dxa" w:w="60"/>
              <w:left w:type="dxa" w:w="90"/>
              <w:bottom w:type="dxa" w:w="60"/>
              <w:right w:type="dxa" w:w="90"/>
            </w:tcMar>
          </w:tcPr>
          <w:p>
            <w:r>
              <w:rPr>
                <w:rFonts w:ascii="Arial" w:cs="Arial" w:eastAsia="Arial" w:hAnsi="Arial"/>
                <w:b w:val="false"/>
                <w:bCs w:val="false"/>
                <w:sz w:val="19"/>
                <w:szCs w:val="19"/>
              </w:rPr>
              <w:t xml:space="preserve">Qualitative</w:t>
            </w:r>
          </w:p>
        </w:tc>
        <w:tc>
          <w:tcPr>
            <w:tcW w:type="dxa" w:w="5260"/>
            <w:tcMar>
              <w:top w:type="dxa" w:w="60"/>
              <w:left w:type="dxa" w:w="90"/>
              <w:bottom w:type="dxa" w:w="60"/>
              <w:right w:type="dxa" w:w="90"/>
            </w:tcMar>
          </w:tcPr>
          <w:p>
            <w:r>
              <w:rPr>
                <w:rFonts w:ascii="Arial" w:cs="Arial" w:eastAsia="Arial" w:hAnsi="Arial"/>
                <w:b w:val="false"/>
                <w:bCs w:val="false"/>
                <w:sz w:val="19"/>
                <w:szCs w:val="19"/>
              </w:rPr>
              <w:t xml:space="preserve">VE feedback on the quality/usefulness of data captured under the new config.</w:t>
            </w:r>
          </w:p>
        </w:tc>
      </w:tr>
      <w:tr>
        <w:tc>
          <w:tcPr>
            <w:tcW w:type="dxa" w:w="2500"/>
            <w:tcMar>
              <w:top w:type="dxa" w:w="60"/>
              <w:left w:type="dxa" w:w="90"/>
              <w:bottom w:type="dxa" w:w="60"/>
              <w:right w:type="dxa" w:w="90"/>
            </w:tcMar>
          </w:tcPr>
          <w:p>
            <w:r>
              <w:rPr>
                <w:rFonts w:ascii="Arial" w:cs="Arial" w:eastAsia="Arial" w:hAnsi="Arial"/>
                <w:b/>
                <w:bCs/>
                <w:sz w:val="19"/>
                <w:szCs w:val="19"/>
              </w:rPr>
              <w:t xml:space="preserve">Redaction misses / privacy incidents</w:t>
            </w:r>
          </w:p>
        </w:tc>
        <w:tc>
          <w:tcPr>
            <w:tcW w:type="dxa" w:w="1600"/>
            <w:tcMar>
              <w:top w:type="dxa" w:w="60"/>
              <w:left w:type="dxa" w:w="90"/>
              <w:bottom w:type="dxa" w:w="60"/>
              <w:right w:type="dxa" w:w="90"/>
            </w:tcMar>
          </w:tcPr>
          <w:p>
            <w:r>
              <w:rPr>
                <w:rFonts w:ascii="Arial" w:cs="Arial" w:eastAsia="Arial" w:hAnsi="Arial"/>
                <w:b w:val="false"/>
                <w:bCs w:val="false"/>
                <w:sz w:val="19"/>
                <w:szCs w:val="19"/>
              </w:rPr>
              <w:t xml:space="preserve">Lagging</w:t>
            </w:r>
          </w:p>
        </w:tc>
        <w:tc>
          <w:tcPr>
            <w:tcW w:type="dxa" w:w="5260"/>
            <w:tcMar>
              <w:top w:type="dxa" w:w="60"/>
              <w:left w:type="dxa" w:w="90"/>
              <w:bottom w:type="dxa" w:w="60"/>
              <w:right w:type="dxa" w:w="90"/>
            </w:tcMar>
          </w:tcPr>
          <w:p>
            <w:r>
              <w:rPr>
                <w:rFonts w:ascii="Arial" w:cs="Arial" w:eastAsia="Arial" w:hAnsi="Arial"/>
                <w:b w:val="false"/>
                <w:bCs w:val="false"/>
                <w:sz w:val="19"/>
                <w:szCs w:val="19"/>
              </w:rPr>
              <w:t xml:space="preserve">Sensitive values that slip through; compliance escalations.</w:t>
            </w:r>
          </w:p>
        </w:tc>
      </w:tr>
    </w:tbl>
    <w:p>
      <w:pPr>
        <w:spacing w:after="120"/>
      </w:pPr>
    </w:p>
    <w:p>
      <w:pPr>
        <w:pStyle w:val="Heading1"/>
        <w:spacing w:after="100" w:before="200"/>
      </w:pPr>
      <w:r>
        <w:rPr>
          <w:rFonts w:ascii="Arial" w:cs="Arial" w:eastAsia="Arial" w:hAnsi="Arial"/>
          <w:b/>
          <w:bCs/>
          <w:color w:val="1E293B"/>
          <w:sz w:val="26"/>
          <w:szCs w:val="26"/>
        </w:rPr>
        <w:t xml:space="preserve">What I need to align on</w:t>
      </w:r>
    </w:p>
    <w:p>
      <w:pPr>
        <w:pStyle w:val="ListParagraph"/>
        <w:numPr>
          <w:ilvl w:val="0"/>
          <w:numId w:val="1"/>
        </w:numPr>
        <w:spacing w:after="70" w:line="270"/>
      </w:pPr>
      <w:r>
        <w:rPr>
          <w:rFonts w:ascii="Arial" w:cs="Arial" w:eastAsia="Arial" w:hAnsi="Arial"/>
          <w:sz w:val="21"/>
          <w:szCs w:val="21"/>
        </w:rPr>
        <w:t xml:space="preserve">Confirm the MVP vs. Post-MVP split above (and that the capture-level model sits within the MVP’s unified configuration).</w:t>
      </w:r>
    </w:p>
    <w:p>
      <w:pPr>
        <w:pStyle w:val="ListParagraph"/>
        <w:numPr>
          <w:ilvl w:val="0"/>
          <w:numId w:val="1"/>
        </w:numPr>
        <w:spacing w:after="70" w:line="270"/>
      </w:pPr>
      <w:r>
        <w:rPr>
          <w:rFonts w:ascii="Arial" w:cs="Arial" w:eastAsia="Arial" w:hAnsi="Arial"/>
          <w:sz w:val="21"/>
          <w:szCs w:val="21"/>
        </w:rPr>
        <w:t xml:space="preserve">PM to own a short PRD and set a target (baseline + goal) for each success metric.</w:t>
      </w:r>
    </w:p>
    <w:p>
      <w:pPr>
        <w:pStyle w:val="ListParagraph"/>
        <w:numPr>
          <w:ilvl w:val="0"/>
          <w:numId w:val="1"/>
        </w:numPr>
        <w:spacing w:after="70" w:line="270"/>
      </w:pPr>
      <w:r>
        <w:rPr>
          <w:rFonts w:ascii="Arial" w:cs="Arial" w:eastAsia="Arial" w:hAnsi="Arial"/>
          <w:sz w:val="21"/>
          <w:szCs w:val="21"/>
        </w:rPr>
        <w:t xml:space="preserve">Set phase timelines with Engineering — dependent on config behaviour, rule limits, and simulator feasibility (Midhun / Danish).</w:t>
      </w:r>
    </w:p>
    <w:p>
      <w:pPr>
        <w:pStyle w:val="ListParagraph"/>
        <w:numPr>
          <w:ilvl w:val="0"/>
          <w:numId w:val="1"/>
        </w:numPr>
        <w:spacing w:after="70" w:line="270"/>
      </w:pPr>
      <w:r>
        <w:rPr>
          <w:rFonts w:ascii="Arial" w:cs="Arial" w:eastAsia="Arial" w:hAnsi="Arial"/>
          <w:sz w:val="21"/>
          <w:szCs w:val="21"/>
        </w:rPr>
        <w:t xml:space="preserve">Note two interaction details still being validated: the Live Event Monitor admin-access model, and Custom’s default content set.</w:t>
      </w:r>
    </w:p>
    <w:p>
      <w:pPr>
        <w:spacing w:after="120" w:line="276"/>
      </w:pPr>
      <w:r>
        <w:rPr>
          <w:rFonts w:ascii="Arial" w:cs="Arial" w:eastAsia="Arial" w:hAnsi="Arial"/>
          <w:i/>
          <w:iCs/>
          <w:color w:val="64748B"/>
          <w:sz w:val="21"/>
          <w:szCs w:val="21"/>
        </w:rPr>
        <w:t xml:space="preserve">Once confirmed, this becomes the shared reference for scope and success; ownership sits with Product.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b3fb1f5dbf4b600332895c6b7a163bb7c94d243.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2026-07-20T23:32:03.568Z</dcterms:created>
  <dcterms:modified xsi:type="dcterms:W3CDTF">2026-07-20T23:32:03.568Z</dcterms:modified>
</cp:coreProperties>
</file>

<file path=docProps/custom.xml><?xml version="1.0" encoding="utf-8"?>
<Properties xmlns="http://schemas.openxmlformats.org/officeDocument/2006/custom-properties" xmlns:vt="http://schemas.openxmlformats.org/officeDocument/2006/docPropsVTypes"/>
</file>