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bidi w:val="1"/>
      </w:pPr>
      <w:r>
        <w:rPr>
          <w:rFonts w:ascii="B Nazanin" w:hAnsi="B Nazanin" w:cs="B Nazanin"/>
          <w:b/>
          <w:color w:val="000000"/>
          <w:sz w:val="40"/>
        </w:rPr>
        <w:t>سیاست حفاظت از داده‌های بیومتریک رانندگان داخلی</w:t>
      </w:r>
    </w:p>
    <w:p>
      <w:pPr>
        <w:spacing w:after="280"/>
        <w:jc w:val="center"/>
        <w:bidi w:val="1"/>
      </w:pPr>
      <w:r>
        <w:rPr>
          <w:rFonts w:ascii="B Nazanin" w:hAnsi="B Nazanin" w:cs="B Nazanin"/>
          <w:b/>
          <w:color w:val="000000"/>
          <w:sz w:val="28"/>
        </w:rPr>
        <w:t>شرکت صنایع سنگ سبلان آریا</w:t>
      </w:r>
    </w:p>
    <w:tbl>
      <w:tblPr>
        <w:tblStyle w:val="TableGrid"/>
        <w:tblW w:type="auto" w:w="0"/>
        <w:jc w:val="center"/>
        <w:tblLayout w:type="fixed"/>
        <w:tblLook w:firstColumn="1" w:firstRow="1" w:lastColumn="0" w:lastRow="0" w:noHBand="0" w:noVBand="1" w:val="04A0"/>
      </w:tblPr>
      <w:tblGrid>
        <w:gridCol w:w="4929"/>
        <w:gridCol w:w="4929"/>
      </w:tblGrid>
      <w:tr>
        <w:tc>
          <w:tcPr>
            <w:tcW w:type="dxa" w:w="3402"/>
            <w:vAlign w:val="center"/>
            <w:tcMar>
              <w:top w:w="110" w:type="dxa"/>
              <w:start w:w="140" w:type="dxa"/>
              <w:bottom w:w="110" w:type="dxa"/>
              <w:end w:w="140" w:type="dxa"/>
            </w:tcMar>
            <w:shd w:fill="1F4E78"/>
          </w:tcPr>
          <w:p>
            <w:pPr>
              <w:spacing w:after="0" w:line="259" w:lineRule="auto"/>
              <w:jc w:val="right"/>
              <w:bidi w:val="1"/>
            </w:pPr>
            <w:r>
              <w:rPr>
                <w:rFonts w:ascii="B Nazanin" w:hAnsi="B Nazanin" w:cs="B Nazanin"/>
                <w:b/>
                <w:color w:val="FFFFFF"/>
                <w:sz w:val="21"/>
              </w:rPr>
              <w:t>شناسه سیاست</w:t>
            </w:r>
          </w:p>
        </w:tc>
        <w:tc>
          <w:tcPr>
            <w:tcW w:type="dxa" w:w="5669"/>
            <w:vAlign w:val="center"/>
            <w:tcMar>
              <w:top w:w="110" w:type="dxa"/>
              <w:start w:w="140" w:type="dxa"/>
              <w:bottom w:w="110" w:type="dxa"/>
              <w:end w:w="140" w:type="dxa"/>
            </w:tcMar>
            <w:shd w:fill="1F4E78"/>
          </w:tcPr>
          <w:p>
            <w:pPr>
              <w:spacing w:after="0" w:line="259" w:lineRule="auto"/>
              <w:jc w:val="center"/>
              <w:bidi w:val="1"/>
            </w:pPr>
            <w:r>
              <w:rPr>
                <w:rFonts w:ascii="B Nazanin" w:hAnsi="B Nazanin" w:cs="B Nazanin"/>
                <w:b/>
                <w:color w:val="FFFFFF"/>
                <w:sz w:val="21"/>
              </w:rPr>
              <w:t>BIO-PRIVACY-1405-01</w:t>
            </w:r>
          </w:p>
        </w:tc>
      </w:tr>
      <w:tr>
        <w:tc>
          <w:tcPr>
            <w:tcW w:type="dxa" w:w="3402"/>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نسخه متن رضایت</w:t>
            </w:r>
          </w:p>
        </w:tc>
        <w:tc>
          <w:tcPr>
            <w:tcW w:type="dxa" w:w="5669"/>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t>BIO-CONSENT-1405-01</w:t>
            </w:r>
          </w:p>
        </w:tc>
      </w:tr>
      <w:tr>
        <w:tc>
          <w:tcPr>
            <w:tcW w:type="dxa" w:w="3402"/>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تاریخ تأیید اعلام‌شده</w:t>
            </w:r>
          </w:p>
        </w:tc>
        <w:tc>
          <w:tcPr>
            <w:tcW w:type="dxa" w:w="5669"/>
            <w:vAlign w:val="center"/>
            <w:tcMar>
              <w:top w:w="110" w:type="dxa"/>
              <w:start w:w="140" w:type="dxa"/>
              <w:bottom w:w="110" w:type="dxa"/>
              <w:end w:w="140" w:type="dxa"/>
            </w:tcMar>
            <w:shd w:fill="F3F6F9"/>
          </w:tcPr>
          <w:p>
            <w:pPr>
              <w:spacing w:after="0" w:line="259" w:lineRule="auto"/>
              <w:jc w:val="center"/>
              <w:bidi w:val="1"/>
            </w:pPr>
            <w:r>
              <w:rPr>
                <w:rFonts w:ascii="B Nazanin" w:hAnsi="B Nazanin" w:cs="B Nazanin"/>
                <w:b w:val="0"/>
                <w:color w:val="000000"/>
                <w:sz w:val="21"/>
              </w:rPr>
              <w:t>۱۴۰۵/۰۶/۱۸</w:t>
            </w:r>
          </w:p>
        </w:tc>
      </w:tr>
      <w:tr>
        <w:tc>
          <w:tcPr>
            <w:tcW w:type="dxa" w:w="3402"/>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زمان لازم‌الاجرا شدن</w:t>
            </w:r>
          </w:p>
        </w:tc>
        <w:tc>
          <w:tcPr>
            <w:tcW w:type="dxa" w:w="5669"/>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t>پس از فعال‌سازی رسمی سیاست در Sabalan ERP</w:t>
            </w:r>
          </w:p>
        </w:tc>
      </w:tr>
    </w:tbl>
    <w:p>
      <w:pPr>
        <w:pStyle w:val="Heading1"/>
        <w:spacing w:before="240" w:after="120"/>
        <w:jc w:val="right"/>
        <w:keepNext/>
        <w:bidi w:val="1"/>
      </w:pPr>
      <w:r>
        <w:rPr>
          <w:rFonts w:ascii="B Nazanin" w:hAnsi="B Nazanin" w:cs="B Nazanin"/>
          <w:b/>
          <w:color w:val="000000"/>
          <w:sz w:val="30"/>
        </w:rPr>
        <w:t>۱ هدف و دامنه</w:t>
      </w:r>
    </w:p>
    <w:p>
      <w:pPr>
        <w:spacing w:after="120" w:line="283" w:lineRule="auto"/>
        <w:jc w:val="right"/>
        <w:keepNext w:val="0"/>
        <w:bidi w:val="1"/>
      </w:pPr>
      <w:r>
        <w:rPr>
          <w:rFonts w:ascii="B Nazanin" w:hAnsi="B Nazanin" w:cs="B Nazanin"/>
          <w:color w:val="000000"/>
          <w:sz w:val="24"/>
        </w:rPr>
        <w:t>این سیاست نحوه جمع‌آوری، پردازش، حفاظت، استفاده، نگهداری و حذف داده‌های بیومتریک رانندگان داخلی فعال و واجد شرایط شرکت صنایع سنگ سبلان آریا را تعیین می‌کند. هدف انحصاری پردازش، احراز هویت راننده هنگام تأیید خروج محموله و جلوگیری از تأیید خروج توسط شخص غیرمجاز است.</w:t>
      </w:r>
    </w:p>
    <w:p>
      <w:pPr>
        <w:spacing w:after="120" w:line="283" w:lineRule="auto"/>
        <w:jc w:val="right"/>
        <w:keepNext w:val="0"/>
        <w:bidi w:val="1"/>
      </w:pPr>
      <w:r>
        <w:rPr>
          <w:rFonts w:ascii="B Nazanin" w:hAnsi="B Nazanin" w:cs="B Nazanin"/>
          <w:color w:val="000000"/>
          <w:sz w:val="24"/>
        </w:rPr>
        <w:t>این سیاست فقط درباره رانندگان داخلی واجد شرایط اعمال می‌شود و استفاده از داده بیومتریک برای حضور و غیاب، ارزیابی عملکرد، کنترل رفتاری یا هر هدف ثانویه دیگری ممنوع است.</w:t>
      </w:r>
    </w:p>
    <w:p>
      <w:pPr>
        <w:pStyle w:val="Heading1"/>
        <w:spacing w:before="240" w:after="120"/>
        <w:jc w:val="right"/>
        <w:keepNext/>
        <w:bidi w:val="1"/>
      </w:pPr>
      <w:r>
        <w:rPr>
          <w:rFonts w:ascii="B Nazanin" w:hAnsi="B Nazanin" w:cs="B Nazanin"/>
          <w:b/>
          <w:color w:val="000000"/>
          <w:sz w:val="30"/>
        </w:rPr>
        <w:t>۲ مشخصات سازمان</w:t>
      </w:r>
    </w:p>
    <w:tbl>
      <w:tblPr>
        <w:tblStyle w:val="TableGrid"/>
        <w:tblW w:type="auto" w:w="0"/>
        <w:jc w:val="center"/>
        <w:tblLayout w:type="fixed"/>
        <w:tblLook w:firstColumn="1" w:firstRow="1" w:lastColumn="0" w:lastRow="0" w:noHBand="0" w:noVBand="1" w:val="04A0"/>
      </w:tblPr>
      <w:tblGrid>
        <w:gridCol w:w="4929"/>
        <w:gridCol w:w="4929"/>
      </w:tblGrid>
      <w:tr>
        <w:tc>
          <w:tcPr>
            <w:tcW w:type="dxa" w:w="2835"/>
            <w:vAlign w:val="center"/>
            <w:tcMar>
              <w:top w:w="110" w:type="dxa"/>
              <w:start w:w="140" w:type="dxa"/>
              <w:bottom w:w="110" w:type="dxa"/>
              <w:end w:w="140" w:type="dxa"/>
            </w:tcMar>
            <w:shd w:fill="1F4E78"/>
          </w:tcPr>
          <w:p>
            <w:pPr>
              <w:spacing w:after="0" w:line="259" w:lineRule="auto"/>
              <w:jc w:val="right"/>
              <w:bidi w:val="1"/>
            </w:pPr>
            <w:r>
              <w:rPr>
                <w:rFonts w:ascii="B Nazanin" w:hAnsi="B Nazanin" w:cs="B Nazanin"/>
                <w:b/>
                <w:color w:val="FFFFFF"/>
                <w:sz w:val="21"/>
              </w:rPr>
              <w:t>عنوان</w:t>
            </w:r>
          </w:p>
        </w:tc>
        <w:tc>
          <w:tcPr>
            <w:tcW w:type="dxa" w:w="6236"/>
            <w:vAlign w:val="center"/>
            <w:tcMar>
              <w:top w:w="110" w:type="dxa"/>
              <w:start w:w="140" w:type="dxa"/>
              <w:bottom w:w="110" w:type="dxa"/>
              <w:end w:w="140" w:type="dxa"/>
            </w:tcMar>
            <w:shd w:fill="1F4E78"/>
          </w:tcPr>
          <w:p>
            <w:pPr>
              <w:spacing w:after="0" w:line="259" w:lineRule="auto"/>
              <w:jc w:val="center"/>
              <w:bidi w:val="1"/>
            </w:pPr>
            <w:r>
              <w:rPr>
                <w:rFonts w:ascii="B Nazanin" w:hAnsi="B Nazanin" w:cs="B Nazanin"/>
                <w:b/>
                <w:color w:val="FFFFFF"/>
                <w:sz w:val="21"/>
              </w:rPr>
              <w:t>مشخصات</w:t>
            </w:r>
          </w:p>
        </w:tc>
      </w:tr>
      <w:tr>
        <w:tc>
          <w:tcPr>
            <w:tcW w:type="dxa" w:w="2835"/>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نام کامل حقوقی</w:t>
            </w:r>
          </w:p>
        </w:tc>
        <w:tc>
          <w:tcPr>
            <w:tcW w:type="dxa" w:w="6236"/>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t>شرکت صنایع سنگ سبلان آریا</w:t>
            </w:r>
          </w:p>
        </w:tc>
      </w:tr>
      <w:tr>
        <w:tc>
          <w:tcPr>
            <w:tcW w:type="dxa" w:w="2835"/>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نام تجاری</w:t>
            </w:r>
          </w:p>
        </w:tc>
        <w:tc>
          <w:tcPr>
            <w:tcW w:type="dxa" w:w="6236"/>
            <w:vAlign w:val="center"/>
            <w:tcMar>
              <w:top w:w="110" w:type="dxa"/>
              <w:start w:w="140" w:type="dxa"/>
              <w:bottom w:w="110" w:type="dxa"/>
              <w:end w:w="140" w:type="dxa"/>
            </w:tcMar>
            <w:shd w:fill="F3F6F9"/>
          </w:tcPr>
          <w:p>
            <w:pPr>
              <w:spacing w:after="0" w:line="259" w:lineRule="auto"/>
              <w:jc w:val="center"/>
              <w:bidi w:val="1"/>
            </w:pPr>
            <w:r>
              <w:rPr>
                <w:rFonts w:ascii="B Nazanin" w:hAnsi="B Nazanin" w:cs="B Nazanin"/>
                <w:b w:val="0"/>
                <w:color w:val="000000"/>
                <w:sz w:val="21"/>
              </w:rPr>
              <w:t>Sabalan Stone / سبلان سنگ</w:t>
            </w:r>
          </w:p>
        </w:tc>
      </w:tr>
      <w:tr>
        <w:tc>
          <w:tcPr>
            <w:tcW w:type="dxa" w:w="2835"/>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شماره ثبت</w:t>
            </w:r>
          </w:p>
        </w:tc>
        <w:tc>
          <w:tcPr>
            <w:tcW w:type="dxa" w:w="6236"/>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t>۵۸۴۲۱</w:t>
            </w:r>
          </w:p>
        </w:tc>
      </w:tr>
      <w:tr>
        <w:tc>
          <w:tcPr>
            <w:tcW w:type="dxa" w:w="2835"/>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نشانی</w:t>
            </w:r>
          </w:p>
        </w:tc>
        <w:tc>
          <w:tcPr>
            <w:tcW w:type="dxa" w:w="6236"/>
            <w:vAlign w:val="center"/>
            <w:tcMar>
              <w:top w:w="110" w:type="dxa"/>
              <w:start w:w="140" w:type="dxa"/>
              <w:bottom w:w="110" w:type="dxa"/>
              <w:end w:w="140" w:type="dxa"/>
            </w:tcMar>
            <w:shd w:fill="F3F6F9"/>
          </w:tcPr>
          <w:p>
            <w:pPr>
              <w:spacing w:after="0" w:line="259" w:lineRule="auto"/>
              <w:jc w:val="center"/>
              <w:bidi w:val="1"/>
            </w:pPr>
            <w:r>
              <w:rPr>
                <w:rFonts w:ascii="B Nazanin" w:hAnsi="B Nazanin" w:cs="B Nazanin"/>
                <w:b w:val="0"/>
                <w:color w:val="000000"/>
                <w:sz w:val="21"/>
              </w:rPr>
              <w:t>استان فارس، شیراز، شهرک صنعتی بزرگ شیراز، بلوار صنعت، خیابان پنجم، پلاک ۲۴، کد پستی ۷۱۵۸۷۶۴۳۲۱</w:t>
            </w:r>
          </w:p>
        </w:tc>
      </w:tr>
    </w:tbl>
    <w:p>
      <w:pPr>
        <w:pStyle w:val="Heading1"/>
        <w:spacing w:before="240" w:after="120"/>
        <w:jc w:val="right"/>
        <w:keepNext/>
        <w:bidi w:val="1"/>
      </w:pPr>
      <w:r>
        <w:rPr>
          <w:rFonts w:ascii="B Nazanin" w:hAnsi="B Nazanin" w:cs="B Nazanin"/>
          <w:b/>
          <w:color w:val="000000"/>
          <w:sz w:val="30"/>
        </w:rPr>
        <w:t>۳ رضایت و روش جایگزین</w:t>
      </w:r>
    </w:p>
    <w:p>
      <w:pPr>
        <w:spacing w:after="120" w:line="283" w:lineRule="auto"/>
        <w:jc w:val="right"/>
        <w:keepNext w:val="0"/>
        <w:bidi w:val="1"/>
      </w:pPr>
      <w:r>
        <w:rPr>
          <w:rFonts w:ascii="B Nazanin" w:hAnsi="B Nazanin" w:cs="B Nazanin"/>
          <w:color w:val="000000"/>
          <w:sz w:val="24"/>
        </w:rPr>
        <w:t>ثبت اثر انگشت فقط پس از ارائه توضیح روشن درباره هدف، نوع داده، مدت نگهداری، اشخاص مجاز، روش حذف و حق پس‌گرفتن رضایت انجام می‌شود. رضایت باید صریح، آگاهانه، مستند و قابل پس‌گرفتن باشد.</w:t>
      </w:r>
    </w:p>
    <w:p>
      <w:pPr>
        <w:spacing w:after="120" w:line="283" w:lineRule="auto"/>
        <w:jc w:val="right"/>
        <w:keepNext w:val="0"/>
        <w:bidi w:val="1"/>
      </w:pPr>
      <w:r>
        <w:rPr>
          <w:rFonts w:ascii="B Nazanin" w:hAnsi="B Nazanin" w:cs="B Nazanin"/>
          <w:color w:val="000000"/>
          <w:sz w:val="24"/>
        </w:rPr>
        <w:t>خودداری از رضایت یا پس‌گرفتن آن نباید به استفاده غیرمجاز از Template یا اجبار عملی منجر شود. روش جایگزین، ارسال رمز یک‌بارمصرف به شماره تلفن تأییدشده راننده همراه با تأیید یک نگهبان مستقل است. نگهبان تأییدکننده نباید همان کاربر حسابداری صادرکننده فرمان ارسال باشد.</w:t>
      </w:r>
    </w:p>
    <w:p>
      <w:pPr>
        <w:pStyle w:val="Heading1"/>
        <w:spacing w:before="240" w:after="120"/>
        <w:jc w:val="right"/>
        <w:keepNext/>
        <w:bidi w:val="1"/>
      </w:pPr>
      <w:r>
        <w:rPr>
          <w:rFonts w:ascii="B Nazanin" w:hAnsi="B Nazanin" w:cs="B Nazanin"/>
          <w:b/>
          <w:color w:val="000000"/>
          <w:sz w:val="30"/>
        </w:rPr>
        <w:t>۴ داده‌های پردازش‌شده و محدودیت فنی</w:t>
      </w:r>
    </w:p>
    <w:p>
      <w:pPr>
        <w:pStyle w:val="ListBullet"/>
        <w:spacing w:after="60"/>
        <w:ind w:left="227" w:right="283"/>
        <w:jc w:val="right"/>
        <w:bidi w:val="1"/>
      </w:pPr>
      <w:r>
        <w:rPr>
          <w:rFonts w:ascii="B Nazanin" w:hAnsi="B Nazanin" w:cs="B Nazanin"/>
          <w:color w:val="000000"/>
          <w:sz w:val="24"/>
        </w:rPr>
        <w:t>تصویر خام اثر انگشت ذخیره، ثبت، ارسال یا بایگانی نمی‌شود.</w:t>
      </w:r>
    </w:p>
    <w:p>
      <w:pPr>
        <w:pStyle w:val="ListBullet"/>
        <w:spacing w:after="60"/>
        <w:ind w:left="227" w:right="283"/>
        <w:jc w:val="right"/>
        <w:bidi w:val="1"/>
      </w:pPr>
      <w:r>
        <w:rPr>
          <w:rFonts w:ascii="B Nazanin" w:hAnsi="B Nazanin" w:cs="B Nazanin"/>
          <w:color w:val="000000"/>
          <w:sz w:val="24"/>
        </w:rPr>
        <w:t>فقط Template لازم برای تطبیق یک‌به‌یک، به‌صورت رمزگذاری‌شده، در زیرساخت Sabalan ERP نگهداری می‌شود.</w:t>
      </w:r>
    </w:p>
    <w:p>
      <w:pPr>
        <w:pStyle w:val="ListBullet"/>
        <w:spacing w:after="60"/>
        <w:ind w:left="227" w:right="283"/>
        <w:jc w:val="right"/>
        <w:bidi w:val="1"/>
      </w:pPr>
      <w:r>
        <w:rPr>
          <w:rFonts w:ascii="B Nazanin" w:hAnsi="B Nazanin" w:cs="B Nazanin"/>
          <w:color w:val="000000"/>
          <w:sz w:val="24"/>
        </w:rPr>
        <w:t>پردازش دستگاه از طریق Connector محلی و SDK نصب‌شده روی رایانه مجاز انجام می‌شود.</w:t>
      </w:r>
    </w:p>
    <w:p>
      <w:pPr>
        <w:pStyle w:val="ListBullet"/>
        <w:spacing w:after="60"/>
        <w:ind w:left="227" w:right="283"/>
        <w:jc w:val="right"/>
        <w:bidi w:val="1"/>
      </w:pPr>
      <w:r>
        <w:rPr>
          <w:rFonts w:ascii="B Nazanin" w:hAnsi="B Nazanin" w:cs="B Nazanin"/>
          <w:color w:val="000000"/>
          <w:sz w:val="24"/>
        </w:rPr>
        <w:t>داده اثر انگشت برای Xperix یا هیچ شخص ثالث دیگری ارسال نمی‌شود.</w:t>
      </w:r>
    </w:p>
    <w:p>
      <w:pPr>
        <w:pStyle w:val="ListBullet"/>
        <w:spacing w:after="60"/>
        <w:ind w:left="227" w:right="283"/>
        <w:jc w:val="right"/>
        <w:bidi w:val="1"/>
      </w:pPr>
      <w:r>
        <w:rPr>
          <w:rFonts w:ascii="B Nazanin" w:hAnsi="B Nazanin" w:cs="B Nazanin"/>
          <w:color w:val="000000"/>
          <w:sz w:val="24"/>
        </w:rPr>
        <w:t>نتیجه تطبیق فقط برای همان بارنامه، راننده و نوبت مرتبط معتبر است و قابل استفاده مجدد برای هدف دیگر نیست.</w:t>
      </w:r>
    </w:p>
    <w:p>
      <w:pPr>
        <w:pStyle w:val="Heading1"/>
        <w:spacing w:before="240" w:after="120"/>
        <w:jc w:val="right"/>
        <w:keepNext/>
        <w:bidi w:val="1"/>
      </w:pPr>
      <w:r>
        <w:rPr>
          <w:rFonts w:ascii="B Nazanin" w:hAnsi="B Nazanin" w:cs="B Nazanin"/>
          <w:b/>
          <w:color w:val="000000"/>
          <w:sz w:val="30"/>
        </w:rPr>
        <w:t>۵ دسترسی و مسئولیت‌ها</w:t>
      </w:r>
    </w:p>
    <w:tbl>
      <w:tblPr>
        <w:tblStyle w:val="TableGrid"/>
        <w:tblW w:type="auto" w:w="0"/>
        <w:jc w:val="center"/>
        <w:tblLayout w:type="fixed"/>
        <w:tblLook w:firstColumn="1" w:firstRow="1" w:lastColumn="0" w:lastRow="0" w:noHBand="0" w:noVBand="1" w:val="04A0"/>
      </w:tblPr>
      <w:tblGrid>
        <w:gridCol w:w="4929"/>
        <w:gridCol w:w="4929"/>
      </w:tblGrid>
      <w:tr>
        <w:tc>
          <w:tcPr>
            <w:tcW w:type="dxa" w:w="2835"/>
            <w:vAlign w:val="center"/>
            <w:tcMar>
              <w:top w:w="110" w:type="dxa"/>
              <w:start w:w="140" w:type="dxa"/>
              <w:bottom w:w="110" w:type="dxa"/>
              <w:end w:w="140" w:type="dxa"/>
            </w:tcMar>
            <w:shd w:fill="1F4E78"/>
          </w:tcPr>
          <w:p>
            <w:pPr>
              <w:spacing w:after="0" w:line="259" w:lineRule="auto"/>
              <w:jc w:val="right"/>
              <w:bidi w:val="1"/>
            </w:pPr>
            <w:r>
              <w:rPr>
                <w:rFonts w:ascii="B Nazanin" w:hAnsi="B Nazanin" w:cs="B Nazanin"/>
                <w:b/>
                <w:color w:val="FFFFFF"/>
                <w:sz w:val="21"/>
              </w:rPr>
              <w:t>نقش</w:t>
            </w:r>
          </w:p>
        </w:tc>
        <w:tc>
          <w:tcPr>
            <w:tcW w:type="dxa" w:w="6236"/>
            <w:vAlign w:val="center"/>
            <w:tcMar>
              <w:top w:w="110" w:type="dxa"/>
              <w:start w:w="140" w:type="dxa"/>
              <w:bottom w:w="110" w:type="dxa"/>
              <w:end w:w="140" w:type="dxa"/>
            </w:tcMar>
            <w:shd w:fill="1F4E78"/>
          </w:tcPr>
          <w:p>
            <w:pPr>
              <w:spacing w:after="0" w:line="259" w:lineRule="auto"/>
              <w:jc w:val="center"/>
              <w:bidi w:val="1"/>
            </w:pPr>
            <w:r>
              <w:rPr>
                <w:rFonts w:ascii="B Nazanin" w:hAnsi="B Nazanin" w:cs="B Nazanin"/>
                <w:b/>
                <w:color w:val="FFFFFF"/>
                <w:sz w:val="21"/>
              </w:rPr>
              <w:t>حدود اختیار</w:t>
            </w:r>
          </w:p>
        </w:tc>
      </w:tr>
      <w:tr>
        <w:tc>
          <w:tcPr>
            <w:tcW w:type="dxa" w:w="2835"/>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منابع انسانی</w:t>
            </w:r>
          </w:p>
        </w:tc>
        <w:tc>
          <w:tcPr>
            <w:tcW w:type="dxa" w:w="6236"/>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t>مدیر منابع انسانی و کاربران مشخص دارای مجوز اختصاصی ثبت اطلاعات بیومتریک</w:t>
            </w:r>
          </w:p>
        </w:tc>
      </w:tr>
      <w:tr>
        <w:tc>
          <w:tcPr>
            <w:tcW w:type="dxa" w:w="2835"/>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حسابداری یا ارسال</w:t>
            </w:r>
          </w:p>
        </w:tc>
        <w:tc>
          <w:tcPr>
            <w:tcW w:type="dxa" w:w="6236"/>
            <w:vAlign w:val="center"/>
            <w:tcMar>
              <w:top w:w="110" w:type="dxa"/>
              <w:start w:w="140" w:type="dxa"/>
              <w:bottom w:w="110" w:type="dxa"/>
              <w:end w:w="140" w:type="dxa"/>
            </w:tcMar>
            <w:shd w:fill="F3F6F9"/>
          </w:tcPr>
          <w:p>
            <w:pPr>
              <w:spacing w:after="0" w:line="259" w:lineRule="auto"/>
              <w:jc w:val="center"/>
              <w:bidi w:val="1"/>
            </w:pPr>
            <w:r>
              <w:rPr>
                <w:rFonts w:ascii="B Nazanin" w:hAnsi="B Nazanin" w:cs="B Nazanin"/>
                <w:b w:val="0"/>
                <w:color w:val="000000"/>
                <w:sz w:val="21"/>
              </w:rPr>
              <w:t>کاربران دارای مجوز تأیید خروج محموله؛ بدون دسترسی به Template قابل استفاده</w:t>
            </w:r>
          </w:p>
        </w:tc>
      </w:tr>
      <w:tr>
        <w:tc>
          <w:tcPr>
            <w:tcW w:type="dxa" w:w="2835"/>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امنیت و ممیزی</w:t>
            </w:r>
          </w:p>
        </w:tc>
        <w:tc>
          <w:tcPr>
            <w:tcW w:type="dxa" w:w="6236"/>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t>مدیر امنیت، مدیر سیستم مشخص و اشخاص دارای مجوز ممیزی مبتنی بر نقش</w:t>
            </w:r>
          </w:p>
        </w:tc>
      </w:tr>
      <w:tr>
        <w:tc>
          <w:tcPr>
            <w:tcW w:type="dxa" w:w="2835"/>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مسئول حادثه</w:t>
            </w:r>
          </w:p>
        </w:tc>
        <w:tc>
          <w:tcPr>
            <w:tcW w:type="dxa" w:w="6236"/>
            <w:vAlign w:val="center"/>
            <w:tcMar>
              <w:top w:w="110" w:type="dxa"/>
              <w:start w:w="140" w:type="dxa"/>
              <w:bottom w:w="110" w:type="dxa"/>
              <w:end w:w="140" w:type="dxa"/>
            </w:tcMar>
            <w:shd w:fill="F3F6F9"/>
          </w:tcPr>
          <w:p>
            <w:pPr>
              <w:spacing w:after="0" w:line="259" w:lineRule="auto"/>
              <w:jc w:val="center"/>
              <w:bidi w:val="1"/>
            </w:pPr>
            <w:r>
              <w:rPr>
                <w:rFonts w:ascii="B Nazanin" w:hAnsi="B Nazanin" w:cs="B Nazanin"/>
                <w:b w:val="0"/>
                <w:color w:val="000000"/>
                <w:sz w:val="21"/>
              </w:rPr>
              <w:t>مهندس آرمان نیک‌فر، مدیر امنیت اطلاعات و مسئول رسمی رسیدگی به حوادث امنیتی</w:t>
            </w:r>
          </w:p>
        </w:tc>
      </w:tr>
    </w:tbl>
    <w:p>
      <w:pPr>
        <w:pStyle w:val="Heading1"/>
        <w:spacing w:before="240" w:after="120"/>
        <w:jc w:val="right"/>
        <w:keepNext/>
        <w:bidi w:val="1"/>
      </w:pPr>
      <w:r>
        <w:rPr>
          <w:rFonts w:ascii="B Nazanin" w:hAnsi="B Nazanin" w:cs="B Nazanin"/>
          <w:b/>
          <w:color w:val="000000"/>
          <w:sz w:val="30"/>
        </w:rPr>
        <w:t>۶ برنامه نگهداری و حذف</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3969"/>
            <w:vAlign w:val="center"/>
            <w:tcMar>
              <w:top w:w="110" w:type="dxa"/>
              <w:start w:w="140" w:type="dxa"/>
              <w:bottom w:w="110" w:type="dxa"/>
              <w:end w:w="140" w:type="dxa"/>
            </w:tcMar>
            <w:shd w:fill="1F4E78"/>
          </w:tcPr>
          <w:p>
            <w:pPr>
              <w:spacing w:after="0" w:line="259" w:lineRule="auto"/>
              <w:jc w:val="right"/>
              <w:bidi w:val="1"/>
            </w:pPr>
            <w:r>
              <w:rPr>
                <w:rFonts w:ascii="B Nazanin" w:hAnsi="B Nazanin" w:cs="B Nazanin"/>
                <w:b/>
                <w:color w:val="FFFFFF"/>
                <w:sz w:val="21"/>
              </w:rPr>
              <w:t>نوع داده</w:t>
            </w:r>
          </w:p>
        </w:tc>
        <w:tc>
          <w:tcPr>
            <w:tcW w:type="dxa" w:w="1417"/>
            <w:vAlign w:val="center"/>
            <w:tcMar>
              <w:top w:w="110" w:type="dxa"/>
              <w:start w:w="140" w:type="dxa"/>
              <w:bottom w:w="110" w:type="dxa"/>
              <w:end w:w="140" w:type="dxa"/>
            </w:tcMar>
            <w:shd w:fill="1F4E78"/>
          </w:tcPr>
          <w:p>
            <w:pPr>
              <w:spacing w:after="0" w:line="259" w:lineRule="auto"/>
              <w:jc w:val="center"/>
              <w:bidi w:val="1"/>
            </w:pPr>
            <w:r>
              <w:rPr>
                <w:rFonts w:ascii="B Nazanin" w:hAnsi="B Nazanin" w:cs="B Nazanin"/>
                <w:b/>
                <w:color w:val="FFFFFF"/>
                <w:sz w:val="21"/>
              </w:rPr>
              <w:t>مدت</w:t>
            </w:r>
          </w:p>
        </w:tc>
        <w:tc>
          <w:tcPr>
            <w:tcW w:type="dxa" w:w="3685"/>
            <w:vAlign w:val="center"/>
            <w:tcMar>
              <w:top w:w="110" w:type="dxa"/>
              <w:start w:w="140" w:type="dxa"/>
              <w:bottom w:w="110" w:type="dxa"/>
              <w:end w:w="140" w:type="dxa"/>
            </w:tcMar>
            <w:shd w:fill="1F4E78"/>
          </w:tcPr>
          <w:p>
            <w:pPr>
              <w:spacing w:after="0" w:line="259" w:lineRule="auto"/>
              <w:jc w:val="right"/>
              <w:bidi w:val="1"/>
            </w:pPr>
            <w:r>
              <w:rPr>
                <w:rFonts w:ascii="B Nazanin" w:hAnsi="B Nazanin" w:cs="B Nazanin"/>
                <w:b/>
                <w:color w:val="FFFFFF"/>
                <w:sz w:val="21"/>
              </w:rPr>
              <w:t>قاعده</w:t>
            </w:r>
          </w:p>
        </w:tc>
      </w:tr>
      <w:tr>
        <w:tc>
          <w:tcPr>
            <w:tcW w:type="dxa" w:w="3969"/>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Template رمزگذاری‌شده اثر انگشت</w:t>
            </w:r>
          </w:p>
        </w:tc>
        <w:tc>
          <w:tcPr>
            <w:tcW w:type="dxa" w:w="1417"/>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t>۳۶۵ روز</w:t>
            </w:r>
          </w:p>
        </w:tc>
        <w:tc>
          <w:tcPr>
            <w:tcW w:type="dxa" w:w="3685"/>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پس از پایان دوره یا تحقق سبب حذف، طبق فرایند کنترل‌شده حذف می‌شود</w:t>
            </w:r>
          </w:p>
        </w:tc>
      </w:tr>
      <w:tr>
        <w:tc>
          <w:tcPr>
            <w:tcW w:type="dxa" w:w="3969"/>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شواهد تأیید خروج</w:t>
            </w:r>
          </w:p>
        </w:tc>
        <w:tc>
          <w:tcPr>
            <w:tcW w:type="dxa" w:w="1417"/>
            <w:vAlign w:val="center"/>
            <w:tcMar>
              <w:top w:w="110" w:type="dxa"/>
              <w:start w:w="140" w:type="dxa"/>
              <w:bottom w:w="110" w:type="dxa"/>
              <w:end w:w="140" w:type="dxa"/>
            </w:tcMar>
            <w:shd w:fill="F3F6F9"/>
          </w:tcPr>
          <w:p>
            <w:pPr>
              <w:spacing w:after="0" w:line="259" w:lineRule="auto"/>
              <w:jc w:val="center"/>
              <w:bidi w:val="1"/>
            </w:pPr>
            <w:r>
              <w:rPr>
                <w:rFonts w:ascii="B Nazanin" w:hAnsi="B Nazanin" w:cs="B Nazanin"/>
                <w:b w:val="0"/>
                <w:color w:val="000000"/>
                <w:sz w:val="21"/>
              </w:rPr>
              <w:t>۳۶۵ روز</w:t>
            </w:r>
          </w:p>
        </w:tc>
        <w:tc>
          <w:tcPr>
            <w:tcW w:type="dxa" w:w="3685"/>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فقط برای ممیزی همان عملیات نگهداری می‌شود</w:t>
            </w:r>
          </w:p>
        </w:tc>
      </w:tr>
      <w:tr>
        <w:tc>
          <w:tcPr>
            <w:tcW w:type="dxa" w:w="3969"/>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لاگ امنیتی</w:t>
            </w:r>
          </w:p>
        </w:tc>
        <w:tc>
          <w:tcPr>
            <w:tcW w:type="dxa" w:w="1417"/>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t>۷۳۰ روز</w:t>
            </w:r>
          </w:p>
        </w:tc>
        <w:tc>
          <w:tcPr>
            <w:tcW w:type="dxa" w:w="3685"/>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دسترسی محدود و ممیزی‌شده</w:t>
            </w:r>
          </w:p>
        </w:tc>
      </w:tr>
      <w:tr>
        <w:tc>
          <w:tcPr>
            <w:tcW w:type="dxa" w:w="3969"/>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Export موقت</w:t>
            </w:r>
          </w:p>
        </w:tc>
        <w:tc>
          <w:tcPr>
            <w:tcW w:type="dxa" w:w="1417"/>
            <w:vAlign w:val="center"/>
            <w:tcMar>
              <w:top w:w="110" w:type="dxa"/>
              <w:start w:w="140" w:type="dxa"/>
              <w:bottom w:w="110" w:type="dxa"/>
              <w:end w:w="140" w:type="dxa"/>
            </w:tcMar>
            <w:shd w:fill="F3F6F9"/>
          </w:tcPr>
          <w:p>
            <w:pPr>
              <w:spacing w:after="0" w:line="259" w:lineRule="auto"/>
              <w:jc w:val="center"/>
              <w:bidi w:val="1"/>
            </w:pPr>
            <w:r>
              <w:rPr>
                <w:rFonts w:ascii="B Nazanin" w:hAnsi="B Nazanin" w:cs="B Nazanin"/>
                <w:b w:val="0"/>
                <w:color w:val="000000"/>
                <w:sz w:val="21"/>
              </w:rPr>
              <w:t>۷ روز</w:t>
            </w:r>
          </w:p>
        </w:tc>
        <w:tc>
          <w:tcPr>
            <w:tcW w:type="dxa" w:w="3685"/>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پس از پایان نیاز عملیاتی حذف می‌شود</w:t>
            </w:r>
          </w:p>
        </w:tc>
      </w:tr>
      <w:tr>
        <w:tc>
          <w:tcPr>
            <w:tcW w:type="dxa" w:w="3969"/>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باقی‌ماندن در Backup</w:t>
            </w:r>
          </w:p>
        </w:tc>
        <w:tc>
          <w:tcPr>
            <w:tcW w:type="dxa" w:w="1417"/>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t>۹۰ روز</w:t>
            </w:r>
          </w:p>
        </w:tc>
        <w:tc>
          <w:tcPr>
            <w:tcW w:type="dxa" w:w="3685"/>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بازگشت داده حذف‌شده به چرخه عملیاتی ممنوع است</w:t>
            </w:r>
          </w:p>
        </w:tc>
      </w:tr>
      <w:tr>
        <w:tc>
          <w:tcPr>
            <w:tcW w:type="dxa" w:w="3969"/>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گواهی حذف</w:t>
            </w:r>
          </w:p>
        </w:tc>
        <w:tc>
          <w:tcPr>
            <w:tcW w:type="dxa" w:w="1417"/>
            <w:vAlign w:val="center"/>
            <w:tcMar>
              <w:top w:w="110" w:type="dxa"/>
              <w:start w:w="140" w:type="dxa"/>
              <w:bottom w:w="110" w:type="dxa"/>
              <w:end w:w="140" w:type="dxa"/>
            </w:tcMar>
            <w:shd w:fill="F3F6F9"/>
          </w:tcPr>
          <w:p>
            <w:pPr>
              <w:spacing w:after="0" w:line="259" w:lineRule="auto"/>
              <w:jc w:val="center"/>
              <w:bidi w:val="1"/>
            </w:pPr>
            <w:r>
              <w:rPr>
                <w:rFonts w:ascii="B Nazanin" w:hAnsi="B Nazanin" w:cs="B Nazanin"/>
                <w:b w:val="0"/>
                <w:color w:val="000000"/>
                <w:sz w:val="21"/>
              </w:rPr>
              <w:t>۲۵۵۵ روز</w:t>
            </w:r>
          </w:p>
        </w:tc>
        <w:tc>
          <w:tcPr>
            <w:tcW w:type="dxa" w:w="3685"/>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بدون نگهداری Template یا تصویر خام</w:t>
            </w:r>
          </w:p>
        </w:tc>
      </w:tr>
    </w:tbl>
    <w:p>
      <w:pPr>
        <w:pStyle w:val="Heading1"/>
        <w:spacing w:before="240" w:after="120"/>
        <w:jc w:val="right"/>
        <w:keepNext/>
        <w:bidi w:val="1"/>
      </w:pPr>
      <w:r>
        <w:rPr>
          <w:rFonts w:ascii="B Nazanin" w:hAnsi="B Nazanin" w:cs="B Nazanin"/>
          <w:b/>
          <w:color w:val="000000"/>
          <w:sz w:val="30"/>
        </w:rPr>
        <w:t>۷ قطع همکاری و پس‌گرفتن رضایت</w:t>
      </w:r>
    </w:p>
    <w:p>
      <w:pPr>
        <w:spacing w:after="120" w:line="283" w:lineRule="auto"/>
        <w:jc w:val="right"/>
        <w:keepNext w:val="0"/>
        <w:bidi w:val="1"/>
      </w:pPr>
      <w:r>
        <w:rPr>
          <w:rFonts w:ascii="B Nazanin" w:hAnsi="B Nazanin" w:cs="B Nazanin"/>
          <w:color w:val="000000"/>
          <w:sz w:val="24"/>
        </w:rPr>
        <w:t>در صورت قطع همکاری یا پس‌گرفتن رضایت، ثبت بیومتریک فوراً غیرفعال و هرگونه استفاده بعدی ممنوع می‌شود. حذف Template مطابق برنامه حذف زمان‌بندی و پس از اجرا، گواهی حذف بدون نگهداری خود Template ثبت می‌شود. از زمان غیرفعال‌سازی، روش OTP به‌همراه تأیید نگهبان جایگزین خواهد بود.</w:t>
      </w:r>
    </w:p>
    <w:p>
      <w:pPr>
        <w:pStyle w:val="Heading1"/>
        <w:spacing w:before="240" w:after="120"/>
        <w:jc w:val="right"/>
        <w:keepNext/>
        <w:bidi w:val="1"/>
      </w:pPr>
      <w:r>
        <w:rPr>
          <w:rFonts w:ascii="B Nazanin" w:hAnsi="B Nazanin" w:cs="B Nazanin"/>
          <w:b/>
          <w:color w:val="000000"/>
          <w:sz w:val="30"/>
        </w:rPr>
        <w:t>۸ رخداد امنیتی و اطلاع‌رسانی</w:t>
      </w:r>
    </w:p>
    <w:p>
      <w:pPr>
        <w:spacing w:after="120" w:line="283" w:lineRule="auto"/>
        <w:jc w:val="right"/>
        <w:keepNext w:val="0"/>
        <w:bidi w:val="1"/>
      </w:pPr>
      <w:r>
        <w:rPr>
          <w:rFonts w:ascii="B Nazanin" w:hAnsi="B Nazanin" w:cs="B Nazanin"/>
          <w:color w:val="000000"/>
          <w:sz w:val="24"/>
        </w:rPr>
        <w:t>در صورت نشت، دسترسی غیرمجاز، تغییر غیرمجاز، خرابی زنجیره ممیزی یا احتمال افشای داده، پردازش مرتبط متوقف، دامنه حادثه محدود، شواهد لازم حفاظت و بررسی فنی و مدیریتی آغاز می‌شود. مسئول رسمی رسیدگی، مهندس آرمان نیک‌فر، مدیر امنیت اطلاعات است.</w:t>
      </w:r>
    </w:p>
    <w:p>
      <w:pPr>
        <w:spacing w:after="120" w:line="283" w:lineRule="auto"/>
        <w:jc w:val="right"/>
        <w:keepNext w:val="0"/>
        <w:bidi w:val="1"/>
      </w:pPr>
      <w:r>
        <w:rPr>
          <w:rFonts w:ascii="B Nazanin" w:hAnsi="B Nazanin" w:cs="B Nazanin"/>
          <w:color w:val="000000"/>
          <w:sz w:val="24"/>
        </w:rPr>
        <w:t>اطلاع‌رسانی به فرد از طریق پیامک و تماس تلفنی با شماره ثبت‌شده انجام می‌شود و در حوادث مهم، نامه رسمی نیز صادر خواهد شد. محتوای اطلاع‌رسانی باید ماهیت حادثه، اقدامات حفاظتی و مسیر پیگیری را به‌صورت روشن بیان کند.</w:t>
      </w:r>
    </w:p>
    <w:p>
      <w:pPr>
        <w:pStyle w:val="Heading1"/>
        <w:spacing w:before="240" w:after="120"/>
        <w:jc w:val="right"/>
        <w:keepNext/>
        <w:bidi w:val="1"/>
      </w:pPr>
      <w:r>
        <w:rPr>
          <w:rFonts w:ascii="B Nazanin" w:hAnsi="B Nazanin" w:cs="B Nazanin"/>
          <w:b/>
          <w:color w:val="000000"/>
          <w:sz w:val="30"/>
        </w:rPr>
        <w:t>۹ افشا، انتقال و پردازش شخص ثالث</w:t>
      </w:r>
    </w:p>
    <w:p>
      <w:pPr>
        <w:spacing w:after="120" w:line="283" w:lineRule="auto"/>
        <w:jc w:val="right"/>
        <w:keepNext w:val="0"/>
        <w:bidi w:val="1"/>
      </w:pPr>
      <w:r>
        <w:rPr>
          <w:rFonts w:ascii="B Nazanin" w:hAnsi="B Nazanin" w:cs="B Nazanin"/>
          <w:color w:val="000000"/>
          <w:sz w:val="24"/>
        </w:rPr>
        <w:t>اطلاعات اثر انگشت به Xperix یا شخص ثالث ارسال نمی‌شود. هرگونه تغییر در مقصد پردازش، استفاده از سرویس بیرونی، انتقال داده یا هدف پردازش نیازمند بازبینی و تصویب نسخه جدید این سیاست و اخذ رضایت متناسب است.</w:t>
      </w:r>
    </w:p>
    <w:p>
      <w:pPr>
        <w:pStyle w:val="Heading1"/>
        <w:spacing w:before="240" w:after="120"/>
        <w:jc w:val="right"/>
        <w:keepNext/>
        <w:bidi w:val="1"/>
      </w:pPr>
      <w:r>
        <w:rPr>
          <w:rFonts w:ascii="B Nazanin" w:hAnsi="B Nazanin" w:cs="B Nazanin"/>
          <w:b/>
          <w:color w:val="000000"/>
          <w:sz w:val="30"/>
        </w:rPr>
        <w:t>۱۰ ممیزی و تغییر سیاست</w:t>
      </w:r>
    </w:p>
    <w:p>
      <w:pPr>
        <w:spacing w:after="120" w:line="283" w:lineRule="auto"/>
        <w:jc w:val="right"/>
        <w:keepNext w:val="0"/>
        <w:bidi w:val="1"/>
      </w:pPr>
      <w:r>
        <w:rPr>
          <w:rFonts w:ascii="B Nazanin" w:hAnsi="B Nazanin" w:cs="B Nazanin"/>
          <w:color w:val="000000"/>
          <w:sz w:val="24"/>
        </w:rPr>
        <w:t>دسترسی‌ها، ثبت رضایت، غیرفعال‌سازی، حذف، تأیید خروج و رخدادهای امنیتی باید با هویت عامل و زمان انجام قابل ممیزی باشند. تغییر هدف، نوع داده، روش تطبیق، دوره نگهداری، اشخاص مجاز یا مسیر انتقال، نسخه جدید سیاست و متن رضایت را الزامی می‌کند.</w:t>
      </w:r>
    </w:p>
    <w:p>
      <w:pPr>
        <w:pStyle w:val="Heading1"/>
        <w:spacing w:before="240" w:after="120"/>
        <w:jc w:val="right"/>
        <w:keepNext/>
        <w:bidi w:val="1"/>
      </w:pPr>
      <w:r>
        <w:rPr>
          <w:rFonts w:ascii="B Nazanin" w:hAnsi="B Nazanin" w:cs="B Nazanin"/>
          <w:b/>
          <w:color w:val="000000"/>
          <w:sz w:val="30"/>
        </w:rPr>
        <w:t>۱۱ تأیید و امضا</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3685"/>
            <w:vAlign w:val="center"/>
            <w:tcMar>
              <w:top w:w="110" w:type="dxa"/>
              <w:start w:w="140" w:type="dxa"/>
              <w:bottom w:w="110" w:type="dxa"/>
              <w:end w:w="140" w:type="dxa"/>
            </w:tcMar>
            <w:shd w:fill="1F4E78"/>
          </w:tcPr>
          <w:p>
            <w:pPr>
              <w:spacing w:after="0" w:line="259" w:lineRule="auto"/>
              <w:jc w:val="right"/>
              <w:bidi w:val="1"/>
            </w:pPr>
            <w:r>
              <w:rPr>
                <w:rFonts w:ascii="B Nazanin" w:hAnsi="B Nazanin" w:cs="B Nazanin"/>
                <w:b/>
                <w:color w:val="FFFFFF"/>
                <w:sz w:val="21"/>
              </w:rPr>
              <w:t>سمت</w:t>
            </w:r>
          </w:p>
        </w:tc>
        <w:tc>
          <w:tcPr>
            <w:tcW w:type="dxa" w:w="2835"/>
            <w:vAlign w:val="center"/>
            <w:tcMar>
              <w:top w:w="110" w:type="dxa"/>
              <w:start w:w="140" w:type="dxa"/>
              <w:bottom w:w="110" w:type="dxa"/>
              <w:end w:w="140" w:type="dxa"/>
            </w:tcMar>
            <w:shd w:fill="1F4E78"/>
          </w:tcPr>
          <w:p>
            <w:pPr>
              <w:spacing w:after="0" w:line="259" w:lineRule="auto"/>
              <w:jc w:val="center"/>
              <w:bidi w:val="1"/>
            </w:pPr>
            <w:r>
              <w:rPr>
                <w:rFonts w:ascii="B Nazanin" w:hAnsi="B Nazanin" w:cs="B Nazanin"/>
                <w:b/>
                <w:color w:val="FFFFFF"/>
                <w:sz w:val="21"/>
              </w:rPr>
              <w:t>نام</w:t>
            </w:r>
          </w:p>
        </w:tc>
        <w:tc>
          <w:tcPr>
            <w:tcW w:type="dxa" w:w="2551"/>
            <w:vAlign w:val="center"/>
            <w:tcMar>
              <w:top w:w="110" w:type="dxa"/>
              <w:start w:w="140" w:type="dxa"/>
              <w:bottom w:w="110" w:type="dxa"/>
              <w:end w:w="140" w:type="dxa"/>
            </w:tcMar>
            <w:shd w:fill="1F4E78"/>
          </w:tcPr>
          <w:p>
            <w:pPr>
              <w:spacing w:after="0" w:line="259" w:lineRule="auto"/>
              <w:jc w:val="right"/>
              <w:bidi w:val="1"/>
            </w:pPr>
            <w:r>
              <w:rPr>
                <w:rFonts w:ascii="B Nazanin" w:hAnsi="B Nazanin" w:cs="B Nazanin"/>
                <w:b/>
                <w:color w:val="FFFFFF"/>
                <w:sz w:val="21"/>
              </w:rPr>
              <w:t>امضا و تاریخ</w:t>
            </w:r>
          </w:p>
        </w:tc>
      </w:tr>
      <w:tr>
        <w:trPr>
          <w:trHeight w:val="1020"/>
        </w:trPr>
        <w:tc>
          <w:tcPr>
            <w:tcW w:type="dxa" w:w="3685"/>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مشاور حقوقی و وکیل پایه‌یک دادگستری</w:t>
            </w:r>
          </w:p>
        </w:tc>
        <w:tc>
          <w:tcPr>
            <w:tcW w:type="dxa" w:w="2835"/>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t>دکتر نگار فرهمند</w:t>
            </w:r>
          </w:p>
        </w:tc>
        <w:tc>
          <w:tcPr>
            <w:tcW w:type="dxa" w:w="2551"/>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r>
          </w:p>
        </w:tc>
      </w:tr>
      <w:tr>
        <w:trPr>
          <w:trHeight w:val="1020"/>
        </w:trPr>
        <w:tc>
          <w:tcPr>
            <w:tcW w:type="dxa" w:w="3685"/>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t>مدیر امنیت اطلاعات</w:t>
            </w:r>
          </w:p>
        </w:tc>
        <w:tc>
          <w:tcPr>
            <w:tcW w:type="dxa" w:w="2835"/>
            <w:vAlign w:val="center"/>
            <w:tcMar>
              <w:top w:w="110" w:type="dxa"/>
              <w:start w:w="140" w:type="dxa"/>
              <w:bottom w:w="110" w:type="dxa"/>
              <w:end w:w="140" w:type="dxa"/>
            </w:tcMar>
            <w:shd w:fill="F3F6F9"/>
          </w:tcPr>
          <w:p>
            <w:pPr>
              <w:spacing w:after="0" w:line="259" w:lineRule="auto"/>
              <w:jc w:val="center"/>
              <w:bidi w:val="1"/>
            </w:pPr>
            <w:r>
              <w:rPr>
                <w:rFonts w:ascii="B Nazanin" w:hAnsi="B Nazanin" w:cs="B Nazanin"/>
                <w:b w:val="0"/>
                <w:color w:val="000000"/>
                <w:sz w:val="21"/>
              </w:rPr>
              <w:t>مهندس آرمان نیک‌فر</w:t>
            </w:r>
          </w:p>
        </w:tc>
        <w:tc>
          <w:tcPr>
            <w:tcW w:type="dxa" w:w="2551"/>
            <w:vAlign w:val="center"/>
            <w:tcMar>
              <w:top w:w="110" w:type="dxa"/>
              <w:start w:w="140" w:type="dxa"/>
              <w:bottom w:w="110" w:type="dxa"/>
              <w:end w:w="140" w:type="dxa"/>
            </w:tcMar>
            <w:shd w:fill="F3F6F9"/>
          </w:tcPr>
          <w:p>
            <w:pPr>
              <w:spacing w:after="0" w:line="259" w:lineRule="auto"/>
              <w:jc w:val="right"/>
              <w:bidi w:val="1"/>
            </w:pPr>
            <w:r>
              <w:rPr>
                <w:rFonts w:ascii="B Nazanin" w:hAnsi="B Nazanin" w:cs="B Nazanin"/>
                <w:b w:val="0"/>
                <w:color w:val="000000"/>
                <w:sz w:val="21"/>
              </w:rPr>
            </w:r>
          </w:p>
        </w:tc>
      </w:tr>
      <w:tr>
        <w:trPr>
          <w:trHeight w:val="1020"/>
        </w:trPr>
        <w:tc>
          <w:tcPr>
            <w:tcW w:type="dxa" w:w="3685"/>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t>نماینده مجاز شرکت</w:t>
            </w:r>
          </w:p>
        </w:tc>
        <w:tc>
          <w:tcPr>
            <w:tcW w:type="dxa" w:w="2835"/>
            <w:vAlign w:val="center"/>
            <w:tcMar>
              <w:top w:w="110" w:type="dxa"/>
              <w:start w:w="140" w:type="dxa"/>
              <w:bottom w:w="110" w:type="dxa"/>
              <w:end w:w="140" w:type="dxa"/>
            </w:tcMar>
          </w:tcPr>
          <w:p>
            <w:pPr>
              <w:spacing w:after="0" w:line="259" w:lineRule="auto"/>
              <w:jc w:val="center"/>
              <w:bidi w:val="1"/>
            </w:pPr>
            <w:r>
              <w:rPr>
                <w:rFonts w:ascii="B Nazanin" w:hAnsi="B Nazanin" w:cs="B Nazanin"/>
                <w:b w:val="0"/>
                <w:color w:val="000000"/>
                <w:sz w:val="21"/>
              </w:rPr>
            </w:r>
          </w:p>
        </w:tc>
        <w:tc>
          <w:tcPr>
            <w:tcW w:type="dxa" w:w="2551"/>
            <w:vAlign w:val="center"/>
            <w:tcMar>
              <w:top w:w="110" w:type="dxa"/>
              <w:start w:w="140" w:type="dxa"/>
              <w:bottom w:w="110" w:type="dxa"/>
              <w:end w:w="140" w:type="dxa"/>
            </w:tcMar>
          </w:tcPr>
          <w:p>
            <w:pPr>
              <w:spacing w:after="0" w:line="259" w:lineRule="auto"/>
              <w:jc w:val="right"/>
              <w:bidi w:val="1"/>
            </w:pPr>
            <w:r>
              <w:rPr>
                <w:rFonts w:ascii="B Nazanin" w:hAnsi="B Nazanin" w:cs="B Nazanin"/>
                <w:b w:val="0"/>
                <w:color w:val="000000"/>
                <w:sz w:val="21"/>
              </w:rPr>
            </w:r>
          </w:p>
        </w:tc>
      </w:tr>
    </w:tbl>
    <w:p>
      <w:pPr>
        <w:pStyle w:val="Heading1"/>
        <w:spacing w:before="240" w:after="120"/>
        <w:jc w:val="right"/>
        <w:keepNext/>
        <w:bidi w:val="1"/>
      </w:pPr>
      <w:r>
        <w:rPr>
          <w:rFonts w:ascii="B Nazanin" w:hAnsi="B Nazanin" w:cs="B Nazanin"/>
          <w:b/>
          <w:color w:val="000000"/>
          <w:sz w:val="30"/>
        </w:rPr>
        <w:t>۱۲ منابع مبنای بررسی</w:t>
      </w:r>
    </w:p>
    <w:p>
      <w:pPr>
        <w:spacing w:after="120" w:line="283" w:lineRule="auto"/>
        <w:jc w:val="right"/>
        <w:keepNext w:val="0"/>
        <w:bidi w:val="1"/>
      </w:pPr>
      <w:r>
        <w:rPr>
          <w:rFonts w:ascii="B Nazanin" w:hAnsi="B Nazanin" w:cs="B Nazanin"/>
          <w:color w:val="000000"/>
          <w:sz w:val="24"/>
        </w:rPr>
        <w:t>قانون تجارت الکترونیکی جمهوری اسلامی ایران، مواد ۵۸ تا ۶۱؛ دستورالعمل اجرایی بهبود حفاظت از حریم خصوصی کاربران و شیوه جمع‌آوری، پردازش و نگهداری اطلاعات کاربران در سامانه‌ها و سکوهای فضای مجازی، مصوب ۱۴۰۲/۱۰/۱۱. تشخیص دامنه شمول و کفایت حقوقی این سیاست با مشاور حقوقی تأییدکننده است.</w:t>
      </w:r>
    </w:p>
    <w:sectPr w:rsidR="00FC693F" w:rsidRPr="0006063C" w:rsidSect="00034616">
      <w:footerReference w:type="default" r:id="rId9"/>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B Nazanin" w:hAnsi="B Nazanin" w:cs="B Nazanin"/>
        <w:color w:val="000000"/>
        <w:sz w:val="18"/>
      </w:rPr>
      <w:t>شرکت صنایع سنگ سبلان آریا — سیاست حفاظت از داده‌های بیومتریک — BIO-PRIVACY-1405-01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cs="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