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 xml:space="preserve"># **Optimizing User, Group, and Role Management with Access Control and Workflows**  </w:t>
      </w:r>
    </w:p>
    <w:p>
      <w:pPr>
        <w:spacing w:line="240" w:lineRule="auto" w:after="0" w:before="0"/>
        <w:ind w:right="0" w:left="0"/>
      </w:pPr>
      <w:r>
        <w:rPr>
          <w:rFonts w:ascii="Arial" w:hAnsi="Arial" w:cs="Arial" w:eastAsia="Arial"/>
          <w:color w:val="252525"/>
          <w:sz w:val="43"/>
        </w:rPr>
        <w:t xml:space="preserve">**Document Report**  </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 xml:space="preserve">## **1. Executive Summary**  </w:t>
      </w:r>
    </w:p>
    <w:p>
      <w:pPr>
        <w:spacing w:line="240" w:lineRule="auto" w:after="0" w:before="0"/>
        <w:ind w:right="0" w:left="0"/>
      </w:pPr>
      <w:r>
        <w:rPr>
          <w:rFonts w:ascii="Arial" w:hAnsi="Arial" w:cs="Arial" w:eastAsia="Arial"/>
          <w:color w:val="252525"/>
          <w:sz w:val="43"/>
        </w:rPr>
        <w:t xml:space="preserve">Effective identity and access management (IAM) is critical for security, compliance, and operational efficiency. This report outlines best practices for optimizing user, group, and role management through access control and workflow automation, leveraging insights from industry standards and case studies.  </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 xml:space="preserve">## **2. Core Components of IAM Optimization**  </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 xml:space="preserve">### **2.1 User Management**  </w:t>
      </w:r>
    </w:p>
    <w:p>
      <w:pPr>
        <w:spacing w:line="240" w:lineRule="auto" w:after="0" w:before="0"/>
        <w:ind w:right="0" w:left="0"/>
      </w:pPr>
      <w:r>
        <w:rPr>
          <w:rFonts w:ascii="Arial" w:hAnsi="Arial" w:cs="Arial" w:eastAsia="Arial"/>
          <w:color w:val="252525"/>
          <w:sz w:val="43"/>
        </w:rPr>
        <w:t xml:space="preserve">- **Centralized Identity Repositories**: Use tools like Adobe CRX or Zluri to manage user accounts, ensuring lifecycle management (onboarding/offboarding) and authentication mechanisms .  </w:t>
      </w:r>
    </w:p>
    <w:p>
      <w:pPr>
        <w:spacing w:line="240" w:lineRule="auto" w:after="0" w:before="0"/>
        <w:ind w:right="0" w:left="0"/>
      </w:pPr>
      <w:r>
        <w:rPr>
          <w:rFonts w:ascii="Arial" w:hAnsi="Arial" w:cs="Arial" w:eastAsia="Arial"/>
          <w:color w:val="252525"/>
          <w:sz w:val="43"/>
        </w:rPr>
        <w:t xml:space="preserve">- **Automated Provisioning/Deprovisioning**: Reduces manual errors and ensures timely access updates .  </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 xml:space="preserve">### **2.2 Group Management**  </w:t>
      </w:r>
    </w:p>
    <w:p>
      <w:pPr>
        <w:spacing w:line="240" w:lineRule="auto" w:after="0" w:before="0"/>
        <w:ind w:right="0" w:left="0"/>
      </w:pPr>
      <w:r>
        <w:rPr>
          <w:rFonts w:ascii="Arial" w:hAnsi="Arial" w:cs="Arial" w:eastAsia="Arial"/>
          <w:color w:val="252525"/>
          <w:sz w:val="43"/>
        </w:rPr>
        <w:t xml:space="preserve">- **Logical Groupings**: Organize users by department (e.g., `workflow-users` and `workflow-administrators` in Adobe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43"/>
        </w:rPr>
        <w:t xml:space="preserve">CRX) to simplify permissions .  </w:t>
      </w:r>
    </w:p>
    <w:p>
      <w:pPr>
        <w:spacing w:line="240" w:lineRule="auto" w:after="0" w:before="0"/>
        <w:ind w:right="0" w:left="0"/>
      </w:pPr>
      <w:r>
        <w:rPr>
          <w:rFonts w:ascii="Arial" w:hAnsi="Arial" w:cs="Arial" w:eastAsia="Arial"/>
          <w:color w:val="252525"/>
          <w:sz w:val="43"/>
        </w:rPr>
        <w:t xml:space="preserve">- **Hierarchical Structures**: Nest groups for scalable access control (e.g., subfolders in `/var/workflow/models`) .  </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 xml:space="preserve">### **2.3 Role-Based Access Control (RBAC)**  </w:t>
      </w:r>
    </w:p>
    <w:p>
      <w:pPr>
        <w:spacing w:line="240" w:lineRule="auto" w:after="0" w:before="0"/>
        <w:ind w:right="0" w:left="0"/>
      </w:pPr>
      <w:r>
        <w:rPr>
          <w:rFonts w:ascii="Arial" w:hAnsi="Arial" w:cs="Arial" w:eastAsia="Arial"/>
          <w:color w:val="252525"/>
          <w:sz w:val="43"/>
        </w:rPr>
        <w:t xml:space="preserve">- **Least Privilege Principle**: Assign minimal permissions required for job functions (e.g., Alteryx Server’s `Viewer` vs. `Curator` roles) .  </w:t>
      </w:r>
    </w:p>
    <w:p>
      <w:pPr>
        <w:spacing w:line="240" w:lineRule="auto" w:after="0" w:before="0"/>
        <w:ind w:right="0" w:left="0"/>
      </w:pPr>
      <w:r>
        <w:rPr>
          <w:rFonts w:ascii="Arial" w:hAnsi="Arial" w:cs="Arial" w:eastAsia="Arial"/>
          <w:color w:val="252525"/>
          <w:sz w:val="43"/>
        </w:rPr>
        <w:t xml:space="preserve">- **Dynamic Role Assignment**: Combine RBAC with attribute-based access control (ABAC) for flexibility .  </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 xml:space="preserve">### **2.4 Access Control Models**  </w:t>
      </w:r>
    </w:p>
    <w:p>
      <w:pPr>
        <w:spacing w:line="240" w:lineRule="auto" w:after="0" w:before="0"/>
        <w:ind w:right="0" w:left="0"/>
      </w:pPr>
      <w:r>
        <w:rPr>
          <w:rFonts w:ascii="Arial" w:hAnsi="Arial" w:cs="Arial" w:eastAsia="Arial"/>
          <w:color w:val="252525"/>
          <w:sz w:val="43"/>
        </w:rPr>
        <w:t xml:space="preserve">- **Resource-Based ACLs**: Adobe CRX uses ACLs to restrict workflow access (e.g., denying `jcr:read` to `content-authors`) .  </w:t>
      </w:r>
    </w:p>
    <w:p>
      <w:pPr>
        <w:spacing w:line="240" w:lineRule="auto" w:after="0" w:before="0"/>
        <w:ind w:right="0" w:left="0"/>
      </w:pPr>
      <w:r>
        <w:rPr>
          <w:rFonts w:ascii="Arial" w:hAnsi="Arial" w:cs="Arial" w:eastAsia="Arial"/>
          <w:color w:val="252525"/>
          <w:sz w:val="43"/>
        </w:rPr>
        <w:t xml:space="preserve">- **Zero Trust Framework**: Continuously verify identities and enforce just-in-time (JIT) access .  </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 xml:space="preserve">### **2.5 Workflow Automation**  </w:t>
      </w:r>
    </w:p>
    <w:p>
      <w:pPr>
        <w:spacing w:line="240" w:lineRule="auto" w:after="0" w:before="0"/>
        <w:ind w:right="0" w:left="0"/>
      </w:pPr>
      <w:r>
        <w:rPr>
          <w:rFonts w:ascii="Arial" w:hAnsi="Arial" w:cs="Arial" w:eastAsia="Arial"/>
          <w:color w:val="252525"/>
          <w:sz w:val="43"/>
        </w:rPr>
        <w:t xml:space="preserve">- **Self-Service Requests**: Tools like Zluri automate access reviews, reducing manual work by 70% .  </w:t>
      </w:r>
    </w:p>
    <w:p>
      <w:pPr>
        <w:spacing w:line="240" w:lineRule="auto" w:after="0" w:before="0"/>
        <w:ind w:right="0" w:left="0"/>
      </w:pPr>
      <w:r>
        <w:rPr>
          <w:rFonts w:ascii="Arial" w:hAnsi="Arial" w:cs="Arial" w:eastAsia="Arial"/>
          <w:color w:val="252525"/>
          <w:sz w:val="43"/>
        </w:rPr>
        <w:t xml:space="preserve">- **Approval Chains**: Configure workflows with manager/administrator approvals (e.g., Adobe CRX’s `workflow-administrators` group) .  </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 xml:space="preserve">## **3. Best Practices for Optimization**  </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 xml:space="preserve">### **3.1 Regular Access Reviews**  </w:t>
      </w:r>
    </w:p>
    <w:p>
      <w:pPr>
        <w:spacing w:line="240" w:lineRule="auto" w:after="0" w:before="0"/>
        <w:ind w:right="0" w:left="0"/>
      </w:pPr>
      <w:r>
        <w:rPr>
          <w:rFonts w:ascii="Arial" w:hAnsi="Arial" w:cs="Arial" w:eastAsia="Arial"/>
          <w:color w:val="252525"/>
          <w:sz w:val="43"/>
        </w:rPr>
        <w:t xml:space="preserve">- **Automated Reports**: Use tools like Zluri to generate user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43"/>
        </w:rPr>
        <w:t xml:space="preserve">access review reports, highlighting unused permissions and compliance gaps .  </w:t>
      </w:r>
    </w:p>
    <w:p>
      <w:pPr>
        <w:spacing w:line="240" w:lineRule="auto" w:after="0" w:before="0"/>
        <w:ind w:right="0" w:left="0"/>
      </w:pPr>
      <w:r>
        <w:rPr>
          <w:rFonts w:ascii="Arial" w:hAnsi="Arial" w:cs="Arial" w:eastAsia="Arial"/>
          <w:color w:val="252525"/>
          <w:sz w:val="43"/>
        </w:rPr>
        <w:t xml:space="preserve">- **Audit Schedules**: Conduct quarterly reviews to align with regulations (GDPR, HIPAA, SOX) .  </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 xml:space="preserve">### **3.2 Compliance Integration**  </w:t>
      </w:r>
    </w:p>
    <w:p>
      <w:pPr>
        <w:spacing w:line="240" w:lineRule="auto" w:after="0" w:before="0"/>
        <w:ind w:right="0" w:left="0"/>
      </w:pPr>
      <w:r>
        <w:rPr>
          <w:rFonts w:ascii="Arial" w:hAnsi="Arial" w:cs="Arial" w:eastAsia="Arial"/>
          <w:color w:val="252525"/>
          <w:sz w:val="43"/>
        </w:rPr>
        <w:t xml:space="preserve">- **Regulatory Alignment**: Map access controls to standards like ISO 27001 (Clause 9.2) and PCI DSS (Requirement 8.1.6) .  </w:t>
      </w:r>
    </w:p>
    <w:p>
      <w:pPr>
        <w:spacing w:line="240" w:lineRule="auto" w:after="0" w:before="0"/>
        <w:ind w:right="0" w:left="0"/>
      </w:pPr>
      <w:r>
        <w:rPr>
          <w:rFonts w:ascii="Arial" w:hAnsi="Arial" w:cs="Arial" w:eastAsia="Arial"/>
          <w:color w:val="252525"/>
          <w:sz w:val="43"/>
        </w:rPr>
        <w:t xml:space="preserve">- **Documentation**: Maintain logs for audits (e.g., Meta’s $277M GDPR fine underscores the importance of access records) .  </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 xml:space="preserve">### **3.3 Incident Preparedness**  </w:t>
      </w:r>
    </w:p>
    <w:p>
      <w:pPr>
        <w:spacing w:line="240" w:lineRule="auto" w:after="0" w:before="0"/>
        <w:ind w:right="0" w:left="0"/>
      </w:pPr>
      <w:r>
        <w:rPr>
          <w:rFonts w:ascii="Arial" w:hAnsi="Arial" w:cs="Arial" w:eastAsia="Arial"/>
          <w:color w:val="252525"/>
          <w:sz w:val="43"/>
        </w:rPr>
        <w:t xml:space="preserve">- **Anomaly Detection**: User access reports aid in rapid response to breaches (e.g., identifying insider threats like Tesla’s data leak) .  </w:t>
      </w:r>
    </w:p>
    <w:p>
      <w:pPr>
        <w:spacing w:line="240" w:lineRule="auto" w:after="0" w:before="0"/>
        <w:ind w:right="0" w:left="0"/>
      </w:pPr>
      <w:r>
        <w:rPr>
          <w:rFonts w:ascii="Arial" w:hAnsi="Arial" w:cs="Arial" w:eastAsia="Arial"/>
          <w:color w:val="252525"/>
          <w:sz w:val="43"/>
        </w:rPr>
        <w:t xml:space="preserve">- **Deprovisioning Orphaned Accounts**: Automate removal of unused credentials (85% are often inactive) .  </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 xml:space="preserve">### **3.4 Cost and Resource Optimization**  </w:t>
      </w:r>
    </w:p>
    <w:p>
      <w:pPr>
        <w:spacing w:line="240" w:lineRule="auto" w:after="0" w:before="0"/>
        <w:ind w:right="0" w:left="0"/>
      </w:pPr>
      <w:r>
        <w:rPr>
          <w:rFonts w:ascii="Arial" w:hAnsi="Arial" w:cs="Arial" w:eastAsia="Arial"/>
          <w:color w:val="252525"/>
          <w:sz w:val="43"/>
        </w:rPr>
        <w:t xml:space="preserve">- **License Management**: Remove unused SaaS access to reduce costs (e.g., Alteryx’s role-based licensing) .  </w:t>
      </w:r>
    </w:p>
    <w:p>
      <w:pPr>
        <w:spacing w:line="240" w:lineRule="auto" w:after="0" w:before="0"/>
        <w:ind w:right="0" w:left="0"/>
      </w:pPr>
      <w:r>
        <w:rPr>
          <w:rFonts w:ascii="Arial" w:hAnsi="Arial" w:cs="Arial" w:eastAsia="Arial"/>
          <w:color w:val="252525"/>
          <w:sz w:val="43"/>
        </w:rPr>
        <w:t xml:space="preserve">- **Shadow IT Mitigation**: Uncover unauthorized tools via access reviews .  </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 xml:space="preserve">## **4. Implementation Roadmap**  </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 xml:space="preserve">| **Phase** | **Actions** | **Tools/Examples** |  </w:t>
      </w:r>
    </w:p>
    <w:p>
      <w:pPr>
        <w:spacing w:line="240" w:lineRule="auto" w:after="0" w:before="0"/>
        <w:ind w:right="0" w:left="0"/>
      </w:pPr>
      <w:r>
        <w:rPr>
          <w:rFonts w:ascii="Arial" w:hAnsi="Arial" w:cs="Arial" w:eastAsia="Arial"/>
          <w:color w:val="252525"/>
          <w:sz w:val="43"/>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43"/>
        </w:rPr>
        <w:t xml:space="preserve">| **Assessment** | Audit current permissions, identify high-value data | Zluri, Adobe CRXDE Lite  |  </w:t>
      </w:r>
    </w:p>
    <w:p>
      <w:pPr>
        <w:spacing w:line="240" w:lineRule="auto" w:after="0" w:before="0"/>
        <w:ind w:right="0" w:left="0"/>
      </w:pPr>
      <w:r>
        <w:rPr>
          <w:rFonts w:ascii="Arial" w:hAnsi="Arial" w:cs="Arial" w:eastAsia="Arial"/>
          <w:color w:val="252525"/>
          <w:sz w:val="43"/>
        </w:rPr>
        <w:t xml:space="preserve">| **Core Setup** | Deploy RBAC/ABAC, automate workflows | Alteryx Server, ConductorOne  |  </w:t>
      </w:r>
    </w:p>
    <w:p>
      <w:pPr>
        <w:spacing w:line="240" w:lineRule="auto" w:after="0" w:before="0"/>
        <w:ind w:right="0" w:left="0"/>
      </w:pPr>
      <w:r>
        <w:rPr>
          <w:rFonts w:ascii="Arial" w:hAnsi="Arial" w:cs="Arial" w:eastAsia="Arial"/>
          <w:color w:val="252525"/>
          <w:sz w:val="43"/>
        </w:rPr>
        <w:t xml:space="preserve">| **Advanced** | Integrate Zero Trust, AI-driven analytics | StrongDM, ISO 27001 frameworks  |  </w:t>
      </w:r>
    </w:p>
    <w:p>
      <w:pPr>
        <w:spacing w:line="240" w:lineRule="auto" w:after="0" w:before="0"/>
        <w:ind w:right="0" w:left="0"/>
      </w:pPr>
      <w:r>
        <w:rPr>
          <w:rFonts w:ascii="Arial" w:hAnsi="Arial" w:cs="Arial" w:eastAsia="Arial"/>
          <w:color w:val="252525"/>
          <w:sz w:val="43"/>
        </w:rPr>
        <w:t xml:space="preserve">| **Optimization** | Continuous monitoring, user training | Adobe CRX ACL updates  |  </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 xml:space="preserve">## **5. Key Takeaways**  </w:t>
      </w:r>
    </w:p>
    <w:p>
      <w:pPr>
        <w:spacing w:line="240" w:lineRule="auto" w:after="0" w:before="0"/>
        <w:ind w:right="0" w:left="0"/>
      </w:pPr>
      <w:r>
        <w:rPr>
          <w:rFonts w:ascii="Arial" w:hAnsi="Arial" w:cs="Arial" w:eastAsia="Arial"/>
          <w:color w:val="252525"/>
          <w:sz w:val="43"/>
        </w:rPr>
        <w:t xml:space="preserve">1. **Automate** workflows to reduce manual effort and errors .  </w:t>
      </w:r>
    </w:p>
    <w:p>
      <w:pPr>
        <w:spacing w:line="240" w:lineRule="auto" w:after="0" w:before="0"/>
        <w:ind w:right="0" w:left="0"/>
      </w:pPr>
      <w:r>
        <w:rPr>
          <w:rFonts w:ascii="Arial" w:hAnsi="Arial" w:cs="Arial" w:eastAsia="Arial"/>
          <w:color w:val="252525"/>
          <w:sz w:val="43"/>
        </w:rPr>
        <w:t xml:space="preserve">2. **Enforce least privilege** to minimize attack surfaces .  </w:t>
      </w:r>
    </w:p>
    <w:p>
      <w:pPr>
        <w:spacing w:line="240" w:lineRule="auto" w:after="0" w:before="0"/>
        <w:ind w:right="0" w:left="0"/>
      </w:pPr>
      <w:r>
        <w:rPr>
          <w:rFonts w:ascii="Arial" w:hAnsi="Arial" w:cs="Arial" w:eastAsia="Arial"/>
          <w:color w:val="252525"/>
          <w:sz w:val="43"/>
        </w:rPr>
        <w:t xml:space="preserve">3. **Align with compliance** (e.g., GDPR, HIPAA) through documented reviews .  </w:t>
      </w:r>
    </w:p>
    <w:p>
      <w:pPr>
        <w:spacing w:line="240" w:lineRule="auto" w:after="0" w:before="0"/>
        <w:ind w:right="0" w:left="0"/>
      </w:pPr>
      <w:r>
        <w:rPr>
          <w:rFonts w:ascii="Arial" w:hAnsi="Arial" w:cs="Arial" w:eastAsia="Arial"/>
          <w:color w:val="252525"/>
          <w:sz w:val="43"/>
        </w:rPr>
        <w:t xml:space="preserve">4. **Leverage hybrid models** (RBAC + ABAC) for scalable access .  </w:t>
      </w:r>
    </w:p>
    <w:p>
      <w:pPr>
        <w:spacing w:line="240" w:lineRule="auto" w:after="0" w:before="0"/>
        <w:ind w:right="0" w:left="0"/>
      </w:pPr>
      <w:r>
        <w:rPr>
          <w:rFonts w:ascii="Arial" w:hAnsi="Arial" w:cs="Arial" w:eastAsia="Arial"/>
          <w:color w:val="252525"/>
          <w:sz w:val="43"/>
        </w:rPr>
        <w:t xml:space="preserve">5. **Monitor continuously** with AI and real-time analytics .  </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 xml:space="preserve">For deeper insights, refer to:  </w:t>
      </w:r>
    </w:p>
    <w:p>
      <w:pPr>
        <w:spacing w:line="240" w:lineRule="auto" w:after="0" w:before="0"/>
        <w:ind w:right="0" w:left="0"/>
      </w:pPr>
      <w:r>
        <w:rPr>
          <w:rFonts w:ascii="Arial" w:hAnsi="Arial" w:cs="Arial" w:eastAsia="Arial"/>
          <w:color w:val="252525"/>
          <w:sz w:val="43"/>
        </w:rPr>
        <w:t xml:space="preserve">- Adobe’s workflow ACL guide .  </w:t>
      </w:r>
    </w:p>
    <w:p>
      <w:pPr>
        <w:spacing w:line="240" w:lineRule="auto" w:after="0" w:before="0"/>
        <w:ind w:right="0" w:left="0"/>
      </w:pPr>
      <w:r>
        <w:rPr>
          <w:rFonts w:ascii="Arial" w:hAnsi="Arial" w:cs="Arial" w:eastAsia="Arial"/>
          <w:color w:val="252525"/>
          <w:sz w:val="43"/>
        </w:rPr>
        <w:t xml:space="preserve">- Zluri’s access review automation .  </w:t>
      </w:r>
    </w:p>
    <w:p>
      <w:pPr>
        <w:spacing w:line="240" w:lineRule="auto" w:after="0" w:before="0"/>
        <w:ind w:right="0" w:left="0"/>
      </w:pPr>
      <w:r>
        <w:rPr>
          <w:rFonts w:ascii="Arial" w:hAnsi="Arial" w:cs="Arial" w:eastAsia="Arial"/>
          <w:color w:val="252525"/>
          <w:sz w:val="43"/>
        </w:rPr>
        <w:t xml:space="preserve">- StrongDM’s IAM best practices .  </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 xml:space="preserve">---  </w:t>
      </w:r>
    </w:p>
    <w:p>
      <w:pPr>
        <w:spacing w:line="240" w:lineRule="auto" w:after="0" w:before="0"/>
        <w:ind w:right="0" w:left="0"/>
      </w:pPr>
      <w:r>
        <w:rPr>
          <w:rFonts w:ascii="Arial" w:hAnsi="Arial" w:cs="Arial" w:eastAsia="Arial"/>
          <w:color w:val="252525"/>
          <w:sz w:val="43"/>
        </w:rPr>
        <w:t>**Formatting Note**: This content can be exported to PDF using tools like Microsoft Word or Google Docs. Let me know if you need adjustments!</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2025-06-30T05:26:42Z</dcterms:created>
  <dc:creator>Apache POI</dc:creator>
</cp:coreProperties>
</file>