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Publication Tables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Table 1. Characteristics of the two datasets included in the meta-analysis.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Characteristics of the two datasets included in the meta-analysis.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08"/>
        <w:gridCol w:w="3293"/>
        <w:gridCol w:w="2792"/>
      </w:tblGrid>
      <w:tr>
        <w:trPr>
          <w:trHeight w:val="614" w:hRule="auto"/>
          <w:tblHeader/>
        </w:trPr>
        <w:tc>
          <w:tcPr>
            <w:tcBorders>
              <w:bottom w:val="single" w:sz="12" w:space="0" w:color="000000"/>
              <w:top w:val="single" w:sz="12" w:space="0" w:color="000000"/>
              <w:left w:val="single" w:sz="12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Attribute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GSE67528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single" w:sz="12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GSE124308</w:t>
            </w:r>
          </w:p>
        </w:tc>
      </w:tr>
      <w:tr>
        <w:trPr>
          <w:trHeight w:val="584" w:hRule="auto"/>
        </w:trPr>
        <w:tc>
          <w:tcPr>
            <w:tcBorders>
              <w:bottom w:val="single" w:sz="4" w:space="0" w:color="CCCCCC"/>
              <w:top w:val="single" w:sz="12" w:space="0" w:color="000000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GEO Accession</w:t>
            </w:r>
          </w:p>
        </w:tc>
        <w:tc>
          <w:tcPr>
            <w:tcBorders>
              <w:bottom w:val="single" w:sz="4" w:space="0" w:color="CCCCCC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GSE67528</w:t>
            </w:r>
          </w:p>
        </w:tc>
        <w:tc>
          <w:tcPr>
            <w:tcBorders>
              <w:bottom w:val="single" w:sz="4" w:space="0" w:color="CCCCCC"/>
              <w:top w:val="single" w:sz="12" w:space="0" w:color="000000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GSE124308</w:t>
            </w:r>
          </w:p>
        </w:tc>
      </w:tr>
      <w:tr>
        <w:trPr>
          <w:trHeight w:val="584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Source Study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Marchetto et al., 2017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DeRosa et al., 2018</w:t>
            </w:r>
          </w:p>
        </w:tc>
      </w:tr>
      <w:tr>
        <w:trPr>
          <w:trHeight w:val="584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Model System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iPSC + iPSC-derived NPCs + neurons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iPSC-derived cortical neurons</w:t>
            </w:r>
          </w:p>
        </w:tc>
      </w:tr>
      <w:tr>
        <w:trPr>
          <w:trHeight w:val="584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Comparison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ASD vs. Control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ASD vs. Control</w:t>
            </w:r>
          </w:p>
        </w:tc>
      </w:tr>
      <w:tr>
        <w:trPr>
          <w:trHeight w:val="584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Total Samples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</w:t>
            </w:r>
          </w:p>
        </w:tc>
      </w:tr>
      <w:tr>
        <w:trPr>
          <w:trHeight w:val="584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ASD Samples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</w:tr>
      <w:tr>
        <w:trPr>
          <w:trHeight w:val="584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Control Samples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</w:tr>
      <w:tr>
        <w:trPr>
          <w:trHeight w:val="584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Platform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RNA-Seq (Illumina)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RNA-Seq (Illumina)</w:t>
            </w:r>
          </w:p>
        </w:tc>
      </w:tr>
      <w:tr>
        <w:trPr>
          <w:trHeight w:val="584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SVA Surrogate Variables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</w:tr>
      <w:tr>
        <w:trPr>
          <w:trHeight w:val="599" w:hRule="auto"/>
        </w:trPr>
        <w:tc>
          <w:tcPr>
            <w:tcBorders>
              <w:bottom w:val="single" w:sz="12" w:space="0" w:color="000000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Protein-Coding Genes Retained</w:t>
            </w:r>
          </w:p>
        </w:tc>
        <w:tc>
          <w:tcPr>
            <w:tcBorders>
              <w:bottom w:val="single" w:sz="12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16,852</w:t>
            </w:r>
          </w:p>
        </w:tc>
        <w:tc>
          <w:tcPr>
            <w:tcBorders>
              <w:bottom w:val="single" w:sz="12" w:space="0" w:color="000000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16,365</w:t>
            </w:r>
          </w:p>
        </w:tc>
      </w:tr>
    </w:tbl>
    <w:p>
      <w:pPr/>
      <w:r>
        <w:br w:type="page"/>
      </w:r>
    </w:p>
    <w:p>
      <w:pPr>
        <w:pStyle w:val="Titre2"/>
      </w:pPr>
      <w:r>
        <w:t xml:space="preserve">Table 2. Significant differentially expressed genes identified by random-effects meta-analysis.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2. Significant differentially expressed genes identified by random-effects meta-analysis (randomP &lt; 0.05, |log2FC| ≥ 1). Genes are listed by decreasing absolute fold-change.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00"/>
        <w:gridCol w:w="4337"/>
        <w:gridCol w:w="906"/>
        <w:gridCol w:w="1057"/>
        <w:gridCol w:w="1411"/>
        <w:gridCol w:w="1414"/>
        <w:gridCol w:w="1098"/>
      </w:tblGrid>
      <w:tr>
        <w:trPr>
          <w:trHeight w:val="590" w:hRule="auto"/>
          <w:tblHeader/>
        </w:trPr>
        <w:tc>
          <w:tcPr>
            <w:tcBorders>
              <w:bottom w:val="single" w:sz="12" w:space="0" w:color="000000"/>
              <w:top w:val="single" w:sz="12" w:space="0" w:color="000000"/>
              <w:left w:val="single" w:sz="12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Gene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Description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log2FC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P-value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95% CI Lower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95% CI Upper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single" w:sz="12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Direction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12" w:space="0" w:color="000000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F8A3</w:t>
            </w:r>
          </w:p>
        </w:tc>
        <w:tc>
          <w:tcPr>
            <w:tcBorders>
              <w:bottom w:val="single" w:sz="4" w:space="0" w:color="CCCCCC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coagulation factor VIII associated 3</w:t>
            </w:r>
          </w:p>
        </w:tc>
        <w:tc>
          <w:tcPr>
            <w:tcBorders>
              <w:bottom w:val="single" w:sz="4" w:space="0" w:color="CCCCCC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3.33</w:t>
            </w:r>
          </w:p>
        </w:tc>
        <w:tc>
          <w:tcPr>
            <w:tcBorders>
              <w:bottom w:val="single" w:sz="4" w:space="0" w:color="CCCCCC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2.86e-32</w:t>
            </w:r>
          </w:p>
        </w:tc>
        <w:tc>
          <w:tcPr>
            <w:tcBorders>
              <w:bottom w:val="single" w:sz="4" w:space="0" w:color="CCCCCC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2.78</w:t>
            </w:r>
          </w:p>
        </w:tc>
        <w:tc>
          <w:tcPr>
            <w:tcBorders>
              <w:bottom w:val="single" w:sz="4" w:space="0" w:color="CCCCCC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3.89</w:t>
            </w:r>
          </w:p>
        </w:tc>
        <w:tc>
          <w:tcPr>
            <w:tcBorders>
              <w:bottom w:val="single" w:sz="4" w:space="0" w:color="CCCCCC"/>
              <w:top w:val="single" w:sz="12" w:space="0" w:color="000000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DE2D2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DE2D26"/>
              </w:rPr>
              <w:t xml:space="preserve">Up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DDR1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discoidin domain receptor tyrosine kinase 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7.07e-17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2.39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3.86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DE2D2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DE2D26"/>
              </w:rPr>
              <w:t xml:space="preserve">Up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GABBR1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gamma-aminobutyric acid type B receptor subunit 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-2.76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3.15e-02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-5.28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-0.25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  <w:t xml:space="preserve">Down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TUBB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tubulin beta class I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2.55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7.76e-04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4.03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DE2D2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DE2D26"/>
              </w:rPr>
              <w:t xml:space="preserve">Up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RING1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ring finger protein 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2.50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3.05e-02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4.76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DE2D2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DE2D26"/>
              </w:rPr>
              <w:t xml:space="preserve">Up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RING1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ring finger protein 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2.50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3.07e-02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4.76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DE2D2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DE2D26"/>
              </w:rPr>
              <w:t xml:space="preserve">Up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RXRB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retinoid X receptor beta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1.89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2.11e-10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2.47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DE2D2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DE2D26"/>
              </w:rPr>
              <w:t xml:space="preserve">Up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HLA-A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major histocompatibility complex, class I, A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1.78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1.93e-07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2.45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DE2D2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DE2D26"/>
              </w:rPr>
              <w:t xml:space="preserve">Up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PPP1R11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protein phosphatase 1 regulatory inhibitor subunit 11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1.68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2.57e-04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2.59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DE2D2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DE2D26"/>
              </w:rPr>
              <w:t xml:space="preserve">Up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PRRC2A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proline rich coiled-coil 2A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1.67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3.69e-09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2.23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DE2D2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DE2D26"/>
              </w:rPr>
              <w:t xml:space="preserve">Up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DDAH2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DDAH family member 2, ADMA-independent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-1.55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1.06e-04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-2.33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-0.77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  <w:t xml:space="preserve">Down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C6orf47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chromosome 6 open reading frame 47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4.42e-05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2.24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DE2D2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DE2D26"/>
              </w:rPr>
              <w:t xml:space="preserve">Up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C6orf47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chromosome 6 open reading frame 47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4.44e-05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2.24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DE2D2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DE2D26"/>
              </w:rPr>
              <w:t xml:space="preserve">Up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C6orf47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chromosome 6 open reading frame 47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4.42e-05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2.24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DE2D2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DE2D26"/>
              </w:rPr>
              <w:t xml:space="preserve">Up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COL11A2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collagen type XI alpha 2 chain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-1.46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3.03e-03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-2.42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-0.49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  <w:t xml:space="preserve">Down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VARS2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valyl-tRNA synthetase 2, mitochondrial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1.45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3.21e-03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DE2D2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DE2D26"/>
              </w:rPr>
              <w:t xml:space="preserve">Up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SP140L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SP140 nuclear body protein like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-1.42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7.65e-03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-2.46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-0.38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  <w:t xml:space="preserve">Down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TRIM26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tripartite motif containing 26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4.45e-02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2.78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DE2D2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DE2D26"/>
              </w:rPr>
              <w:t xml:space="preserve">Up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TCF19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transcription factor 19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-1.40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2.09e-02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-2.58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  <w:t xml:space="preserve">Down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HLA-A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major histocompatibility complex, class I, A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-1.38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3.65e-05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-2.03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-0.72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  <w:t xml:space="preserve">Down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HLA-A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major histocompatibility complex, class I, A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-1.38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3.66e-05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-2.03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-0.72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  <w:t xml:space="preserve">Down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CSNK2B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casein kinase 2 beta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-1.29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3.49e-03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-2.15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-0.42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  <w:t xml:space="preserve">Down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CSNK2B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casein kinase 2 beta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-1.26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5.49e-03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-2.14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-0.37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  <w:t xml:space="preserve">Down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CSNK2B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casein kinase 2 beta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-1.25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3.33e-03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-2.08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-0.41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  <w:t xml:space="preserve">Down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HLA-B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major histocompatibility complex, class I, B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1.25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4.74e-02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2.48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DE2D2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DE2D26"/>
              </w:rPr>
              <w:t xml:space="preserve">Up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CAVIN2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caveolae associated protein 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-1.15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2.41e-03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-1.89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-0.41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  <w:t xml:space="preserve">Down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AGPAT1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1-acylglycerol-3-phosphate O-acyltransferase 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-1.12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1.12e-02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-1.99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-0.25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  <w:t xml:space="preserve">Down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PRRC2A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proline rich coiled-coil 2A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-1.10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7.29e-06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-1.58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-0.62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  <w:t xml:space="preserve">Down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CLIC1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chloride intracellular channel 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-1.09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1.33e-07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-1.49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-0.68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  <w:t xml:space="preserve">Down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ALDH1A1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aldehyde dehydrogenase 1 family member A1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-1.08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8.94e-05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-1.62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-0.54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  <w:t xml:space="preserve">Down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NNAT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neuronatin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-1.06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9.09e-03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-1.86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-0.26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  <w:t xml:space="preserve">Down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RGPD1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RANBP2 like and GRIP domain containing 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-1.05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1.02e-04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-1.59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-0.52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  <w:t xml:space="preserve">Down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ZBTB22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zinc finger and BTB domain containing 22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-1.04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4.59e-02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-2.06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  <w:t xml:space="preserve">Down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000000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ZBTB22</w:t>
            </w:r>
          </w:p>
        </w:tc>
        <w:tc>
          <w:tcPr>
            <w:tcBorders>
              <w:bottom w:val="single" w:sz="12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zinc finger and BTB domain containing 22</w:t>
            </w:r>
          </w:p>
        </w:tc>
        <w:tc>
          <w:tcPr>
            <w:tcBorders>
              <w:bottom w:val="single" w:sz="12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-1.04</w:t>
            </w:r>
          </w:p>
        </w:tc>
        <w:tc>
          <w:tcPr>
            <w:tcBorders>
              <w:bottom w:val="single" w:sz="12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4.58e-02</w:t>
            </w:r>
          </w:p>
        </w:tc>
        <w:tc>
          <w:tcPr>
            <w:tcBorders>
              <w:bottom w:val="single" w:sz="12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-2.06</w:t>
            </w:r>
          </w:p>
        </w:tc>
        <w:tc>
          <w:tcPr>
            <w:tcBorders>
              <w:bottom w:val="single" w:sz="12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</w:t>
            </w:r>
          </w:p>
        </w:tc>
        <w:tc>
          <w:tcPr>
            <w:tcBorders>
              <w:bottom w:val="single" w:sz="12" w:space="0" w:color="000000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2171B5"/>
              </w:rPr>
              <w:t xml:space="preserve">Down</w:t>
            </w:r>
          </w:p>
        </w:tc>
      </w:tr>
    </w:tbl>
    <w:p>
      <w:pPr/>
      <w:r>
        <w:br w:type="page"/>
      </w:r>
    </w:p>
    <w:p>
      <w:pPr>
        <w:pStyle w:val="Titre2"/>
      </w:pPr>
      <w:r>
        <w:t xml:space="preserve">Table 3. Summary of meta-analysis DEGs by regulation direction.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3. Summary of meta-analysis DEGs by regulation direction.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41"/>
        <w:gridCol w:w="908"/>
        <w:gridCol w:w="1803"/>
        <w:gridCol w:w="4583"/>
      </w:tblGrid>
      <w:tr>
        <w:trPr>
          <w:trHeight w:val="614" w:hRule="auto"/>
          <w:tblHeader/>
        </w:trPr>
        <w:tc>
          <w:tcPr>
            <w:tcBorders>
              <w:bottom w:val="single" w:sz="12" w:space="0" w:color="000000"/>
              <w:top w:val="single" w:sz="12" w:space="0" w:color="000000"/>
              <w:left w:val="single" w:sz="12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Direction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Count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% of Total Genes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single" w:sz="12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Top Genes</w:t>
            </w:r>
          </w:p>
        </w:tc>
      </w:tr>
      <w:tr>
        <w:trPr>
          <w:trHeight w:val="584" w:hRule="auto"/>
        </w:trPr>
        <w:tc>
          <w:tcPr>
            <w:tcBorders>
              <w:bottom w:val="single" w:sz="4" w:space="0" w:color="CCCCCC"/>
              <w:top w:val="single" w:sz="12" w:space="0" w:color="000000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Upregulated in ASD</w:t>
            </w:r>
          </w:p>
        </w:tc>
        <w:tc>
          <w:tcPr>
            <w:tcBorders>
              <w:bottom w:val="single" w:sz="4" w:space="0" w:color="CCCCCC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4" w:space="0" w:color="CCCCCC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0.089%</w:t>
            </w:r>
          </w:p>
        </w:tc>
        <w:tc>
          <w:tcPr>
            <w:tcBorders>
              <w:bottom w:val="single" w:sz="4" w:space="0" w:color="CCCCCC"/>
              <w:top w:val="single" w:sz="12" w:space="0" w:color="000000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F8A3, DDR1, TUBB, RING1, RXRB, HLA-A</w:t>
            </w:r>
          </w:p>
        </w:tc>
      </w:tr>
      <w:tr>
        <w:trPr>
          <w:trHeight w:val="584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Downregulated in ASD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0.103%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GABBR1, DDAH2, COL11A2, SP140L, CSNK2B, NNAT</w:t>
            </w:r>
          </w:p>
        </w:tc>
      </w:tr>
      <w:tr>
        <w:trPr>
          <w:trHeight w:val="599" w:hRule="auto"/>
        </w:trPr>
        <w:tc>
          <w:tcPr>
            <w:tcBorders>
              <w:bottom w:val="single" w:sz="12" w:space="0" w:color="000000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39</w:t>
            </w:r>
          </w:p>
        </w:tc>
        <w:tc>
          <w:tcPr>
            <w:tcBorders>
              <w:bottom w:val="single" w:sz="12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0.192%</w:t>
            </w:r>
          </w:p>
        </w:tc>
        <w:tc>
          <w:tcPr>
            <w:tcBorders>
              <w:bottom w:val="single" w:sz="12" w:space="0" w:color="000000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pPr/>
      <w:r>
        <w:br w:type="page"/>
      </w:r>
    </w:p>
    <w:p>
      <w:pPr>
        <w:pStyle w:val="Titre2"/>
      </w:pPr>
      <w:r>
        <w:t xml:space="preserve">Table 4. Hub genes identified by PPI network centrality analysis.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4. Hub genes identified by PPI network centrality analysis (top 10% degree).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69"/>
        <w:gridCol w:w="1005"/>
        <w:gridCol w:w="1518"/>
        <w:gridCol w:w="1221"/>
        <w:gridCol w:w="1387"/>
        <w:gridCol w:w="961"/>
        <w:gridCol w:w="1175"/>
        <w:gridCol w:w="4455"/>
      </w:tblGrid>
      <w:tr>
        <w:trPr>
          <w:trHeight w:val="614" w:hRule="auto"/>
          <w:tblHeader/>
        </w:trPr>
        <w:tc>
          <w:tcPr>
            <w:tcBorders>
              <w:bottom w:val="single" w:sz="12" w:space="0" w:color="000000"/>
              <w:top w:val="single" w:sz="12" w:space="0" w:color="000000"/>
              <w:left w:val="single" w:sz="12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Gene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Degree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Betweenness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Closeness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Eigenvector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log2FC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Direction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single" w:sz="12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Function</w:t>
            </w:r>
          </w:p>
        </w:tc>
      </w:tr>
      <w:tr>
        <w:trPr>
          <w:trHeight w:val="584" w:hRule="auto"/>
        </w:trPr>
        <w:tc>
          <w:tcPr>
            <w:tcBorders>
              <w:bottom w:val="single" w:sz="4" w:space="0" w:color="CCCCCC"/>
              <w:top w:val="single" w:sz="12" w:space="0" w:color="000000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RING1</w:t>
            </w:r>
          </w:p>
        </w:tc>
        <w:tc>
          <w:tcPr>
            <w:tcBorders>
              <w:bottom w:val="single" w:sz="4" w:space="0" w:color="CCCCCC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CCCCCC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0.030</w:t>
            </w:r>
          </w:p>
        </w:tc>
        <w:tc>
          <w:tcPr>
            <w:tcBorders>
              <w:bottom w:val="single" w:sz="4" w:space="0" w:color="CCCCCC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</w:t>
            </w:r>
          </w:p>
        </w:tc>
        <w:tc>
          <w:tcPr>
            <w:tcBorders>
              <w:bottom w:val="single" w:sz="4" w:space="0" w:color="CCCCCC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4" w:space="0" w:color="CCCCCC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2.50</w:t>
            </w:r>
          </w:p>
        </w:tc>
        <w:tc>
          <w:tcPr>
            <w:tcBorders>
              <w:bottom w:val="single" w:sz="4" w:space="0" w:color="CCCCCC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DE2D2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DE2D26"/>
              </w:rPr>
              <w:t xml:space="preserve">Up</w:t>
            </w:r>
          </w:p>
        </w:tc>
        <w:tc>
          <w:tcPr>
            <w:tcBorders>
              <w:bottom w:val="single" w:sz="4" w:space="0" w:color="CCCCCC"/>
              <w:top w:val="single" w:sz="12" w:space="0" w:color="000000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Polycomb PRC1; chromatin remodeling</w:t>
            </w:r>
          </w:p>
        </w:tc>
      </w:tr>
      <w:tr>
        <w:trPr>
          <w:trHeight w:val="584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PRRC2A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0.197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0.400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0.374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1.67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DE2D2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DE2D26"/>
              </w:rPr>
              <w:t xml:space="preserve">Up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RNA-binding; m6A reader, brain-enriched</w:t>
            </w:r>
          </w:p>
        </w:tc>
      </w:tr>
      <w:tr>
        <w:trPr>
          <w:trHeight w:val="584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HLA-A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0.500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1.78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DE2D2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DE2D26"/>
              </w:rPr>
              <w:t xml:space="preserve">Up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MHC class I; synaptic pruning, neuroinflammation</w:t>
            </w:r>
          </w:p>
        </w:tc>
      </w:tr>
      <w:tr>
        <w:trPr>
          <w:trHeight w:val="599" w:hRule="auto"/>
        </w:trPr>
        <w:tc>
          <w:tcPr>
            <w:tcBorders>
              <w:bottom w:val="single" w:sz="12" w:space="0" w:color="000000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TRIM26</w:t>
            </w:r>
          </w:p>
        </w:tc>
        <w:tc>
          <w:tcPr>
            <w:tcBorders>
              <w:bottom w:val="single" w:sz="12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0.182</w:t>
            </w:r>
          </w:p>
        </w:tc>
        <w:tc>
          <w:tcPr>
            <w:tcBorders>
              <w:bottom w:val="single" w:sz="12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0.444</w:t>
            </w:r>
          </w:p>
        </w:tc>
        <w:tc>
          <w:tcPr>
            <w:tcBorders>
              <w:bottom w:val="single" w:sz="12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0.977</w:t>
            </w:r>
          </w:p>
        </w:tc>
        <w:tc>
          <w:tcPr>
            <w:tcBorders>
              <w:bottom w:val="single" w:sz="12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1.41</w:t>
            </w:r>
          </w:p>
        </w:tc>
        <w:tc>
          <w:tcPr>
            <w:tcBorders>
              <w:bottom w:val="single" w:sz="12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DE2D2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DE2D26"/>
              </w:rPr>
              <w:t xml:space="preserve">Up</w:t>
            </w:r>
          </w:p>
        </w:tc>
        <w:tc>
          <w:tcPr>
            <w:tcBorders>
              <w:bottom w:val="single" w:sz="12" w:space="0" w:color="000000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E3 ubiquitin ligase; MHC locus, immune signaling</w:t>
            </w:r>
          </w:p>
        </w:tc>
      </w:tr>
    </w:tbl>
    <w:p>
      <w:pPr/>
      <w:r>
        <w:br w:type="page"/>
      </w:r>
    </w:p>
    <w:p>
      <w:pPr>
        <w:pStyle w:val="Titre2"/>
      </w:pPr>
      <w:r>
        <w:t xml:space="preserve">Table 5. PPI network community modules.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5. PPI network community modules detected by the Louvain algorithm.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57"/>
        <w:gridCol w:w="3585"/>
        <w:gridCol w:w="734"/>
        <w:gridCol w:w="1488"/>
        <w:gridCol w:w="3568"/>
      </w:tblGrid>
      <w:tr>
        <w:trPr>
          <w:trHeight w:val="614" w:hRule="auto"/>
          <w:tblHeader/>
        </w:trPr>
        <w:tc>
          <w:tcPr>
            <w:tcBorders>
              <w:bottom w:val="single" w:sz="12" w:space="0" w:color="000000"/>
              <w:top w:val="single" w:sz="12" w:space="0" w:color="000000"/>
              <w:left w:val="single" w:sz="12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Module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Genes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Size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Mean log2FC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single" w:sz="12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Functional Theme</w:t>
            </w:r>
          </w:p>
        </w:tc>
      </w:tr>
      <w:tr>
        <w:trPr>
          <w:trHeight w:val="584" w:hRule="auto"/>
        </w:trPr>
        <w:tc>
          <w:tcPr>
            <w:tcBorders>
              <w:bottom w:val="single" w:sz="4" w:space="0" w:color="CCCCCC"/>
              <w:top w:val="single" w:sz="12" w:space="0" w:color="000000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CCCCCC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HLA-A, TRIM26, TCF19, PPP1R11, TUBB</w:t>
            </w:r>
          </w:p>
        </w:tc>
        <w:tc>
          <w:tcPr>
            <w:tcBorders>
              <w:bottom w:val="single" w:sz="4" w:space="0" w:color="CCCCCC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CCCCCC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1.20</w:t>
            </w:r>
          </w:p>
        </w:tc>
        <w:tc>
          <w:tcPr>
            <w:tcBorders>
              <w:bottom w:val="single" w:sz="4" w:space="0" w:color="CCCCCC"/>
              <w:top w:val="single" w:sz="12" w:space="0" w:color="000000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MHC / immune – cytoskeletal</w:t>
            </w:r>
          </w:p>
        </w:tc>
      </w:tr>
      <w:tr>
        <w:trPr>
          <w:trHeight w:val="584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RING1, RXRB, COL11A2, CSNK2B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Chromatin – nuclear receptor signaling</w:t>
            </w:r>
          </w:p>
        </w:tc>
      </w:tr>
      <w:tr>
        <w:trPr>
          <w:trHeight w:val="599" w:hRule="auto"/>
        </w:trPr>
        <w:tc>
          <w:tcPr>
            <w:tcBorders>
              <w:bottom w:val="single" w:sz="12" w:space="0" w:color="000000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PRRC2A, HLA-B, C6orf47, VARS2</w:t>
            </w:r>
          </w:p>
        </w:tc>
        <w:tc>
          <w:tcPr>
            <w:tcBorders>
              <w:bottom w:val="single" w:sz="12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1.47</w:t>
            </w:r>
          </w:p>
        </w:tc>
        <w:tc>
          <w:tcPr>
            <w:tcBorders>
              <w:bottom w:val="single" w:sz="12" w:space="0" w:color="000000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RNA processing – immune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2026-08-06T17:43:14Z</dcterms:modified>
  <cp:category/>
</cp:coreProperties>
</file>