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Characteristics of the two datasets included in the meta-analysis.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8"/>
        <w:gridCol w:w="3293"/>
        <w:gridCol w:w="2792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Attribute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GSE67528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GSE124308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GEO Accession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GSE67528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GSE124308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 Study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Marchetto et al., 2017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DeRosa et al., 2018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System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iPSC + iPSC-derived NPCs + neurons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iPSC-derived cortical neurons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ASD vs. Control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ASD vs. Control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Samples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ASD Samples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Control Samples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Platform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RNA-Seq (Illumina)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RNA-Seq (Illumina)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SVA Surrogate Variables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Protein-Coding Genes Retained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16,852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16,365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2026-08-06T17:42:59Z</dcterms:modified>
  <cp:category/>
</cp:coreProperties>
</file>