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Significant differentially expressed genes identified by random-effects meta-analysis (randomP &lt; 0.05, |log2FC| ≥ 1). Genes are listed by decreasing absolute fold-change.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00"/>
        <w:gridCol w:w="4337"/>
        <w:gridCol w:w="906"/>
        <w:gridCol w:w="1057"/>
        <w:gridCol w:w="1411"/>
        <w:gridCol w:w="1414"/>
        <w:gridCol w:w="1098"/>
      </w:tblGrid>
      <w:tr>
        <w:trPr>
          <w:trHeight w:val="59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Gene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Description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log2FC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95% CI Lower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95% CI Upper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Direction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F8A3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coagulation factor VIII associated 3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3.33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2.86e-32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2.78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3.89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DDR1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discoidin domain receptor tyrosine kinase 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7.07e-17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GABBR1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gamma-aminobutyric acid type B receptor subunit 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-2.76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3.15e-02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-5.28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TUBB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tubulin beta class I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7.76e-04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RING1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ring finger protein 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3.05e-02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RING1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ring finger protein 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3.07e-02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RXRB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retinoid X receptor beta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2.11e-10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HLA-A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major histocompatibility complex, class I, 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1.93e-07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PPP1R11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protein phosphatase 1 regulatory inhibitor subunit 11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2.57e-04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PRRC2A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proline rich coiled-coil 2A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3.69e-09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DDAH2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DDAH family member 2, ADMA-independent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1.06e-04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-2.33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C6orf47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chromosome 6 open reading frame 47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4.42e-05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C6orf47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chromosome 6 open reading frame 47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4.44e-05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C6orf47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chromosome 6 open reading frame 47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4.42e-05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COL11A2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collagen type XI alpha 2 chain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3.03e-03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-2.42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VARS2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valyl-tRNA synthetase 2, mitochondrial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3.21e-03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SP140L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SP140 nuclear body protein like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7.65e-03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-2.46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TRIM26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tripartite motif containing 26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4.45e-02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TCF19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transcription factor 19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2.09e-02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-2.58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HLA-A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major histocompatibility complex, class I, 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3.65e-05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HLA-A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major histocompatibility complex, class I, 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3.66e-05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CSNK2B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casein kinase 2 beta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3.49e-03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CSNK2B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casein kinase 2 beta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5.49e-03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CSNK2B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casein kinase 2 beta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3.33e-03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HLA-B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major histocompatibility complex, class I, B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4.74e-02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CAVIN2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caveolae associated protein 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2.41e-03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-1.89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AGPAT1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1-acylglycerol-3-phosphate O-acyltransferase 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1.12e-02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-1.99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PRRC2A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proline rich coiled-coil 2A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7.29e-06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CLIC1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chloride intracellular channel 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1.33e-07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ALDH1A1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aldehyde dehydrogenase 1 family member A1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8.94e-05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-1.62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NNAT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neuronatin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9.09e-03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-1.86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RGPD1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RANBP2 like and GRIP domain containing 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1.02e-04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ZBTB22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zinc finger and BTB domain containing 22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4.59e-02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000000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ZBTB22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zinc finger and BTB domain containing 22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-1.04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4.58e-02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-2.06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2026-08-06T17:43:04Z</dcterms:modified>
  <cp:category/>
</cp:coreProperties>
</file>