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Hub genes identified by PPI network centrality analysis (top 10% degree).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69"/>
        <w:gridCol w:w="1005"/>
        <w:gridCol w:w="1518"/>
        <w:gridCol w:w="1221"/>
        <w:gridCol w:w="1387"/>
        <w:gridCol w:w="961"/>
        <w:gridCol w:w="1175"/>
        <w:gridCol w:w="4455"/>
      </w:tblGrid>
      <w:tr>
        <w:trPr>
          <w:trHeight w:val="614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Gene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Degree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Betweenness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Closeness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Eigenvector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log2FC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Direction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Function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RING1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2.50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  <w:t xml:space="preserve">Up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Polycomb PRC1; chromatin remodeling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PRRC2A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  <w:t xml:space="preserve">Up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RNA-binding; m6A reader, brain-enriched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HLA-A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  <w:t xml:space="preserve">Up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MHC class I; synaptic pruning, neuroinflammation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000000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TRIM26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0.444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  <w:t xml:space="preserve">Up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E3 ubiquitin ligase; MHC locus, immune signaling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2026-08-06T17:43:09Z</dcterms:modified>
  <cp:category/>
</cp:coreProperties>
</file>