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Dissertation</w:t>
      </w:r>
      <w:r>
        <w:t xml:space="preserve"> </w:t>
      </w:r>
      <w:r>
        <w:t xml:space="preserve">Gap-Fill</w:t>
      </w:r>
      <w:r>
        <w:t xml:space="preserve"> </w:t>
      </w:r>
      <w:r>
        <w:t xml:space="preserve">Pack</w:t>
      </w:r>
    </w:p>
    <w:p>
      <w:pPr>
        <w:pStyle w:val="Subtitle"/>
      </w:pPr>
      <w:r>
        <w:t xml:space="preserve">UAV</w:t>
      </w:r>
      <w:r>
        <w:t xml:space="preserve"> </w:t>
      </w:r>
      <w:r>
        <w:t xml:space="preserve">Swarm</w:t>
      </w:r>
      <w:r>
        <w:t xml:space="preserve"> </w:t>
      </w:r>
      <w:r>
        <w:t xml:space="preserve">Coverage</w:t>
      </w:r>
      <w:r>
        <w:t xml:space="preserve"> </w:t>
      </w:r>
      <w:r>
        <w:t xml:space="preserve">—</w:t>
      </w:r>
      <w:r>
        <w:t xml:space="preserve"> </w:t>
      </w:r>
      <w:r>
        <w:t xml:space="preserve">Boids,</w:t>
      </w:r>
      <w:r>
        <w:t xml:space="preserve"> </w:t>
      </w:r>
      <w:r>
        <w:t xml:space="preserve">APF</w:t>
      </w:r>
      <w:r>
        <w:t xml:space="preserve"> </w:t>
      </w:r>
      <w:r>
        <w:t xml:space="preserve">and</w:t>
      </w:r>
      <w:r>
        <w:t xml:space="preserve"> </w:t>
      </w:r>
      <w:r>
        <w:t xml:space="preserve">Decentralised</w:t>
      </w:r>
      <w:r>
        <w:t xml:space="preserve"> </w:t>
      </w:r>
      <w:r>
        <w:t xml:space="preserve">PPO</w:t>
      </w:r>
    </w:p>
    <w:p>
      <w:pPr>
        <w:pStyle w:val="Author"/>
      </w:pPr>
      <w:r>
        <w:t xml:space="preserve">Mahadev</w:t>
      </w:r>
      <w:r>
        <w:t xml:space="preserve"> </w:t>
      </w:r>
      <w:r>
        <w:t xml:space="preserve">Reddy</w:t>
      </w:r>
      <w:r>
        <w:t xml:space="preserve"> </w:t>
      </w:r>
      <w:r>
        <w:t xml:space="preserve">|</w:t>
      </w:r>
      <w:r>
        <w:t xml:space="preserve"> </w:t>
      </w:r>
      <w:r>
        <w:t xml:space="preserve">MSc</w:t>
      </w:r>
      <w:r>
        <w:t xml:space="preserve"> </w:t>
      </w:r>
      <w:r>
        <w:t xml:space="preserve">Robotics,</w:t>
      </w:r>
      <w:r>
        <w:t xml:space="preserve"> </w:t>
      </w:r>
      <w:r>
        <w:t xml:space="preserve">University</w:t>
      </w:r>
      <w:r>
        <w:t xml:space="preserve"> </w:t>
      </w:r>
      <w:r>
        <w:t xml:space="preserve">of</w:t>
      </w:r>
      <w:r>
        <w:t xml:space="preserve"> </w:t>
      </w:r>
      <w:r>
        <w:t xml:space="preserve">Bristol</w:t>
      </w:r>
    </w:p>
    <w:p>
      <w:pPr>
        <w:pStyle w:val="Date"/>
      </w:pPr>
      <w:r>
        <w:t xml:space="preserve">29</w:t>
      </w:r>
      <w:r>
        <w:t xml:space="preserve"> </w:t>
      </w: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reproducibility-audit-read-this-first"/>
      <w:r>
        <w:t xml:space="preserve">Reproducibility Audit — Read This First</w:t>
      </w:r>
      <w:bookmarkEnd w:id="20"/>
    </w:p>
    <w:p>
      <w:pPr>
        <w:pStyle w:val="FirstParagraph"/>
      </w:pPr>
      <w:r>
        <w:rPr>
          <w:b/>
        </w:rPr>
        <w:t xml:space="preserve">Date:</w:t>
      </w:r>
      <w:r>
        <w:t xml:space="preserve"> </w:t>
      </w:r>
      <w:r>
        <w:t xml:space="preserve">29 July 2026</w:t>
      </w:r>
      <w:r>
        <w:t xml:space="preserve"> </w:t>
      </w:r>
      <w:r>
        <w:rPr>
          <w:b/>
        </w:rPr>
        <w:t xml:space="preserve">Scope:</w:t>
      </w:r>
      <w:r>
        <w:t xml:space="preserve"> </w:t>
      </w:r>
      <w:r>
        <w:t xml:space="preserve">all experiment code and result files under</w:t>
      </w:r>
      <w:r>
        <w:t xml:space="preserve"> </w:t>
      </w:r>
      <w:r>
        <w:rPr>
          <w:rStyle w:val="VerbatimChar"/>
        </w:rPr>
        <w:t xml:space="preserve">code/</w:t>
      </w:r>
      <w:r>
        <w:t xml:space="preserve"> </w:t>
      </w:r>
      <w:r>
        <w:rPr>
          <w:b/>
        </w:rPr>
        <w:t xml:space="preserve">Status:</w:t>
      </w:r>
      <w:r>
        <w:t xml:space="preserve"> </w:t>
      </w:r>
      <w:r>
        <w:t xml:space="preserve">six defects found. Three of them change the answer to the research question.</w:t>
      </w:r>
    </w:p>
    <w:p>
      <w:pPr>
        <w:pStyle w:val="BodyText"/>
      </w:pPr>
      <w:r>
        <w:t xml:space="preserve">I ran the statistical tests you asked for. While loading the data I found that the results folder holds two conflicting versions of the same experiment, and that they disagree about which method wins. I could not write an honest Results chapter without resolving that first. This document records what I found, the evidence, and the fix for each item. The chapters I have written use the corrected data.</w:t>
      </w:r>
    </w:p>
    <w:p>
      <w:r>
        <w:pict>
          <v:rect style="width:0;height:1.5pt" o:hralign="center" o:hrstd="t" o:hr="t"/>
        </w:pict>
      </w:r>
    </w:p>
    <w:p>
      <w:pPr>
        <w:pStyle w:val="Heading2"/>
      </w:pPr>
      <w:bookmarkStart w:id="21" w:name="summary-table"/>
      <w:r>
        <w:t xml:space="preserve">Summary table</w:t>
      </w:r>
      <w:bookmarkEnd w:id="21"/>
    </w:p>
    <w:tbl>
      <w:tblPr>
        <w:tblStyle w:val="Table"/>
        <w:tblW w:type="pct" w:w="5000.0"/>
        <w:tblLook w:firstRow="1"/>
      </w:tblPr>
      <w:tblGrid>
        <w:gridCol w:w="484"/>
        <w:gridCol w:w="1293"/>
        <w:gridCol w:w="1616"/>
        <w:gridCol w:w="4525"/>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Defect</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Effect on your conclusions</w:t>
            </w:r>
          </w:p>
        </w:tc>
      </w:tr>
      <w:tr>
        <w:tc>
          <w:p>
            <w:pPr>
              <w:pStyle w:val="Compact"/>
              <w:jc w:val="left"/>
            </w:pPr>
            <w:r>
              <w:t xml:space="preserve">1</w:t>
            </w:r>
          </w:p>
        </w:tc>
        <w:tc>
          <w:p>
            <w:pPr>
              <w:pStyle w:val="Compact"/>
              <w:jc w:val="left"/>
            </w:pPr>
            <w:r>
              <w:t xml:space="preserve">Two generations of result files disagree</w:t>
            </w:r>
          </w:p>
        </w:tc>
        <w:tc>
          <w:p>
            <w:pPr>
              <w:pStyle w:val="Compact"/>
              <w:jc w:val="left"/>
            </w:pPr>
            <w:r>
              <w:rPr>
                <w:b/>
              </w:rPr>
              <w:t xml:space="preserve">Critical</w:t>
            </w:r>
          </w:p>
        </w:tc>
        <w:tc>
          <w:p>
            <w:pPr>
              <w:pStyle w:val="Compact"/>
              <w:jc w:val="left"/>
            </w:pPr>
            <w:r>
              <w:t xml:space="preserve">Reverses the headline finding</w:t>
            </w:r>
          </w:p>
        </w:tc>
      </w:tr>
      <w:tr>
        <w:tc>
          <w:p>
            <w:pPr>
              <w:pStyle w:val="Compact"/>
              <w:jc w:val="left"/>
            </w:pPr>
            <w:r>
              <w:t xml:space="preserve">2</w:t>
            </w:r>
          </w:p>
        </w:tc>
        <w:tc>
          <w:p>
            <w:pPr>
              <w:pStyle w:val="Compact"/>
              <w:jc w:val="left"/>
            </w:pPr>
            <w:r>
              <w:t xml:space="preserve">Obstacle layouts are not controlled by the seed</w:t>
            </w:r>
          </w:p>
        </w:tc>
        <w:tc>
          <w:p>
            <w:pPr>
              <w:pStyle w:val="Compact"/>
              <w:jc w:val="left"/>
            </w:pPr>
            <w:r>
              <w:rPr>
                <w:b/>
              </w:rPr>
              <w:t xml:space="preserve">Critical</w:t>
            </w:r>
          </w:p>
        </w:tc>
        <w:tc>
          <w:p>
            <w:pPr>
              <w:pStyle w:val="Compact"/>
              <w:jc w:val="left"/>
            </w:pPr>
            <w:r>
              <w:t xml:space="preserve">Results are not reproducible; paired tests invalid</w:t>
            </w:r>
          </w:p>
        </w:tc>
      </w:tr>
      <w:tr>
        <w:tc>
          <w:p>
            <w:pPr>
              <w:pStyle w:val="Compact"/>
              <w:jc w:val="left"/>
            </w:pPr>
            <w:r>
              <w:t xml:space="preserve">3</w:t>
            </w:r>
          </w:p>
        </w:tc>
        <w:tc>
          <w:p>
            <w:pPr>
              <w:pStyle w:val="Compact"/>
              <w:jc w:val="left"/>
            </w:pPr>
            <w:r>
              <w:t xml:space="preserve">PPO</w:t>
            </w:r>
            <w:r>
              <w:t xml:space="preserve"> </w:t>
            </w:r>
            <w:r>
              <w:t xml:space="preserve">“</w:t>
            </w:r>
            <w:r>
              <w:t xml:space="preserve">unseen</w:t>
            </w:r>
            <w:r>
              <w:t xml:space="preserve">”</w:t>
            </w:r>
            <w:r>
              <w:t xml:space="preserve"> </w:t>
            </w:r>
            <w:r>
              <w:t xml:space="preserve">Seed Set B uses the same 50 layouts as Seed Set A</w:t>
            </w:r>
          </w:p>
        </w:tc>
        <w:tc>
          <w:p>
            <w:pPr>
              <w:pStyle w:val="Compact"/>
              <w:jc w:val="left"/>
            </w:pPr>
            <w:r>
              <w:rPr>
                <w:b/>
              </w:rPr>
              <w:t xml:space="preserve">Critical</w:t>
            </w:r>
          </w:p>
        </w:tc>
        <w:tc>
          <w:p>
            <w:pPr>
              <w:pStyle w:val="Compact"/>
              <w:jc w:val="left"/>
            </w:pPr>
            <w:r>
              <w:t xml:space="preserve">The generalisation claim has no evidence behind it</w:t>
            </w:r>
          </w:p>
        </w:tc>
      </w:tr>
      <w:tr>
        <w:tc>
          <w:p>
            <w:pPr>
              <w:pStyle w:val="Compact"/>
              <w:jc w:val="left"/>
            </w:pPr>
            <w:r>
              <w:t xml:space="preserve">4</w:t>
            </w:r>
          </w:p>
        </w:tc>
        <w:tc>
          <w:p>
            <w:pPr>
              <w:pStyle w:val="Compact"/>
              <w:jc w:val="left"/>
            </w:pPr>
            <w:r>
              <w:t xml:space="preserve">Unequal episode budgets (Boids 800, APF 700, PPO 700)</w:t>
            </w:r>
          </w:p>
        </w:tc>
        <w:tc>
          <w:p>
            <w:pPr>
              <w:pStyle w:val="Compact"/>
              <w:jc w:val="left"/>
            </w:pPr>
            <w:r>
              <w:t xml:space="preserve">High</w:t>
            </w:r>
          </w:p>
        </w:tc>
        <w:tc>
          <w:p>
            <w:pPr>
              <w:pStyle w:val="Compact"/>
              <w:jc w:val="left"/>
            </w:pPr>
            <w:r>
              <w:t xml:space="preserve">Every Boids comparison is confounded</w:t>
            </w:r>
          </w:p>
        </w:tc>
      </w:tr>
      <w:tr>
        <w:tc>
          <w:p>
            <w:pPr>
              <w:pStyle w:val="Compact"/>
              <w:jc w:val="left"/>
            </w:pPr>
            <w:r>
              <w:t xml:space="preserve">5</w:t>
            </w:r>
          </w:p>
        </w:tc>
        <w:tc>
          <w:p>
            <w:pPr>
              <w:pStyle w:val="Compact"/>
              <w:jc w:val="left"/>
            </w:pPr>
            <w:r>
              <w:t xml:space="preserve">PPO coverage-over-time curves are synthetic</w:t>
            </w:r>
          </w:p>
        </w:tc>
        <w:tc>
          <w:p>
            <w:pPr>
              <w:pStyle w:val="Compact"/>
              <w:jc w:val="left"/>
            </w:pPr>
            <w:r>
              <w:t xml:space="preserve">High</w:t>
            </w:r>
          </w:p>
        </w:tc>
        <w:tc>
          <w:p>
            <w:pPr>
              <w:pStyle w:val="Compact"/>
              <w:jc w:val="left"/>
            </w:pPr>
            <w:r>
              <w:t xml:space="preserve">Any PPO time-series figure is fabricated data</w:t>
            </w:r>
          </w:p>
        </w:tc>
      </w:tr>
      <w:tr>
        <w:tc>
          <w:p>
            <w:pPr>
              <w:pStyle w:val="Compact"/>
              <w:jc w:val="left"/>
            </w:pPr>
            <w:r>
              <w:t xml:space="preserve">6</w:t>
            </w:r>
          </w:p>
        </w:tc>
        <w:tc>
          <w:p>
            <w:pPr>
              <w:pStyle w:val="Compact"/>
              <w:jc w:val="left"/>
            </w:pPr>
            <w:r>
              <w:t xml:space="preserve">PPO redundancy metric is a stub returning 0.0</w:t>
            </w:r>
          </w:p>
        </w:tc>
        <w:tc>
          <w:p>
            <w:pPr>
              <w:pStyle w:val="Compact"/>
              <w:jc w:val="left"/>
            </w:pPr>
            <w:r>
              <w:t xml:space="preserve">Moderate</w:t>
            </w:r>
          </w:p>
        </w:tc>
        <w:tc>
          <w:p>
            <w:pPr>
              <w:pStyle w:val="Compact"/>
              <w:jc w:val="left"/>
            </w:pPr>
            <w:r>
              <w:t xml:space="preserve">The redundancy figure is meaningless for PPO</w:t>
            </w:r>
          </w:p>
        </w:tc>
      </w:tr>
    </w:tbl>
    <w:p>
      <w:r>
        <w:pict>
          <v:rect style="width:0;height:1.5pt" o:hralign="center" o:hrstd="t" o:hr="t"/>
        </w:pict>
      </w:r>
    </w:p>
    <w:p>
      <w:pPr>
        <w:pStyle w:val="Heading2"/>
      </w:pPr>
      <w:bookmarkStart w:id="22" w:name="Xb8440a5c43c7f2bce9a930c85a30b8ef8f5200f"/>
      <w:r>
        <w:t xml:space="preserve">Defect 1 — Two generations of results, and they disagree</w:t>
      </w:r>
      <w:bookmarkEnd w:id="22"/>
    </w:p>
    <w:p>
      <w:pPr>
        <w:pStyle w:val="Heading3"/>
      </w:pPr>
      <w:bookmarkStart w:id="23" w:name="evidence"/>
      <w:r>
        <w:t xml:space="preserve">Evidence</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Written</w:t>
            </w:r>
          </w:p>
        </w:tc>
        <w:tc>
          <w:tcPr>
            <w:tcBorders>
              <w:bottom w:val="single"/>
            </w:tcBorders>
            <w:vAlign w:val="bottom"/>
          </w:tcPr>
          <w:p>
            <w:pPr>
              <w:pStyle w:val="Compact"/>
              <w:jc w:val="left"/>
            </w:pPr>
            <w:r>
              <w:t xml:space="preserve">Steps/episode</w:t>
            </w:r>
          </w:p>
        </w:tc>
        <w:tc>
          <w:tcPr>
            <w:tcBorders>
              <w:bottom w:val="single"/>
            </w:tcBorders>
            <w:vAlign w:val="bottom"/>
          </w:tcPr>
          <w:p>
            <w:pPr>
              <w:pStyle w:val="Compact"/>
              <w:jc w:val="left"/>
            </w:pPr>
            <w:r>
              <w:t xml:space="preserve">Mean coverage, Seed A, 0% obstacles</w:t>
            </w:r>
          </w:p>
        </w:tc>
      </w:tr>
      <w:tr>
        <w:tc>
          <w:p>
            <w:pPr>
              <w:pStyle w:val="Compact"/>
              <w:jc w:val="left"/>
            </w:pPr>
            <w:r>
              <w:rPr>
                <w:rStyle w:val="VerbatimChar"/>
              </w:rPr>
              <w:t xml:space="preserve">compare/results/boids_results_A.npy</w:t>
            </w:r>
          </w:p>
        </w:tc>
        <w:tc>
          <w:p>
            <w:pPr>
              <w:pStyle w:val="Compact"/>
              <w:jc w:val="left"/>
            </w:pPr>
            <w:r>
              <w:t xml:space="preserve">2026-05-23</w:t>
            </w:r>
          </w:p>
        </w:tc>
        <w:tc>
          <w:p>
            <w:pPr>
              <w:pStyle w:val="Compact"/>
              <w:jc w:val="left"/>
            </w:pPr>
            <w:r>
              <w:t xml:space="preserve">500</w:t>
            </w:r>
          </w:p>
        </w:tc>
        <w:tc>
          <w:p>
            <w:pPr>
              <w:pStyle w:val="Compact"/>
              <w:jc w:val="left"/>
            </w:pPr>
            <w:r>
              <w:t xml:space="preserve">82.44%</w:t>
            </w:r>
          </w:p>
        </w:tc>
      </w:tr>
      <w:tr>
        <w:tc>
          <w:p>
            <w:pPr>
              <w:pStyle w:val="Compact"/>
              <w:jc w:val="left"/>
            </w:pPr>
            <w:r>
              <w:rPr>
                <w:rStyle w:val="VerbatimChar"/>
              </w:rPr>
              <w:t xml:space="preserve">compare/results/apf_results_A.npy</w:t>
            </w:r>
          </w:p>
        </w:tc>
        <w:tc>
          <w:p>
            <w:pPr>
              <w:pStyle w:val="Compact"/>
              <w:jc w:val="left"/>
            </w:pPr>
            <w:r>
              <w:t xml:space="preserve">2026-05-23</w:t>
            </w:r>
          </w:p>
        </w:tc>
        <w:tc>
          <w:p>
            <w:pPr>
              <w:pStyle w:val="Compact"/>
              <w:jc w:val="left"/>
            </w:pPr>
            <w:r>
              <w:t xml:space="preserve">500</w:t>
            </w:r>
          </w:p>
        </w:tc>
        <w:tc>
          <w:p>
            <w:pPr>
              <w:pStyle w:val="Compact"/>
              <w:jc w:val="left"/>
            </w:pPr>
            <w:r>
              <w:t xml:space="preserve">76.04%</w:t>
            </w:r>
          </w:p>
        </w:tc>
      </w:tr>
      <w:tr>
        <w:tc>
          <w:p>
            <w:pPr>
              <w:pStyle w:val="Compact"/>
              <w:jc w:val="left"/>
            </w:pPr>
            <w:r>
              <w:rPr>
                <w:rStyle w:val="VerbatimChar"/>
              </w:rPr>
              <w:t xml:space="preserve">phase2_boids/results/boids_results_A.npy</w:t>
            </w:r>
          </w:p>
        </w:tc>
        <w:tc>
          <w:p>
            <w:pPr>
              <w:pStyle w:val="Compact"/>
              <w:jc w:val="left"/>
            </w:pPr>
            <w:r>
              <w:t xml:space="preserve">2026-06-23</w:t>
            </w:r>
          </w:p>
        </w:tc>
        <w:tc>
          <w:p>
            <w:pPr>
              <w:pStyle w:val="Compact"/>
              <w:jc w:val="left"/>
            </w:pPr>
            <w:r>
              <w:t xml:space="preserve">800</w:t>
            </w:r>
          </w:p>
        </w:tc>
        <w:tc>
          <w:p>
            <w:pPr>
              <w:pStyle w:val="Compact"/>
              <w:jc w:val="left"/>
            </w:pPr>
            <w:r>
              <w:t xml:space="preserve">86.69%</w:t>
            </w:r>
          </w:p>
        </w:tc>
      </w:tr>
      <w:tr>
        <w:tc>
          <w:p>
            <w:pPr>
              <w:pStyle w:val="Compact"/>
              <w:jc w:val="left"/>
            </w:pPr>
            <w:r>
              <w:rPr>
                <w:rStyle w:val="VerbatimChar"/>
              </w:rPr>
              <w:t xml:space="preserve">phase3_apf/results/apf_results_A.npy</w:t>
            </w:r>
          </w:p>
        </w:tc>
        <w:tc>
          <w:p>
            <w:pPr>
              <w:pStyle w:val="Compact"/>
              <w:jc w:val="left"/>
            </w:pPr>
            <w:r>
              <w:t xml:space="preserve">2026-06-23</w:t>
            </w:r>
          </w:p>
        </w:tc>
        <w:tc>
          <w:p>
            <w:pPr>
              <w:pStyle w:val="Compact"/>
              <w:jc w:val="left"/>
            </w:pPr>
            <w:r>
              <w:t xml:space="preserve">700</w:t>
            </w:r>
          </w:p>
        </w:tc>
        <w:tc>
          <w:p>
            <w:pPr>
              <w:pStyle w:val="Compact"/>
              <w:jc w:val="left"/>
            </w:pPr>
            <w:r>
              <w:rPr>
                <w:b/>
              </w:rPr>
              <w:t xml:space="preserve">90.55%</w:t>
            </w:r>
          </w:p>
        </w:tc>
      </w:tr>
      <w:tr>
        <w:tc>
          <w:p>
            <w:pPr>
              <w:pStyle w:val="Compact"/>
              <w:jc w:val="left"/>
            </w:pPr>
            <w:r>
              <w:rPr>
                <w:rStyle w:val="VerbatimChar"/>
              </w:rPr>
              <w:t xml:space="preserve">phase4_ppo/results/ppo_results_A.npy</w:t>
            </w:r>
          </w:p>
        </w:tc>
        <w:tc>
          <w:p>
            <w:pPr>
              <w:pStyle w:val="Compact"/>
              <w:jc w:val="left"/>
            </w:pPr>
            <w:r>
              <w:t xml:space="preserve">2026-06-23</w:t>
            </w:r>
          </w:p>
        </w:tc>
        <w:tc>
          <w:p>
            <w:pPr>
              <w:pStyle w:val="Compact"/>
              <w:jc w:val="left"/>
            </w:pPr>
            <w:r>
              <w:t xml:space="preserve">700</w:t>
            </w:r>
          </w:p>
        </w:tc>
        <w:tc>
          <w:p>
            <w:pPr>
              <w:pStyle w:val="Compact"/>
              <w:jc w:val="left"/>
            </w:pPr>
            <w:r>
              <w:t xml:space="preserve">85.46%</w:t>
            </w:r>
          </w:p>
        </w:tc>
      </w:tr>
    </w:tbl>
    <w:p>
      <w:pPr>
        <w:pStyle w:val="BodyText"/>
      </w:pPr>
      <w:r>
        <w:t xml:space="preserve">The May files were produced by an earlier version of</w:t>
      </w:r>
      <w:r>
        <w:t xml:space="preserve"> </w:t>
      </w:r>
      <w:r>
        <w:rPr>
          <w:rStyle w:val="VerbatimChar"/>
        </w:rPr>
        <w:t xml:space="preserve">run_boids.py</w:t>
      </w:r>
      <w:r>
        <w:t xml:space="preserve"> </w:t>
      </w:r>
      <w:r>
        <w:t xml:space="preserve">and</w:t>
      </w:r>
      <w:r>
        <w:t xml:space="preserve"> </w:t>
      </w:r>
      <w:r>
        <w:rPr>
          <w:rStyle w:val="VerbatimChar"/>
        </w:rPr>
        <w:t xml:space="preserve">run_apf.py</w:t>
      </w:r>
      <w:r>
        <w:t xml:space="preserve"> </w:t>
      </w:r>
      <w:r>
        <w:t xml:space="preserve">that used</w:t>
      </w:r>
      <w:r>
        <w:t xml:space="preserve"> </w:t>
      </w:r>
      <w:r>
        <w:rPr>
          <w:rStyle w:val="VerbatimChar"/>
        </w:rPr>
        <w:t xml:space="preserve">MAX_STEPS = 500</w:t>
      </w:r>
      <w:r>
        <w:t xml:space="preserve">. The current scripts use 800 and 700. The per-seed coverage curves stored inside the May files are 500 elements long, which is how I dated them.</w:t>
      </w:r>
    </w:p>
    <w:p>
      <w:pPr>
        <w:pStyle w:val="Heading3"/>
      </w:pPr>
      <w:bookmarkStart w:id="24" w:name="why-this-matters"/>
      <w:r>
        <w:t xml:space="preserve">Why this matters</w:t>
      </w:r>
      <w:bookmarkEnd w:id="24"/>
    </w:p>
    <w:p>
      <w:pPr>
        <w:pStyle w:val="FirstParagraph"/>
      </w:pPr>
      <w:r>
        <w:t xml:space="preserve">The two generations give opposite answers.</w:t>
      </w:r>
    </w:p>
    <w:p>
      <w:pPr>
        <w:numPr>
          <w:ilvl w:val="0"/>
          <w:numId w:val="1001"/>
        </w:numPr>
        <w:pStyle w:val="Compact"/>
      </w:pPr>
      <w:r>
        <w:rPr>
          <w:b/>
        </w:rPr>
        <w:t xml:space="preserve">May data:</w:t>
      </w:r>
      <w:r>
        <w:t xml:space="preserve"> </w:t>
      </w:r>
      <w:r>
        <w:t xml:space="preserve">PPO 85.5% &gt; Boids 82.4% &gt; APF 76.0%. PPO wins. This supports your proposal.</w:t>
      </w:r>
    </w:p>
    <w:p>
      <w:pPr>
        <w:numPr>
          <w:ilvl w:val="0"/>
          <w:numId w:val="1001"/>
        </w:numPr>
        <w:pStyle w:val="Compact"/>
      </w:pPr>
      <w:r>
        <w:rPr>
          <w:b/>
        </w:rPr>
        <w:t xml:space="preserve">June data:</w:t>
      </w:r>
      <w:r>
        <w:t xml:space="preserve"> </w:t>
      </w:r>
      <w:r>
        <w:t xml:space="preserve">APF 90.6% &gt; Boids 86.7% &gt; PPO 85.5%. APF wins. This contradicts your proposal.</w:t>
      </w:r>
    </w:p>
    <w:p>
      <w:pPr>
        <w:pStyle w:val="FirstParagraph"/>
      </w:pPr>
      <w:r>
        <w:rPr>
          <w:rStyle w:val="VerbatimChar"/>
        </w:rPr>
        <w:t xml:space="preserve">compare/compare.py</w:t>
      </w:r>
      <w:r>
        <w:t xml:space="preserve"> </w:t>
      </w:r>
      <w:r>
        <w:t xml:space="preserve">reads from</w:t>
      </w:r>
      <w:r>
        <w:t xml:space="preserve"> </w:t>
      </w:r>
      <w:r>
        <w:rPr>
          <w:rStyle w:val="VerbatimChar"/>
        </w:rPr>
        <w:t xml:space="preserve">compare/results/</w:t>
      </w:r>
      <w:r>
        <w:t xml:space="preserve">, so every table and figure produced by that script is built on the stale 500-step data. If your draft quotes numbers like</w:t>
      </w:r>
      <w:r>
        <w:t xml:space="preserve"> </w:t>
      </w:r>
      <w:r>
        <w:t xml:space="preserve">“</w:t>
      </w:r>
      <w:r>
        <w:t xml:space="preserve">APF 64.7% at 30% density</w:t>
      </w:r>
      <w:r>
        <w:t xml:space="preserve">”</w:t>
      </w:r>
      <w:r>
        <w:t xml:space="preserve">, those come from the stale generation.</w:t>
      </w:r>
    </w:p>
    <w:p>
      <w:pPr>
        <w:pStyle w:val="Heading3"/>
      </w:pPr>
      <w:bookmarkStart w:id="25" w:name="fix"/>
      <w:r>
        <w:t xml:space="preserve">Fix</w:t>
      </w:r>
      <w:bookmarkEnd w:id="25"/>
    </w:p>
    <w:p>
      <w:pPr>
        <w:numPr>
          <w:ilvl w:val="0"/>
          <w:numId w:val="1002"/>
        </w:numPr>
        <w:pStyle w:val="Compact"/>
      </w:pPr>
      <w:r>
        <w:t xml:space="preserve">Delete</w:t>
      </w:r>
      <w:r>
        <w:t xml:space="preserve"> </w:t>
      </w:r>
      <w:r>
        <w:rPr>
          <w:rStyle w:val="VerbatimChar"/>
        </w:rPr>
        <w:t xml:space="preserve">compare/results/*_results_A.npy</w:t>
      </w:r>
      <w:r>
        <w:t xml:space="preserve"> </w:t>
      </w:r>
      <w:r>
        <w:t xml:space="preserve">and</w:t>
      </w:r>
      <w:r>
        <w:t xml:space="preserve"> </w:t>
      </w:r>
      <w:r>
        <w:rPr>
          <w:rStyle w:val="VerbatimChar"/>
        </w:rPr>
        <w:t xml:space="preserve">*_results_B.npy</w:t>
      </w:r>
      <w:r>
        <w:t xml:space="preserve">, or move them to</w:t>
      </w:r>
      <w:r>
        <w:t xml:space="preserve"> </w:t>
      </w:r>
      <w:r>
        <w:rPr>
          <w:rStyle w:val="VerbatimChar"/>
        </w:rPr>
        <w:t xml:space="preserve">code/archive/</w:t>
      </w:r>
      <w:r>
        <w:t xml:space="preserve">.</w:t>
      </w:r>
    </w:p>
    <w:p>
      <w:pPr>
        <w:numPr>
          <w:ilvl w:val="0"/>
          <w:numId w:val="1002"/>
        </w:numPr>
        <w:pStyle w:val="Compact"/>
      </w:pPr>
      <w:r>
        <w:t xml:space="preserve">Point</w:t>
      </w:r>
      <w:r>
        <w:t xml:space="preserve"> </w:t>
      </w:r>
      <w:r>
        <w:rPr>
          <w:rStyle w:val="VerbatimChar"/>
        </w:rPr>
        <w:t xml:space="preserve">compare/compare.py</w:t>
      </w:r>
      <w:r>
        <w:t xml:space="preserve"> </w:t>
      </w:r>
      <w:r>
        <w:t xml:space="preserve">at</w:t>
      </w:r>
      <w:r>
        <w:t xml:space="preserve"> </w:t>
      </w:r>
      <w:r>
        <w:rPr>
          <w:rStyle w:val="VerbatimChar"/>
        </w:rPr>
        <w:t xml:space="preserve">phase2_boids/results/</w:t>
      </w:r>
      <w:r>
        <w:t xml:space="preserve">,</w:t>
      </w:r>
      <w:r>
        <w:t xml:space="preserve"> </w:t>
      </w:r>
      <w:r>
        <w:rPr>
          <w:rStyle w:val="VerbatimChar"/>
        </w:rPr>
        <w:t xml:space="preserve">phase3_apf/results/</w:t>
      </w:r>
      <w:r>
        <w:t xml:space="preserve"> </w:t>
      </w:r>
      <w:r>
        <w:t xml:space="preserve">and</w:t>
      </w:r>
      <w:r>
        <w:t xml:space="preserve"> </w:t>
      </w:r>
      <w:r>
        <w:rPr>
          <w:rStyle w:val="VerbatimChar"/>
        </w:rPr>
        <w:t xml:space="preserve">phase4_ppo/results/</w:t>
      </w:r>
      <w:r>
        <w:t xml:space="preserve">.</w:t>
      </w:r>
    </w:p>
    <w:p>
      <w:pPr>
        <w:numPr>
          <w:ilvl w:val="0"/>
          <w:numId w:val="1002"/>
        </w:numPr>
        <w:pStyle w:val="Compact"/>
      </w:pPr>
      <w:r>
        <w:t xml:space="preserve">Regenerate every figure.</w:t>
      </w:r>
    </w:p>
    <w:p>
      <w:pPr>
        <w:pStyle w:val="FirstParagraph"/>
      </w:pPr>
      <w:r>
        <w:t xml:space="preserve">Until you do this, do not quote any number from</w:t>
      </w:r>
      <w:r>
        <w:t xml:space="preserve"> </w:t>
      </w:r>
      <w:r>
        <w:rPr>
          <w:rStyle w:val="VerbatimChar"/>
        </w:rPr>
        <w:t xml:space="preserve">compare/results/</w:t>
      </w:r>
      <w:r>
        <w:t xml:space="preserve">.</w:t>
      </w:r>
    </w:p>
    <w:p>
      <w:r>
        <w:pict>
          <v:rect style="width:0;height:1.5pt" o:hralign="center" o:hrstd="t" o:hr="t"/>
        </w:pict>
      </w:r>
    </w:p>
    <w:p>
      <w:pPr>
        <w:pStyle w:val="Heading2"/>
      </w:pPr>
      <w:bookmarkStart w:id="26" w:name="X1648790f6c46bd1684273a5169571bdc443992a"/>
      <w:r>
        <w:t xml:space="preserve">Defect 2 — The seed does not control the obstacle layout</w:t>
      </w:r>
      <w:bookmarkEnd w:id="26"/>
    </w:p>
    <w:p>
      <w:pPr>
        <w:pStyle w:val="Heading3"/>
      </w:pPr>
      <w:bookmarkStart w:id="27" w:name="evidence-1"/>
      <w:r>
        <w:t xml:space="preserve">Evidence</w:t>
      </w:r>
      <w:bookmarkEnd w:id="27"/>
    </w:p>
    <w:p>
      <w:pPr>
        <w:pStyle w:val="FirstParagraph"/>
      </w:pPr>
      <w:r>
        <w:rPr>
          <w:rStyle w:val="VerbatimChar"/>
        </w:rPr>
        <w:t xml:space="preserve">phase2_boids/model_phase2.py</w:t>
      </w:r>
      <w:r>
        <w:t xml:space="preserve"> </w:t>
      </w:r>
      <w:r>
        <w:t xml:space="preserve">line 77 and</w:t>
      </w:r>
      <w:r>
        <w:t xml:space="preserve"> </w:t>
      </w:r>
      <w:r>
        <w:rPr>
          <w:rStyle w:val="VerbatimChar"/>
        </w:rPr>
        <w:t xml:space="preserve">phase3_apf/model_apf.py</w:t>
      </w:r>
      <w:r>
        <w:t xml:space="preserve"> </w:t>
      </w:r>
      <w:r>
        <w:t xml:space="preserve">line 117 both contain:</w:t>
      </w:r>
    </w:p>
    <w:p>
      <w:pPr>
        <w:pStyle w:val="SourceCode"/>
      </w:pPr>
      <w:r>
        <w:rPr>
          <w:rStyle w:val="NormalTok"/>
        </w:rPr>
        <w:t xml:space="preserve">obs_map </w:t>
      </w:r>
      <w:r>
        <w:rPr>
          <w:rStyle w:val="OperatorTok"/>
        </w:rPr>
        <w:t xml:space="preserve">=</w:t>
      </w:r>
      <w:r>
        <w:rPr>
          <w:rStyle w:val="NormalTok"/>
        </w:rPr>
        <w:t xml:space="preserve"> generate_structured_obstacles(</w:t>
      </w:r>
      <w:r>
        <w:br/>
      </w:r>
      <w:r>
        <w:rPr>
          <w:rStyle w:val="NormalTok"/>
        </w:rPr>
        <w:t xml:space="preserve">    grid_size</w:t>
      </w:r>
      <w:r>
        <w:rPr>
          <w:rStyle w:val="OperatorTok"/>
        </w:rPr>
        <w:t xml:space="preserve">=</w:t>
      </w:r>
      <w:r>
        <w:rPr>
          <w:rStyle w:val="NormalTok"/>
        </w:rPr>
        <w:t xml:space="preserve">grid_width,</w:t>
      </w:r>
      <w:r>
        <w:br/>
      </w:r>
      <w:r>
        <w:rPr>
          <w:rStyle w:val="NormalTok"/>
        </w:rPr>
        <w:t xml:space="preserve">    obstacle_density</w:t>
      </w:r>
      <w:r>
        <w:rPr>
          <w:rStyle w:val="OperatorTok"/>
        </w:rPr>
        <w:t xml:space="preserve">=</w:t>
      </w:r>
      <w:r>
        <w:rPr>
          <w:rStyle w:val="NormalTok"/>
        </w:rPr>
        <w:t xml:space="preserve">obstacle_density,</w:t>
      </w:r>
      <w:r>
        <w:br/>
      </w:r>
      <w:r>
        <w:rPr>
          <w:rStyle w:val="NormalTok"/>
        </w:rPr>
        <w:t xml:space="preserve">    seed</w:t>
      </w:r>
      <w:r>
        <w:rPr>
          <w:rStyle w:val="OperatorTok"/>
        </w:rPr>
        <w:t xml:space="preserve">=</w:t>
      </w:r>
      <w:r>
        <w:rPr>
          <w:rStyle w:val="BuiltInTok"/>
        </w:rPr>
        <w:t xml:space="preserve">int</w:t>
      </w:r>
      <w:r>
        <w:rPr>
          <w:rStyle w:val="NormalTok"/>
        </w:rPr>
        <w:t xml:space="preserve">(</w:t>
      </w:r>
      <w:r>
        <w:rPr>
          <w:rStyle w:val="VariableTok"/>
        </w:rPr>
        <w:t xml:space="preserve">self</w:t>
      </w:r>
      <w:r>
        <w:rPr>
          <w:rStyle w:val="NormalTok"/>
        </w:rPr>
        <w:t xml:space="preserve">.random.random() </w:t>
      </w:r>
      <w:r>
        <w:rPr>
          <w:rStyle w:val="OperatorTok"/>
        </w:rPr>
        <w:t xml:space="preserve">*</w:t>
      </w:r>
      <w:r>
        <w:rPr>
          <w:rStyle w:val="NormalTok"/>
        </w:rPr>
        <w:t xml:space="preserve"> </w:t>
      </w:r>
      <w:r>
        <w:rPr>
          <w:rStyle w:val="DecValTok"/>
        </w:rPr>
        <w:t xml:space="preserve">10000</w:t>
      </w:r>
      <w:r>
        <w:rPr>
          <w:rStyle w:val="NormalTok"/>
        </w:rPr>
        <w:t xml:space="preserve">),   </w:t>
      </w:r>
      <w:r>
        <w:rPr>
          <w:rStyle w:val="CommentTok"/>
        </w:rPr>
        <w:t xml:space="preserve"># &lt;-- problem</w:t>
      </w:r>
      <w:r>
        <w:br/>
      </w:r>
      <w:r>
        <w:rPr>
          <w:rStyle w:val="NormalTok"/>
        </w:rPr>
        <w:t xml:space="preserve">    style</w:t>
      </w:r>
      <w:r>
        <w:rPr>
          <w:rStyle w:val="OperatorTok"/>
        </w:rPr>
        <w:t xml:space="preserve">=</w:t>
      </w:r>
      <w:r>
        <w:rPr>
          <w:rStyle w:val="NormalTok"/>
        </w:rPr>
        <w:t xml:space="preserve">obstacle_style)</w:t>
      </w:r>
    </w:p>
    <w:p>
      <w:pPr>
        <w:pStyle w:val="FirstParagraph"/>
      </w:pPr>
      <w:r>
        <w:rPr>
          <w:rStyle w:val="VerbatimChar"/>
        </w:rPr>
        <w:t xml:space="preserve">self.random</w:t>
      </w:r>
      <w:r>
        <w:t xml:space="preserve"> </w:t>
      </w:r>
      <w:r>
        <w:t xml:space="preserve">is Mesa’s own</w:t>
      </w:r>
      <w:r>
        <w:t xml:space="preserve"> </w:t>
      </w:r>
      <w:r>
        <w:rPr>
          <w:rStyle w:val="VerbatimChar"/>
        </w:rPr>
        <w:t xml:space="preserve">random.Random</w:t>
      </w:r>
      <w:r>
        <w:t xml:space="preserve"> </w:t>
      </w:r>
      <w:r>
        <w:t xml:space="preserve">instance. The runners call</w:t>
      </w:r>
      <w:r>
        <w:t xml:space="preserve"> </w:t>
      </w:r>
      <w:r>
        <w:rPr>
          <w:rStyle w:val="VerbatimChar"/>
        </w:rPr>
        <w:t xml:space="preserve">np.random.seed(seed)</w:t>
      </w:r>
      <w:r>
        <w:t xml:space="preserve">, which seeds NumPy’s global generator. Those are two different generators. NumPy’s seed never reaches the obstacle builder.</w:t>
      </w:r>
    </w:p>
    <w:p>
      <w:pPr>
        <w:pStyle w:val="BodyText"/>
      </w:pPr>
      <w:r>
        <w:t xml:space="preserve">I tested this directly:</w:t>
      </w:r>
    </w:p>
    <w:p>
      <w:pPr>
        <w:pStyle w:val="SourceCode"/>
      </w:pPr>
      <w:r>
        <w:rPr>
          <w:rStyle w:val="VerbatimChar"/>
        </w:rPr>
        <w:t xml:space="preserve">np.random.seed(7); APFModel(obstacle_density=0.2)   -&gt; 503 obstacle cells</w:t>
      </w:r>
      <w:r>
        <w:br/>
      </w:r>
      <w:r>
        <w:rPr>
          <w:rStyle w:val="VerbatimChar"/>
        </w:rPr>
        <w:t xml:space="preserve">np.random.seed(7); APFModel(obstacle_density=0.2)   -&gt; 510 obstacle cells</w:t>
      </w:r>
      <w:r>
        <w:br/>
      </w:r>
      <w:r>
        <w:rPr>
          <w:rStyle w:val="VerbatimChar"/>
        </w:rPr>
        <w:t xml:space="preserve">np.random.seed(7); APFModel(obstacle_density=0.2)   -&gt; 512 obstacle cells</w:t>
      </w:r>
      <w:r>
        <w:br/>
      </w:r>
      <w:r>
        <w:rPr>
          <w:rStyle w:val="VerbatimChar"/>
        </w:rPr>
        <w:t xml:space="preserve">identical layout across 3 runs: False</w:t>
      </w:r>
    </w:p>
    <w:p>
      <w:pPr>
        <w:pStyle w:val="Heading3"/>
      </w:pPr>
      <w:bookmarkStart w:id="28" w:name="why-this-matters-1"/>
      <w:r>
        <w:t xml:space="preserve">Why this matters</w:t>
      </w:r>
      <w:bookmarkEnd w:id="28"/>
    </w:p>
    <w:p>
      <w:pPr>
        <w:pStyle w:val="FirstParagraph"/>
      </w:pPr>
      <w:r>
        <w:t xml:space="preserve">Three consequences, in increasing order of seriousness.</w:t>
      </w:r>
    </w:p>
    <w:p>
      <w:pPr>
        <w:numPr>
          <w:ilvl w:val="0"/>
          <w:numId w:val="1003"/>
        </w:numPr>
        <w:pStyle w:val="Compact"/>
      </w:pPr>
      <w:r>
        <w:rPr>
          <w:b/>
        </w:rPr>
        <w:t xml:space="preserve">The experiment is not reproducible.</w:t>
      </w:r>
      <w:r>
        <w:t xml:space="preserve"> </w:t>
      </w:r>
      <w:r>
        <w:t xml:space="preserve">Re-running</w:t>
      </w:r>
      <w:r>
        <w:t xml:space="preserve"> </w:t>
      </w:r>
      <w:r>
        <w:rPr>
          <w:rStyle w:val="VerbatimChar"/>
        </w:rPr>
        <w:t xml:space="preserve">run_apf.py</w:t>
      </w:r>
      <w:r>
        <w:t xml:space="preserve"> </w:t>
      </w:r>
      <w:r>
        <w:t xml:space="preserve">today gives different numbers from the ones in your results files. An examiner who asks you to re-run it will get a different table.</w:t>
      </w:r>
    </w:p>
    <w:p>
      <w:pPr>
        <w:numPr>
          <w:ilvl w:val="0"/>
          <w:numId w:val="1003"/>
        </w:numPr>
        <w:pStyle w:val="Compact"/>
      </w:pPr>
      <w:r>
        <w:rPr>
          <w:b/>
        </w:rPr>
        <w:t xml:space="preserve">The runs are not matched across methods.</w:t>
      </w:r>
      <w:r>
        <w:t xml:space="preserve"> </w:t>
      </w:r>
      <w:r>
        <w:t xml:space="preserve">Seed 7 for Boids is a different map from seed 7 for APF. The</w:t>
      </w:r>
      <w:r>
        <w:t xml:space="preserve"> </w:t>
      </w:r>
      <w:r>
        <w:rPr>
          <w:rStyle w:val="VerbatimChar"/>
        </w:rPr>
        <w:t xml:space="preserve">seed</w:t>
      </w:r>
      <w:r>
        <w:t xml:space="preserve"> </w:t>
      </w:r>
      <w:r>
        <w:t xml:space="preserve">field stored in the result files is a label with no physical meaning.</w:t>
      </w:r>
    </w:p>
    <w:p>
      <w:pPr>
        <w:numPr>
          <w:ilvl w:val="0"/>
          <w:numId w:val="1003"/>
        </w:numPr>
        <w:pStyle w:val="Compact"/>
      </w:pPr>
      <w:r>
        <w:rPr>
          <w:b/>
        </w:rPr>
        <w:t xml:space="preserve">Paired tests are invalid.</w:t>
      </w:r>
      <w:r>
        <w:t xml:space="preserve"> </w:t>
      </w:r>
      <w:r>
        <w:t xml:space="preserve">A Wilcoxon signed-rank test assumes observation</w:t>
      </w:r>
      <w:r>
        <w:t xml:space="preserve"> </w:t>
      </w:r>
      <w:r>
        <w:rPr>
          <w:i/>
        </w:rPr>
        <w:t xml:space="preserve">i</w:t>
      </w:r>
      <w:r>
        <w:t xml:space="preserve"> </w:t>
      </w:r>
      <w:r>
        <w:t xml:space="preserve">in sample A and observation</w:t>
      </w:r>
      <w:r>
        <w:t xml:space="preserve"> </w:t>
      </w:r>
      <w:r>
        <w:rPr>
          <w:i/>
        </w:rPr>
        <w:t xml:space="preserve">i</w:t>
      </w:r>
      <w:r>
        <w:t xml:space="preserve"> </w:t>
      </w:r>
      <w:r>
        <w:t xml:space="preserve">in sample B describe the same underlying case. That is not true here. I have therefore used the</w:t>
      </w:r>
      <w:r>
        <w:t xml:space="preserve"> </w:t>
      </w:r>
      <w:r>
        <w:rPr>
          <w:b/>
        </w:rPr>
        <w:t xml:space="preserve">Mann-Whitney U test as primary</w:t>
      </w:r>
      <w:r>
        <w:t xml:space="preserve"> </w:t>
      </w:r>
      <w:r>
        <w:t xml:space="preserve">throughout, which only assumes independence.</w:t>
      </w:r>
    </w:p>
    <w:p>
      <w:pPr>
        <w:pStyle w:val="FirstParagraph"/>
      </w:pPr>
      <w:r>
        <w:t xml:space="preserve">The good news: I ran both tests. They agree on 24 of 24 comparisons at Holm-corrected alpha = 0.05. Your comparative conclusions survive the switch. The reproducibility problem does not.</w:t>
      </w:r>
    </w:p>
    <w:p>
      <w:pPr>
        <w:pStyle w:val="Heading3"/>
      </w:pPr>
      <w:bookmarkStart w:id="29" w:name="fix-1"/>
      <w:r>
        <w:t xml:space="preserve">Fix</w:t>
      </w:r>
      <w:bookmarkEnd w:id="29"/>
    </w:p>
    <w:p>
      <w:pPr>
        <w:pStyle w:val="FirstParagraph"/>
      </w:pPr>
      <w:r>
        <w:t xml:space="preserve">Add a</w:t>
      </w:r>
      <w:r>
        <w:t xml:space="preserve"> </w:t>
      </w:r>
      <w:r>
        <w:rPr>
          <w:rStyle w:val="VerbatimChar"/>
        </w:rPr>
        <w:t xml:space="preserve">seed</w:t>
      </w:r>
      <w:r>
        <w:t xml:space="preserve"> </w:t>
      </w:r>
      <w:r>
        <w:t xml:space="preserve">argument and pass it through:</w:t>
      </w:r>
    </w:p>
    <w:p>
      <w:pPr>
        <w:pStyle w:val="SourceCode"/>
      </w:pPr>
      <w:r>
        <w:rPr>
          <w:rStyle w:val="KeywordTok"/>
        </w:rPr>
        <w:t xml:space="preserve">class</w:t>
      </w:r>
      <w:r>
        <w:rPr>
          <w:rStyle w:val="NormalTok"/>
        </w:rPr>
        <w:t xml:space="preserve"> APFModel(mesa.Model):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n_agents</w:t>
      </w:r>
      <w:r>
        <w:rPr>
          <w:rStyle w:val="OperatorTok"/>
        </w:rPr>
        <w:t xml:space="preserve">=</w:t>
      </w:r>
      <w:r>
        <w:rPr>
          <w:rStyle w:val="DecValTok"/>
        </w:rPr>
        <w:t xml:space="preserve">6</w:t>
      </w:r>
      <w:r>
        <w:rPr>
          <w:rStyle w:val="NormalTok"/>
        </w:rPr>
        <w:t xml:space="preserve">, grid_width</w:t>
      </w:r>
      <w:r>
        <w:rPr>
          <w:rStyle w:val="OperatorTok"/>
        </w:rPr>
        <w:t xml:space="preserve">=</w:t>
      </w:r>
      <w:r>
        <w:rPr>
          <w:rStyle w:val="DecValTok"/>
        </w:rPr>
        <w:t xml:space="preserve">50</w:t>
      </w:r>
      <w:r>
        <w:rPr>
          <w:rStyle w:val="NormalTok"/>
        </w:rPr>
        <w:t xml:space="preserve">, grid_height</w:t>
      </w:r>
      <w:r>
        <w:rPr>
          <w:rStyle w:val="OperatorTok"/>
        </w:rPr>
        <w:t xml:space="preserve">=</w:t>
      </w:r>
      <w:r>
        <w:rPr>
          <w:rStyle w:val="DecValTok"/>
        </w:rPr>
        <w:t xml:space="preserve">50</w:t>
      </w:r>
      <w:r>
        <w:rPr>
          <w:rStyle w:val="NormalTok"/>
        </w:rPr>
        <w:t xml:space="preserve">,</w:t>
      </w:r>
      <w:r>
        <w:br/>
      </w:r>
      <w:r>
        <w:rPr>
          <w:rStyle w:val="NormalTok"/>
        </w:rPr>
        <w:t xml:space="preserve">                 obstacle_density</w:t>
      </w:r>
      <w:r>
        <w:rPr>
          <w:rStyle w:val="OperatorTok"/>
        </w:rPr>
        <w:t xml:space="preserve">=</w:t>
      </w:r>
      <w:r>
        <w:rPr>
          <w:rStyle w:val="FloatTok"/>
        </w:rPr>
        <w:t xml:space="preserve">0.0</w:t>
      </w:r>
      <w:r>
        <w:rPr>
          <w:rStyle w:val="NormalTok"/>
        </w:rPr>
        <w:t xml:space="preserve">, obstacle_style</w:t>
      </w:r>
      <w:r>
        <w:rPr>
          <w:rStyle w:val="OperatorTok"/>
        </w:rPr>
        <w:t xml:space="preserve">=</w:t>
      </w:r>
      <w:r>
        <w:rPr>
          <w:rStyle w:val="StringTok"/>
        </w:rPr>
        <w:t xml:space="preserve">"urban"</w:t>
      </w:r>
      <w:r>
        <w:rPr>
          <w:rStyle w:val="NormalTok"/>
        </w:rPr>
        <w:t xml:space="preserve">, seed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(seed</w:t>
      </w:r>
      <w:r>
        <w:rPr>
          <w:rStyle w:val="OperatorTok"/>
        </w:rPr>
        <w:t xml:space="preserve">=</w:t>
      </w:r>
      <w:r>
        <w:rPr>
          <w:rStyle w:val="NormalTok"/>
        </w:rPr>
        <w:t xml:space="preserve">seed)          </w:t>
      </w:r>
      <w:r>
        <w:rPr>
          <w:rStyle w:val="CommentTok"/>
        </w:rPr>
        <w:t xml:space="preserve"># seeds Mesa's self.random</w:t>
      </w:r>
      <w:r>
        <w:br/>
      </w:r>
      <w:r>
        <w:rPr>
          <w:rStyle w:val="NormalTok"/>
        </w:rPr>
        <w:t xml:space="preserve">        ...</w:t>
      </w:r>
      <w:r>
        <w:br/>
      </w:r>
      <w:r>
        <w:rPr>
          <w:rStyle w:val="NormalTok"/>
        </w:rPr>
        <w:t xml:space="preserve">        obs_map </w:t>
      </w:r>
      <w:r>
        <w:rPr>
          <w:rStyle w:val="OperatorTok"/>
        </w:rPr>
        <w:t xml:space="preserve">=</w:t>
      </w:r>
      <w:r>
        <w:rPr>
          <w:rStyle w:val="NormalTok"/>
        </w:rPr>
        <w:t xml:space="preserve"> generate_structured_obstacles(</w:t>
      </w:r>
      <w:r>
        <w:br/>
      </w:r>
      <w:r>
        <w:rPr>
          <w:rStyle w:val="NormalTok"/>
        </w:rPr>
        <w:t xml:space="preserve">            grid_size</w:t>
      </w:r>
      <w:r>
        <w:rPr>
          <w:rStyle w:val="OperatorTok"/>
        </w:rPr>
        <w:t xml:space="preserve">=</w:t>
      </w:r>
      <w:r>
        <w:rPr>
          <w:rStyle w:val="NormalTok"/>
        </w:rPr>
        <w:t xml:space="preserve">grid_width,</w:t>
      </w:r>
      <w:r>
        <w:br/>
      </w:r>
      <w:r>
        <w:rPr>
          <w:rStyle w:val="NormalTok"/>
        </w:rPr>
        <w:t xml:space="preserve">            obstacle_density</w:t>
      </w:r>
      <w:r>
        <w:rPr>
          <w:rStyle w:val="OperatorTok"/>
        </w:rPr>
        <w:t xml:space="preserve">=</w:t>
      </w:r>
      <w:r>
        <w:rPr>
          <w:rStyle w:val="NormalTok"/>
        </w:rPr>
        <w:t xml:space="preserve">obstacle_density,</w:t>
      </w:r>
      <w:r>
        <w:br/>
      </w:r>
      <w:r>
        <w:rPr>
          <w:rStyle w:val="NormalTok"/>
        </w:rPr>
        <w:t xml:space="preserve">            seed</w:t>
      </w:r>
      <w:r>
        <w:rPr>
          <w:rStyle w:val="OperatorTok"/>
        </w:rPr>
        <w:t xml:space="preserve">=</w:t>
      </w:r>
      <w:r>
        <w:rPr>
          <w:rStyle w:val="NormalTok"/>
        </w:rPr>
        <w:t xml:space="preserve">seed,                        </w:t>
      </w:r>
      <w:r>
        <w:rPr>
          <w:rStyle w:val="CommentTok"/>
        </w:rPr>
        <w:t xml:space="preserve"># deterministic</w:t>
      </w:r>
      <w:r>
        <w:br/>
      </w:r>
      <w:r>
        <w:rPr>
          <w:rStyle w:val="NormalTok"/>
        </w:rPr>
        <w:t xml:space="preserve">            style</w:t>
      </w:r>
      <w:r>
        <w:rPr>
          <w:rStyle w:val="OperatorTok"/>
        </w:rPr>
        <w:t xml:space="preserve">=</w:t>
      </w:r>
      <w:r>
        <w:rPr>
          <w:rStyle w:val="NormalTok"/>
        </w:rPr>
        <w:t xml:space="preserve">obstacle_style)</w:t>
      </w:r>
    </w:p>
    <w:p>
      <w:pPr>
        <w:pStyle w:val="FirstParagraph"/>
      </w:pPr>
      <w:r>
        <w:t xml:space="preserve">and in the runner:</w:t>
      </w:r>
    </w:p>
    <w:p>
      <w:pPr>
        <w:pStyle w:val="SourceCode"/>
      </w:pPr>
      <w:r>
        <w:rPr>
          <w:rStyle w:val="KeywordTok"/>
        </w:rPr>
        <w:t xml:space="preserve">def</w:t>
      </w:r>
      <w:r>
        <w:rPr>
          <w:rStyle w:val="NormalTok"/>
        </w:rPr>
        <w:t xml:space="preserve"> run_one(density, seed):</w:t>
      </w:r>
      <w:r>
        <w:br/>
      </w:r>
      <w:r>
        <w:rPr>
          <w:rStyle w:val="NormalTok"/>
        </w:rPr>
        <w:t xml:space="preserve">    model </w:t>
      </w:r>
      <w:r>
        <w:rPr>
          <w:rStyle w:val="OperatorTok"/>
        </w:rPr>
        <w:t xml:space="preserve">=</w:t>
      </w:r>
      <w:r>
        <w:rPr>
          <w:rStyle w:val="NormalTok"/>
        </w:rPr>
        <w:t xml:space="preserve"> APFModel(n_agents</w:t>
      </w:r>
      <w:r>
        <w:rPr>
          <w:rStyle w:val="OperatorTok"/>
        </w:rPr>
        <w:t xml:space="preserve">=</w:t>
      </w:r>
      <w:r>
        <w:rPr>
          <w:rStyle w:val="NormalTok"/>
        </w:rPr>
        <w:t xml:space="preserve">NUM_UAVS, obstacle_density</w:t>
      </w:r>
      <w:r>
        <w:rPr>
          <w:rStyle w:val="OperatorTok"/>
        </w:rPr>
        <w:t xml:space="preserve">=</w:t>
      </w:r>
      <w:r>
        <w:rPr>
          <w:rStyle w:val="NormalTok"/>
        </w:rPr>
        <w:t xml:space="preserve">density, seed</w:t>
      </w:r>
      <w:r>
        <w:rPr>
          <w:rStyle w:val="OperatorTok"/>
        </w:rPr>
        <w:t xml:space="preserve">=</w:t>
      </w:r>
      <w:r>
        <w:rPr>
          <w:rStyle w:val="NormalTok"/>
        </w:rPr>
        <w:t xml:space="preserve">seed)</w:t>
      </w:r>
    </w:p>
    <w:p>
      <w:pPr>
        <w:pStyle w:val="FirstParagraph"/>
      </w:pPr>
      <w:r>
        <w:t xml:space="preserve">Apply the same change to</w:t>
      </w:r>
      <w:r>
        <w:t xml:space="preserve"> </w:t>
      </w:r>
      <w:r>
        <w:rPr>
          <w:rStyle w:val="VerbatimChar"/>
        </w:rPr>
        <w:t xml:space="preserve">model_phase2.py</w:t>
      </w:r>
      <w:r>
        <w:t xml:space="preserve">. Then re-run and check that two runs with the same seed give byte-identical obstacle grids. Once that holds, the paired Wilcoxon test becomes the correct primary test and you should switch back to it — it is more powerful, and it is the design you described in your proposal.</w:t>
      </w:r>
    </w:p>
    <w:p>
      <w:r>
        <w:pict>
          <v:rect style="width:0;height:1.5pt" o:hralign="center" o:hrstd="t" o:hr="t"/>
        </w:pict>
      </w:r>
    </w:p>
    <w:p>
      <w:pPr>
        <w:pStyle w:val="Heading2"/>
      </w:pPr>
      <w:bookmarkStart w:id="30" w:name="X0c3d5749d70e2c92384930f918515e9fc40cd63"/>
      <w:r>
        <w:t xml:space="preserve">Defect 3 — PPO’s</w:t>
      </w:r>
      <w:r>
        <w:t xml:space="preserve"> </w:t>
      </w:r>
      <w:r>
        <w:t xml:space="preserve">“</w:t>
      </w:r>
      <w:r>
        <w:t xml:space="preserve">unseen</w:t>
      </w:r>
      <w:r>
        <w:t xml:space="preserve">”</w:t>
      </w:r>
      <w:r>
        <w:t xml:space="preserve"> </w:t>
      </w:r>
      <w:r>
        <w:t xml:space="preserve">test set is the training set</w:t>
      </w:r>
      <w:bookmarkEnd w:id="30"/>
    </w:p>
    <w:p>
      <w:pPr>
        <w:pStyle w:val="Heading3"/>
      </w:pPr>
      <w:bookmarkStart w:id="31" w:name="evidence-2"/>
      <w:r>
        <w:t xml:space="preserve">Evidence</w:t>
      </w:r>
      <w:bookmarkEnd w:id="31"/>
    </w:p>
    <w:p>
      <w:pPr>
        <w:pStyle w:val="FirstParagraph"/>
      </w:pPr>
      <w:r>
        <w:rPr>
          <w:rStyle w:val="VerbatimChar"/>
        </w:rPr>
        <w:t xml:space="preserve">phase4_ppo/uav_coverage_env.py</w:t>
      </w:r>
      <w:r>
        <w:t xml:space="preserve"> </w:t>
      </w:r>
      <w:r>
        <w:t xml:space="preserve">line 66:</w:t>
      </w:r>
    </w:p>
    <w:p>
      <w:pPr>
        <w:pStyle w:val="SourceCode"/>
      </w:pPr>
      <w:r>
        <w:rPr>
          <w:rStyle w:val="KeywordTok"/>
        </w:rPr>
        <w:t xml:space="preserve">def</w:t>
      </w:r>
      <w:r>
        <w:rPr>
          <w:rStyle w:val="NormalTok"/>
        </w:rPr>
        <w:t xml:space="preserve"> reset(</w:t>
      </w:r>
      <w:r>
        <w:rPr>
          <w:rStyle w:val="VariableTok"/>
        </w:rPr>
        <w:t xml:space="preserve">self</w:t>
      </w:r>
      <w:r>
        <w:rPr>
          <w:rStyle w:val="NormalTok"/>
        </w:rPr>
        <w:t xml:space="preserve">, seed</w:t>
      </w:r>
      <w:r>
        <w:rPr>
          <w:rStyle w:val="OperatorTok"/>
        </w:rPr>
        <w:t xml:space="preserve">=</w:t>
      </w:r>
      <w:r>
        <w:rPr>
          <w:rStyle w:val="VariableTok"/>
        </w:rPr>
        <w:t xml:space="preserve">None</w:t>
      </w:r>
      <w:r>
        <w:rPr>
          <w:rStyle w:val="NormalTok"/>
        </w:rPr>
        <w:t xml:space="preserve">, options</w:t>
      </w:r>
      <w:r>
        <w:rPr>
          <w:rStyle w:val="OperatorTok"/>
        </w:rPr>
        <w:t xml:space="preserve">=</w:t>
      </w:r>
      <w:r>
        <w:rPr>
          <w:rStyle w:val="VariableTok"/>
        </w:rPr>
        <w:t xml:space="preserve">None</w:t>
      </w:r>
      <w:r>
        <w:rPr>
          <w:rStyle w:val="NormalTok"/>
        </w:rPr>
        <w:t xml:space="preserve">):</w:t>
      </w:r>
      <w:r>
        <w:br/>
      </w:r>
      <w:r>
        <w:rPr>
          <w:rStyle w:val="NormalTok"/>
        </w:rPr>
        <w:t xml:space="preserve">    s </w:t>
      </w:r>
      <w:r>
        <w:rPr>
          <w:rStyle w:val="OperatorTok"/>
        </w:rPr>
        <w:t xml:space="preserve">=</w:t>
      </w:r>
      <w:r>
        <w:rPr>
          <w:rStyle w:val="NormalTok"/>
        </w:rPr>
        <w:t xml:space="preserve"> </w:t>
      </w:r>
      <w:r>
        <w:rPr>
          <w:rStyle w:val="VariableTok"/>
        </w:rPr>
        <w:t xml:space="preserve">self</w:t>
      </w:r>
      <w:r>
        <w:rPr>
          <w:rStyle w:val="NormalTok"/>
        </w:rPr>
        <w:t xml:space="preserve">._ep_seed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&lt;-- problem</w:t>
      </w:r>
      <w:r>
        <w:br/>
      </w:r>
      <w:r>
        <w:rPr>
          <w:rStyle w:val="NormalTok"/>
        </w:rPr>
        <w:t xml:space="preserve">    </w:t>
      </w:r>
      <w:r>
        <w:rPr>
          <w:rStyle w:val="VariableTok"/>
        </w:rPr>
        <w:t xml:space="preserve">self</w:t>
      </w:r>
      <w:r>
        <w:rPr>
          <w:rStyle w:val="NormalTok"/>
        </w:rPr>
        <w:t xml:space="preserve">._ep_seed </w:t>
      </w:r>
      <w:r>
        <w:rPr>
          <w:rStyle w:val="OperatorTok"/>
        </w:rPr>
        <w:t xml:space="preserve">+=</w:t>
      </w:r>
      <w:r>
        <w:rPr>
          <w:rStyle w:val="NormalTok"/>
        </w:rPr>
        <w:t xml:space="preserve"> </w:t>
      </w:r>
      <w:r>
        <w:rPr>
          <w:rStyle w:val="DecValTok"/>
        </w:rPr>
        <w:t xml:space="preserve">1</w:t>
      </w:r>
    </w:p>
    <w:p>
      <w:pPr>
        <w:pStyle w:val="FirstParagraph"/>
      </w:pPr>
      <w:r>
        <w:t xml:space="preserve">Seed Set A is seeds 0–49. Seed Set B is seeds 50–99. Under</w:t>
      </w:r>
      <w:r>
        <w:t xml:space="preserve"> </w:t>
      </w:r>
      <w:r>
        <w:rPr>
          <w:rStyle w:val="VerbatimChar"/>
        </w:rPr>
        <w:t xml:space="preserve">% 50</w:t>
      </w:r>
      <w:r>
        <w:t xml:space="preserve">:</w:t>
      </w:r>
    </w:p>
    <w:p>
      <w:pPr>
        <w:pStyle w:val="SourceCode"/>
      </w:pPr>
      <w:r>
        <w:rPr>
          <w:rStyle w:val="VerbatimChar"/>
        </w:rPr>
        <w:t xml:space="preserve">Set A seeds 0,1,2,3,4    -&gt; layout index 0,1,2,3,4</w:t>
      </w:r>
      <w:r>
        <w:br/>
      </w:r>
      <w:r>
        <w:rPr>
          <w:rStyle w:val="VerbatimChar"/>
        </w:rPr>
        <w:t xml:space="preserve">Set B seeds 50,51,52,53,54 -&gt; layout index 0,1,2,3,4</w:t>
      </w:r>
    </w:p>
    <w:p>
      <w:pPr>
        <w:pStyle w:val="FirstParagraph"/>
      </w:pPr>
      <w:r>
        <w:t xml:space="preserve">I verified the resulting obstacle maps are byte-identical:</w:t>
      </w:r>
    </w:p>
    <w:p>
      <w:pPr>
        <w:pStyle w:val="SourceCode"/>
      </w:pPr>
      <w:r>
        <w:rPr>
          <w:rStyle w:val="VerbatimChar"/>
        </w:rPr>
        <w:t xml:space="preserve">density 0.1: Set A layout == Set B layout for 50/50 seeds</w:t>
      </w:r>
      <w:r>
        <w:br/>
      </w:r>
      <w:r>
        <w:rPr>
          <w:rStyle w:val="VerbatimChar"/>
        </w:rPr>
        <w:t xml:space="preserve">density 0.2: Set A layout == Set B layout for 50/50 seeds</w:t>
      </w:r>
      <w:r>
        <w:br/>
      </w:r>
      <w:r>
        <w:rPr>
          <w:rStyle w:val="VerbatimChar"/>
        </w:rPr>
        <w:t xml:space="preserve">density 0.3: Set A layout == Set B layout for 50/50 seeds</w:t>
      </w:r>
    </w:p>
    <w:p>
      <w:pPr>
        <w:pStyle w:val="Heading3"/>
      </w:pPr>
      <w:bookmarkStart w:id="32" w:name="why-this-matters-2"/>
      <w:r>
        <w:t xml:space="preserve">Why this matters</w:t>
      </w:r>
      <w:bookmarkEnd w:id="32"/>
    </w:p>
    <w:p>
      <w:pPr>
        <w:pStyle w:val="FirstParagraph"/>
      </w:pPr>
      <w:r>
        <w:t xml:space="preserve">Success criterion 4 in your README says:</w:t>
      </w:r>
      <w:r>
        <w:t xml:space="preserve"> </w:t>
      </w:r>
      <w:r>
        <w:rPr>
          <w:i/>
        </w:rPr>
        <w:t xml:space="preserve">“</w:t>
      </w:r>
      <w:r>
        <w:rPr>
          <w:i/>
        </w:rPr>
        <w:t xml:space="preserve">PPO degradation &lt; 10 pp at 20–30% density (Seed A vs Seed B).</w:t>
      </w:r>
      <w:r>
        <w:rPr>
          <w:i/>
        </w:rPr>
        <w:t xml:space="preserve">”</w:t>
      </w:r>
      <w:r>
        <w:t xml:space="preserve"> </w:t>
      </w:r>
      <w:r>
        <w:t xml:space="preserve">Your data shows degradation of −0.2 to −2.0 pp, which looks like an excellent generalisation result.</w:t>
      </w:r>
    </w:p>
    <w:p>
      <w:pPr>
        <w:pStyle w:val="BodyText"/>
      </w:pPr>
      <w:r>
        <w:t xml:space="preserve">It is not a generalisation result. Seed Set B is the same fifty maps as Seed Set A. The small differences are policy sampling noise on identical environments. You currently have</w:t>
      </w:r>
      <w:r>
        <w:t xml:space="preserve"> </w:t>
      </w:r>
      <w:r>
        <w:rPr>
          <w:b/>
        </w:rPr>
        <w:t xml:space="preserve">no held-out test set for PPO at all</w:t>
      </w:r>
      <w:r>
        <w:t xml:space="preserve">, and therefore no evidence about generalisation in either direction.</w:t>
      </w:r>
    </w:p>
    <w:p>
      <w:pPr>
        <w:pStyle w:val="BodyText"/>
      </w:pPr>
      <w:r>
        <w:t xml:space="preserve">This is the item most likely to be caught in a viva, because it is the one novel claim in the research question.</w:t>
      </w:r>
    </w:p>
    <w:p>
      <w:pPr>
        <w:pStyle w:val="Heading3"/>
      </w:pPr>
      <w:bookmarkStart w:id="33" w:name="fix-2"/>
      <w:r>
        <w:t xml:space="preserve">Fix</w:t>
      </w:r>
      <w:bookmarkEnd w:id="33"/>
    </w:p>
    <w:p>
      <w:pPr>
        <w:pStyle w:val="SourceCode"/>
      </w:pPr>
      <w:r>
        <w:rPr>
          <w:rStyle w:val="KeywordTok"/>
        </w:rPr>
        <w:t xml:space="preserve">def</w:t>
      </w:r>
      <w:r>
        <w:rPr>
          <w:rStyle w:val="NormalTok"/>
        </w:rPr>
        <w:t xml:space="preserve"> reset(</w:t>
      </w:r>
      <w:r>
        <w:rPr>
          <w:rStyle w:val="VariableTok"/>
        </w:rPr>
        <w:t xml:space="preserve">self</w:t>
      </w:r>
      <w:r>
        <w:rPr>
          <w:rStyle w:val="NormalTok"/>
        </w:rPr>
        <w:t xml:space="preserve">, seed</w:t>
      </w:r>
      <w:r>
        <w:rPr>
          <w:rStyle w:val="OperatorTok"/>
        </w:rPr>
        <w:t xml:space="preserve">=</w:t>
      </w:r>
      <w:r>
        <w:rPr>
          <w:rStyle w:val="VariableTok"/>
        </w:rPr>
        <w:t xml:space="preserve">None</w:t>
      </w:r>
      <w:r>
        <w:rPr>
          <w:rStyle w:val="NormalTok"/>
        </w:rPr>
        <w:t xml:space="preserve">, options</w:t>
      </w:r>
      <w:r>
        <w:rPr>
          <w:rStyle w:val="OperatorTok"/>
        </w:rPr>
        <w:t xml:space="preserve">=</w:t>
      </w:r>
      <w:r>
        <w:rPr>
          <w:rStyle w:val="VariableTok"/>
        </w:rPr>
        <w:t xml:space="preserve">None</w:t>
      </w:r>
      <w:r>
        <w:rPr>
          <w:rStyle w:val="NormalTok"/>
        </w:rPr>
        <w:t xml:space="preserve">):</w:t>
      </w:r>
      <w:r>
        <w:br/>
      </w:r>
      <w:r>
        <w:rPr>
          <w:rStyle w:val="NormalTok"/>
        </w:rPr>
        <w:t xml:space="preserve">    s </w:t>
      </w:r>
      <w:r>
        <w:rPr>
          <w:rStyle w:val="OperatorTok"/>
        </w:rPr>
        <w:t xml:space="preserve">=</w:t>
      </w:r>
      <w:r>
        <w:rPr>
          <w:rStyle w:val="NormalTok"/>
        </w:rPr>
        <w:t xml:space="preserve"> </w:t>
      </w:r>
      <w:r>
        <w:rPr>
          <w:rStyle w:val="VariableTok"/>
        </w:rPr>
        <w:t xml:space="preserve">self</w:t>
      </w:r>
      <w:r>
        <w:rPr>
          <w:rStyle w:val="NormalTok"/>
        </w:rPr>
        <w:t xml:space="preserve">._ep_seed          </w:t>
      </w:r>
      <w:r>
        <w:rPr>
          <w:rStyle w:val="CommentTok"/>
        </w:rPr>
        <w:t xml:space="preserve"># no modulo</w:t>
      </w:r>
      <w:r>
        <w:br/>
      </w:r>
      <w:r>
        <w:rPr>
          <w:rStyle w:val="NormalTok"/>
        </w:rPr>
        <w:t xml:space="preserve">    </w:t>
      </w:r>
      <w:r>
        <w:rPr>
          <w:rStyle w:val="VariableTok"/>
        </w:rPr>
        <w:t xml:space="preserve">self</w:t>
      </w:r>
      <w:r>
        <w:rPr>
          <w:rStyle w:val="NormalTok"/>
        </w:rPr>
        <w:t xml:space="preserve">._ep_seed </w:t>
      </w:r>
      <w:r>
        <w:rPr>
          <w:rStyle w:val="OperatorTok"/>
        </w:rPr>
        <w:t xml:space="preserve">+=</w:t>
      </w:r>
      <w:r>
        <w:rPr>
          <w:rStyle w:val="NormalTok"/>
        </w:rPr>
        <w:t xml:space="preserve"> </w:t>
      </w:r>
      <w:r>
        <w:rPr>
          <w:rStyle w:val="DecValTok"/>
        </w:rPr>
        <w:t xml:space="preserve">1</w:t>
      </w:r>
    </w:p>
    <w:p>
      <w:pPr>
        <w:pStyle w:val="FirstParagraph"/>
      </w:pPr>
      <w:r>
        <w:t xml:space="preserve">Then train only on layouts 0–49 and test on layouts 50–99, and confirm in code that</w:t>
      </w:r>
      <w:r>
        <w:t xml:space="preserve"> </w:t>
      </w:r>
      <w:r>
        <w:rPr>
          <w:rStyle w:val="VerbatimChar"/>
        </w:rPr>
        <w:t xml:space="preserve">_build_obstacles(d, 0)</w:t>
      </w:r>
      <w:r>
        <w:t xml:space="preserve"> </w:t>
      </w:r>
      <w:r>
        <w:t xml:space="preserve">and</w:t>
      </w:r>
      <w:r>
        <w:t xml:space="preserve"> </w:t>
      </w:r>
      <w:r>
        <w:rPr>
          <w:rStyle w:val="VerbatimChar"/>
        </w:rPr>
        <w:t xml:space="preserve">_build_obstacles(d, 50)</w:t>
      </w:r>
      <w:r>
        <w:t xml:space="preserve"> </w:t>
      </w:r>
      <w:r>
        <w:t xml:space="preserve">differ. Re-run</w:t>
      </w:r>
      <w:r>
        <w:t xml:space="preserve"> </w:t>
      </w:r>
      <w:r>
        <w:rPr>
          <w:rStyle w:val="VerbatimChar"/>
        </w:rPr>
        <w:t xml:space="preserve">test_ppo.py</w:t>
      </w:r>
      <w:r>
        <w:t xml:space="preserve">. The degradation figure you get after that fix is the number worth reporting, whatever it turns out to be.</w:t>
      </w:r>
    </w:p>
    <w:p>
      <w:pPr>
        <w:pStyle w:val="BodyText"/>
      </w:pPr>
      <w:r>
        <w:t xml:space="preserve">Note that</w:t>
      </w:r>
      <w:r>
        <w:t xml:space="preserve"> </w:t>
      </w:r>
      <w:r>
        <w:rPr>
          <w:rStyle w:val="VerbatimChar"/>
        </w:rPr>
        <w:t xml:space="preserve">_build_obstacles</w:t>
      </w:r>
      <w:r>
        <w:t xml:space="preserve"> </w:t>
      </w:r>
      <w:r>
        <w:t xml:space="preserve">itself</w:t>
      </w:r>
      <w:r>
        <w:t xml:space="preserve"> </w:t>
      </w:r>
      <w:r>
        <w:rPr>
          <w:i/>
        </w:rPr>
        <w:t xml:space="preserve">is</w:t>
      </w:r>
      <w:r>
        <w:t xml:space="preserve"> </w:t>
      </w:r>
      <w:r>
        <w:t xml:space="preserve">deterministic — I checked — so once the modulo is removed, the PPO side of the experiment is properly seeded. Only the Mesa models need Defect 2’s fix.</w:t>
      </w:r>
    </w:p>
    <w:p>
      <w:r>
        <w:pict>
          <v:rect style="width:0;height:1.5pt" o:hralign="center" o:hrstd="t" o:hr="t"/>
        </w:pict>
      </w:r>
    </w:p>
    <w:p>
      <w:pPr>
        <w:pStyle w:val="Heading2"/>
      </w:pPr>
      <w:bookmarkStart w:id="34" w:name="defect-4-unequal-episode-budgets"/>
      <w:r>
        <w:t xml:space="preserve">Defect 4 — Unequal episode budgets</w:t>
      </w:r>
      <w:bookmarkEnd w:id="34"/>
    </w:p>
    <w:p>
      <w:pPr>
        <w:pStyle w:val="Heading3"/>
      </w:pPr>
      <w:bookmarkStart w:id="35" w:name="evidence-3"/>
      <w:r>
        <w:t xml:space="preserve">Evidence</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Script</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rPr>
                <w:rStyle w:val="VerbatimChar"/>
              </w:rPr>
              <w:t xml:space="preserve">MAX_STEPS</w:t>
            </w:r>
          </w:p>
        </w:tc>
      </w:tr>
      <w:tr>
        <w:tc>
          <w:p>
            <w:pPr>
              <w:pStyle w:val="Compact"/>
              <w:jc w:val="left"/>
            </w:pPr>
            <w:r>
              <w:rPr>
                <w:rStyle w:val="VerbatimChar"/>
              </w:rPr>
              <w:t xml:space="preserve">phase2_boids/run_boids.py</w:t>
            </w:r>
          </w:p>
        </w:tc>
        <w:tc>
          <w:p>
            <w:pPr>
              <w:pStyle w:val="Compact"/>
              <w:jc w:val="left"/>
            </w:pPr>
            <w:r>
              <w:t xml:space="preserve">17</w:t>
            </w:r>
          </w:p>
        </w:tc>
        <w:tc>
          <w:p>
            <w:pPr>
              <w:pStyle w:val="Compact"/>
              <w:jc w:val="left"/>
            </w:pPr>
            <w:r>
              <w:t xml:space="preserve">800</w:t>
            </w:r>
          </w:p>
        </w:tc>
      </w:tr>
      <w:tr>
        <w:tc>
          <w:p>
            <w:pPr>
              <w:pStyle w:val="Compact"/>
              <w:jc w:val="left"/>
            </w:pPr>
            <w:r>
              <w:rPr>
                <w:rStyle w:val="VerbatimChar"/>
              </w:rPr>
              <w:t xml:space="preserve">phase3_apf/run_apf.py</w:t>
            </w:r>
          </w:p>
        </w:tc>
        <w:tc>
          <w:p>
            <w:pPr>
              <w:pStyle w:val="Compact"/>
              <w:jc w:val="left"/>
            </w:pPr>
            <w:r>
              <w:t xml:space="preserve">17</w:t>
            </w:r>
          </w:p>
        </w:tc>
        <w:tc>
          <w:p>
            <w:pPr>
              <w:pStyle w:val="Compact"/>
              <w:jc w:val="left"/>
            </w:pPr>
            <w:r>
              <w:t xml:space="preserve">700</w:t>
            </w:r>
          </w:p>
        </w:tc>
      </w:tr>
      <w:tr>
        <w:tc>
          <w:p>
            <w:pPr>
              <w:pStyle w:val="Compact"/>
              <w:jc w:val="left"/>
            </w:pPr>
            <w:r>
              <w:rPr>
                <w:rStyle w:val="VerbatimChar"/>
              </w:rPr>
              <w:t xml:space="preserve">phase4_ppo/test_ppo.py</w:t>
            </w:r>
          </w:p>
        </w:tc>
        <w:tc>
          <w:p>
            <w:pPr>
              <w:pStyle w:val="Compact"/>
              <w:jc w:val="left"/>
            </w:pPr>
            <w:r>
              <w:t xml:space="preserve">26</w:t>
            </w:r>
          </w:p>
        </w:tc>
        <w:tc>
          <w:p>
            <w:pPr>
              <w:pStyle w:val="Compact"/>
              <w:jc w:val="left"/>
            </w:pPr>
            <w:r>
              <w:t xml:space="preserve">700</w:t>
            </w:r>
          </w:p>
        </w:tc>
      </w:tr>
    </w:tbl>
    <w:p>
      <w:pPr>
        <w:pStyle w:val="BodyText"/>
      </w:pPr>
      <w:r>
        <w:t xml:space="preserve">Your README states 5,000 timesteps per episode. None of the three scripts uses that value, so the README is also wrong.</w:t>
      </w:r>
    </w:p>
    <w:p>
      <w:pPr>
        <w:pStyle w:val="Heading3"/>
      </w:pPr>
      <w:bookmarkStart w:id="36" w:name="why-this-matters-3"/>
      <w:r>
        <w:t xml:space="preserve">Why this matters</w:t>
      </w:r>
      <w:bookmarkEnd w:id="36"/>
    </w:p>
    <w:p>
      <w:pPr>
        <w:pStyle w:val="FirstParagraph"/>
      </w:pPr>
      <w:r>
        <w:t xml:space="preserve">Boids gets 14% more time than the other two. Coverage is monotonically non-decreasing in time, so this inflates Boids. Every Boids comparison in the results is confounded.</w:t>
      </w:r>
    </w:p>
    <w:p>
      <w:pPr>
        <w:pStyle w:val="BodyText"/>
      </w:pPr>
      <w:r>
        <w:t xml:space="preserve">The APF-versus-PPO comparison is clean, because both use 700. That happens to be the comparison that matters most, so the headline finding survives — but you must say so explicitly rather than hoping nobody checks.</w:t>
      </w:r>
    </w:p>
    <w:p>
      <w:pPr>
        <w:pStyle w:val="Heading3"/>
      </w:pPr>
      <w:bookmarkStart w:id="37" w:name="fix-3"/>
      <w:r>
        <w:t xml:space="preserve">Fix</w:t>
      </w:r>
      <w:bookmarkEnd w:id="37"/>
    </w:p>
    <w:p>
      <w:pPr>
        <w:pStyle w:val="FirstParagraph"/>
      </w:pPr>
      <w:r>
        <w:t xml:space="preserve">Set all three to the same value, re-run, and correct the README. If you want to keep the 800-step Boids run as a supplementary robustness check, that is fine, but the primary table must use a common budget.</w:t>
      </w:r>
    </w:p>
    <w:p>
      <w:r>
        <w:pict>
          <v:rect style="width:0;height:1.5pt" o:hralign="center" o:hrstd="t" o:hr="t"/>
        </w:pict>
      </w:r>
    </w:p>
    <w:p>
      <w:pPr>
        <w:pStyle w:val="Heading2"/>
      </w:pPr>
      <w:bookmarkStart w:id="38" w:name="X13224084dcc375bde2314e89b5ed0071e1ca1dd"/>
      <w:r>
        <w:t xml:space="preserve">Defect 5 — PPO coverage curves are synthetic</w:t>
      </w:r>
      <w:bookmarkEnd w:id="38"/>
    </w:p>
    <w:p>
      <w:pPr>
        <w:pStyle w:val="Heading3"/>
      </w:pPr>
      <w:bookmarkStart w:id="39" w:name="evidence-4"/>
      <w:r>
        <w:t xml:space="preserve">Evidence</w:t>
      </w:r>
      <w:bookmarkEnd w:id="39"/>
    </w:p>
    <w:p>
      <w:pPr>
        <w:pStyle w:val="FirstParagraph"/>
      </w:pPr>
      <w:r>
        <w:rPr>
          <w:rStyle w:val="VerbatimChar"/>
        </w:rPr>
        <w:t xml:space="preserve">phase4_ppo/test_ppo.py</w:t>
      </w:r>
      <w:r>
        <w:t xml:space="preserve"> </w:t>
      </w:r>
      <w:r>
        <w:t xml:space="preserve">line 77:</w:t>
      </w:r>
    </w:p>
    <w:p>
      <w:pPr>
        <w:pStyle w:val="SourceCode"/>
      </w:pPr>
      <w:r>
        <w:rPr>
          <w:rStyle w:val="KeywordTok"/>
        </w:rPr>
        <w:t xml:space="preserve">def</w:t>
      </w:r>
      <w:r>
        <w:rPr>
          <w:rStyle w:val="NormalTok"/>
        </w:rPr>
        <w:t xml:space="preserve"> save_curves(results_A):</w:t>
      </w:r>
      <w:r>
        <w:br/>
      </w:r>
      <w:r>
        <w:rPr>
          <w:rStyle w:val="NormalTok"/>
        </w:rPr>
        <w:t xml:space="preserve">    </w:t>
      </w:r>
      <w:r>
        <w:rPr>
          <w:rStyle w:val="CommentTok"/>
        </w:rPr>
        <w:t xml:space="preserve">"""Save flat curves at final coverage for compare.py."""</w:t>
      </w:r>
      <w:r>
        <w:br/>
      </w:r>
      <w:r>
        <w:rPr>
          <w:rStyle w:val="NormalTok"/>
        </w:rPr>
        <w:t xml:space="preserve">    </w:t>
      </w:r>
      <w:r>
        <w:rPr>
          <w:rStyle w:val="ControlFlowTok"/>
        </w:rPr>
        <w:t xml:space="preserve">for</w:t>
      </w:r>
      <w:r>
        <w:rPr>
          <w:rStyle w:val="NormalTok"/>
        </w:rPr>
        <w:t xml:space="preserve"> d, results </w:t>
      </w:r>
      <w:r>
        <w:rPr>
          <w:rStyle w:val="KeywordTok"/>
        </w:rPr>
        <w:t xml:space="preserve">in</w:t>
      </w:r>
      <w:r>
        <w:rPr>
          <w:rStyle w:val="NormalTok"/>
        </w:rPr>
        <w:t xml:space="preserve"> results_A.items():</w:t>
      </w:r>
      <w:r>
        <w:br/>
      </w:r>
      <w:r>
        <w:rPr>
          <w:rStyle w:val="NormalTok"/>
        </w:rPr>
        <w:t xml:space="preserve">        mean  </w:t>
      </w:r>
      <w:r>
        <w:rPr>
          <w:rStyle w:val="OperatorTok"/>
        </w:rPr>
        <w:t xml:space="preserve">=</w:t>
      </w:r>
      <w:r>
        <w:rPr>
          <w:rStyle w:val="NormalTok"/>
        </w:rPr>
        <w:t xml:space="preserve"> np.mean([r[</w:t>
      </w:r>
      <w:r>
        <w:rPr>
          <w:rStyle w:val="StringTok"/>
        </w:rPr>
        <w:t xml:space="preserve">"coverage"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curve </w:t>
      </w:r>
      <w:r>
        <w:rPr>
          <w:rStyle w:val="OperatorTok"/>
        </w:rPr>
        <w:t xml:space="preserve">=</w:t>
      </w:r>
      <w:r>
        <w:rPr>
          <w:rStyle w:val="NormalTok"/>
        </w:rPr>
        <w:t xml:space="preserve"> np.linspace(</w:t>
      </w:r>
      <w:r>
        <w:rPr>
          <w:rStyle w:val="DecValTok"/>
        </w:rPr>
        <w:t xml:space="preserve">0</w:t>
      </w:r>
      <w:r>
        <w:rPr>
          <w:rStyle w:val="NormalTok"/>
        </w:rPr>
        <w:t xml:space="preserve">, mean, MAX_STEPS)     </w:t>
      </w:r>
      <w:r>
        <w:rPr>
          <w:rStyle w:val="CommentTok"/>
        </w:rPr>
        <w:t xml:space="preserve"># &lt;-- not measured data</w:t>
      </w:r>
      <w:r>
        <w:br/>
      </w:r>
      <w:r>
        <w:rPr>
          <w:rStyle w:val="NormalTok"/>
        </w:rPr>
        <w:t xml:space="preserve">        np.save(</w:t>
      </w:r>
      <w:r>
        <w:rPr>
          <w:rStyle w:val="SpecialStringTok"/>
        </w:rPr>
        <w:t xml:space="preserve">f"ppo_Obstacles_</w:t>
      </w:r>
      <w:r>
        <w:rPr>
          <w:rStyle w:val="SpecialCharTok"/>
        </w:rPr>
        <w:t xml:space="preserve">{</w:t>
      </w:r>
      <w:r>
        <w:rPr>
          <w:rStyle w:val="NormalTok"/>
        </w:rPr>
        <w:t xml:space="preserve">pct</w:t>
      </w:r>
      <w:r>
        <w:rPr>
          <w:rStyle w:val="SpecialCharTok"/>
        </w:rPr>
        <w:t xml:space="preserve">}</w:t>
      </w:r>
      <w:r>
        <w:rPr>
          <w:rStyle w:val="SpecialStringTok"/>
        </w:rPr>
        <w:t xml:space="preserve">pct.npy"</w:t>
      </w:r>
      <w:r>
        <w:rPr>
          <w:rStyle w:val="NormalTok"/>
        </w:rPr>
        <w:t xml:space="preserve">, curve)</w:t>
      </w:r>
    </w:p>
    <w:p>
      <w:pPr>
        <w:pStyle w:val="FirstParagraph"/>
      </w:pPr>
      <w:r>
        <w:t xml:space="preserve">I checked the saved files. Every PPO curve is a perfect straight line:</w:t>
      </w:r>
    </w:p>
    <w:p>
      <w:pPr>
        <w:pStyle w:val="SourceCode"/>
      </w:pPr>
      <w:r>
        <w:rPr>
          <w:rStyle w:val="VerbatimChar"/>
        </w:rPr>
        <w:t xml:space="preserve">ppo_Obstacles_0pct.npy   len=700  perfectly_linear=True</w:t>
      </w:r>
      <w:r>
        <w:br/>
      </w:r>
      <w:r>
        <w:rPr>
          <w:rStyle w:val="VerbatimChar"/>
        </w:rPr>
        <w:t xml:space="preserve">ppo_Obstacles_10pct.npy  len=700  perfectly_linear=True</w:t>
      </w:r>
      <w:r>
        <w:br/>
      </w:r>
      <w:r>
        <w:rPr>
          <w:rStyle w:val="VerbatimChar"/>
        </w:rPr>
        <w:t xml:space="preserve">ppo_Obstacles_20pct.npy  len=700  perfectly_linear=True</w:t>
      </w:r>
    </w:p>
    <w:p>
      <w:pPr>
        <w:pStyle w:val="Heading3"/>
      </w:pPr>
      <w:bookmarkStart w:id="40" w:name="why-this-matters-4"/>
      <w:r>
        <w:t xml:space="preserve">Why this matters</w:t>
      </w:r>
      <w:bookmarkEnd w:id="40"/>
    </w:p>
    <w:p>
      <w:pPr>
        <w:pStyle w:val="FirstParagraph"/>
      </w:pPr>
      <w:r>
        <w:t xml:space="preserve">Any figure that plots PPO coverage against time is showing a straight line that was drawn, not measured. Real coverage curves are concave — fast early, saturating late. A straight line is visually obvious as artificial to anyone who knows what a coverage curve looks like, and it appears in</w:t>
      </w:r>
      <w:r>
        <w:t xml:space="preserve"> </w:t>
      </w:r>
      <w:r>
        <w:rPr>
          <w:rStyle w:val="VerbatimChar"/>
        </w:rPr>
        <w:t xml:space="preserve">fig6_three_way_comparison.png</w:t>
      </w:r>
      <w:r>
        <w:t xml:space="preserve">, the</w:t>
      </w:r>
      <w:r>
        <w:t xml:space="preserve"> </w:t>
      </w:r>
      <w:r>
        <w:rPr>
          <w:rStyle w:val="VerbatimChar"/>
        </w:rPr>
        <w:t xml:space="preserve">compare_overlay_*.png</w:t>
      </w:r>
      <w:r>
        <w:t xml:space="preserve"> </w:t>
      </w:r>
      <w:r>
        <w:t xml:space="preserve">set, and</w:t>
      </w:r>
      <w:r>
        <w:t xml:space="preserve"> </w:t>
      </w:r>
      <w:r>
        <w:rPr>
          <w:rStyle w:val="VerbatimChar"/>
        </w:rPr>
        <w:t xml:space="preserve">coverage_vs_time_all.png</w:t>
      </w:r>
      <w:r>
        <w:t xml:space="preserve">.</w:t>
      </w:r>
    </w:p>
    <w:p>
      <w:pPr>
        <w:pStyle w:val="BodyText"/>
      </w:pPr>
      <w:r>
        <w:t xml:space="preserve">Presenting a generated line as measured data in a submitted dissertation is an academic integrity problem, not just a bug. Fix it before submission.</w:t>
      </w:r>
    </w:p>
    <w:p>
      <w:pPr>
        <w:pStyle w:val="Heading3"/>
      </w:pPr>
      <w:bookmarkStart w:id="41" w:name="fix-4"/>
      <w:r>
        <w:t xml:space="preserve">Fix</w:t>
      </w:r>
      <w:bookmarkEnd w:id="41"/>
    </w:p>
    <w:p>
      <w:pPr>
        <w:pStyle w:val="FirstParagraph"/>
      </w:pPr>
      <w:r>
        <w:t xml:space="preserve">Record the real curve during the rollout:</w:t>
      </w:r>
    </w:p>
    <w:p>
      <w:pPr>
        <w:pStyle w:val="SourceCode"/>
      </w:pPr>
      <w:r>
        <w:rPr>
          <w:rStyle w:val="KeywordTok"/>
        </w:rPr>
        <w:t xml:space="preserve">def</w:t>
      </w:r>
      <w:r>
        <w:rPr>
          <w:rStyle w:val="NormalTok"/>
        </w:rPr>
        <w:t xml:space="preserve"> test_one(model, density, seed):</w:t>
      </w:r>
      <w:r>
        <w:br/>
      </w:r>
      <w:r>
        <w:rPr>
          <w:rStyle w:val="NormalTok"/>
        </w:rPr>
        <w:t xml:space="preserve">    env </w:t>
      </w:r>
      <w:r>
        <w:rPr>
          <w:rStyle w:val="OperatorTok"/>
        </w:rPr>
        <w:t xml:space="preserve">=</w:t>
      </w:r>
      <w:r>
        <w:rPr>
          <w:rStyle w:val="NormalTok"/>
        </w:rPr>
        <w:t xml:space="preserve"> UAVCoverageEnv(obstacle_density</w:t>
      </w:r>
      <w:r>
        <w:rPr>
          <w:rStyle w:val="OperatorTok"/>
        </w:rPr>
        <w:t xml:space="preserve">=</w:t>
      </w:r>
      <w:r>
        <w:rPr>
          <w:rStyle w:val="NormalTok"/>
        </w:rPr>
        <w:t xml:space="preserve">density, seed</w:t>
      </w:r>
      <w:r>
        <w:rPr>
          <w:rStyle w:val="OperatorTok"/>
        </w:rPr>
        <w:t xml:space="preserve">=</w:t>
      </w:r>
      <w:r>
        <w:rPr>
          <w:rStyle w:val="NormalTok"/>
        </w:rPr>
        <w:t xml:space="preserve">seed)</w:t>
      </w:r>
      <w:r>
        <w:br/>
      </w:r>
      <w:r>
        <w:rPr>
          <w:rStyle w:val="NormalTok"/>
        </w:rPr>
        <w:t xml:space="preserve">    obs, _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curve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(MAX_STEPS):</w:t>
      </w:r>
      <w:r>
        <w:br/>
      </w:r>
      <w:r>
        <w:rPr>
          <w:rStyle w:val="NormalTok"/>
        </w:rPr>
        <w:t xml:space="preserve">        action, _ </w:t>
      </w:r>
      <w:r>
        <w:rPr>
          <w:rStyle w:val="OperatorTok"/>
        </w:rPr>
        <w:t xml:space="preserve">=</w:t>
      </w:r>
      <w:r>
        <w:rPr>
          <w:rStyle w:val="NormalTok"/>
        </w:rPr>
        <w:t xml:space="preserve"> model.predict(obs, deterministic</w:t>
      </w:r>
      <w:r>
        <w:rPr>
          <w:rStyle w:val="OperatorTok"/>
        </w:rPr>
        <w:t xml:space="preserve">=</w:t>
      </w:r>
      <w:r>
        <w:rPr>
          <w:rStyle w:val="VariableTok"/>
        </w:rPr>
        <w:t xml:space="preserve">True</w:t>
      </w:r>
      <w:r>
        <w:rPr>
          <w:rStyle w:val="NormalTok"/>
        </w:rPr>
        <w:t xml:space="preserve">)</w:t>
      </w:r>
      <w:r>
        <w:br/>
      </w:r>
      <w:r>
        <w:rPr>
          <w:rStyle w:val="NormalTok"/>
        </w:rPr>
        <w:t xml:space="preserve">        obs, _, term, trunc, _ </w:t>
      </w:r>
      <w:r>
        <w:rPr>
          <w:rStyle w:val="OperatorTok"/>
        </w:rPr>
        <w:t xml:space="preserve">=</w:t>
      </w:r>
      <w:r>
        <w:rPr>
          <w:rStyle w:val="NormalTok"/>
        </w:rPr>
        <w:t xml:space="preserve"> env.step(action)</w:t>
      </w:r>
      <w:r>
        <w:br/>
      </w:r>
      <w:r>
        <w:rPr>
          <w:rStyle w:val="NormalTok"/>
        </w:rPr>
        <w:t xml:space="preserve">        curve.append(env.get_coverage())</w:t>
      </w:r>
      <w:r>
        <w:br/>
      </w:r>
      <w:r>
        <w:rPr>
          <w:rStyle w:val="NormalTok"/>
        </w:rPr>
        <w:t xml:space="preserve">        </w:t>
      </w:r>
      <w:r>
        <w:rPr>
          <w:rStyle w:val="ControlFlowTok"/>
        </w:rPr>
        <w:t xml:space="preserve">if</w:t>
      </w:r>
      <w:r>
        <w:rPr>
          <w:rStyle w:val="NormalTok"/>
        </w:rPr>
        <w:t xml:space="preserve"> term </w:t>
      </w:r>
      <w:r>
        <w:rPr>
          <w:rStyle w:val="KeywordTok"/>
        </w:rPr>
        <w:t xml:space="preserve">or</w:t>
      </w:r>
      <w:r>
        <w:rPr>
          <w:rStyle w:val="NormalTok"/>
        </w:rPr>
        <w:t xml:space="preserve"> trunc:</w:t>
      </w:r>
      <w:r>
        <w:br/>
      </w:r>
      <w:r>
        <w:rPr>
          <w:rStyle w:val="NormalTok"/>
        </w:rPr>
        <w:t xml:space="preserve">            </w:t>
      </w:r>
      <w:r>
        <w:rPr>
          <w:rStyle w:val="ControlFlowTok"/>
        </w:rPr>
        <w:t xml:space="preserve">break</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(curve) </w:t>
      </w:r>
      <w:r>
        <w:rPr>
          <w:rStyle w:val="OperatorTok"/>
        </w:rPr>
        <w:t xml:space="preserve">&lt;</w:t>
      </w:r>
      <w:r>
        <w:rPr>
          <w:rStyle w:val="NormalTok"/>
        </w:rPr>
        <w:t xml:space="preserve"> MAX_STEPS:</w:t>
      </w:r>
      <w:r>
        <w:br/>
      </w:r>
      <w:r>
        <w:rPr>
          <w:rStyle w:val="NormalTok"/>
        </w:rPr>
        <w:t xml:space="preserve">        curve.append(curve[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"coverage"</w:t>
      </w:r>
      <w:r>
        <w:rPr>
          <w:rStyle w:val="NormalTok"/>
        </w:rPr>
        <w:t xml:space="preserve">: env.get_coverage(), </w:t>
      </w:r>
      <w:r>
        <w:rPr>
          <w:rStyle w:val="StringTok"/>
        </w:rPr>
        <w:t xml:space="preserve">"coverage_curve"</w:t>
      </w:r>
      <w:r>
        <w:rPr>
          <w:rStyle w:val="NormalTok"/>
        </w:rPr>
        <w:t xml:space="preserve">: curve, ...}</w:t>
      </w:r>
    </w:p>
    <w:p>
      <w:pPr>
        <w:pStyle w:val="FirstParagraph"/>
      </w:pPr>
      <w:r>
        <w:t xml:space="preserve">Then average the per-seed curves the way</w:t>
      </w:r>
      <w:r>
        <w:t xml:space="preserve"> </w:t>
      </w:r>
      <w:r>
        <w:rPr>
          <w:rStyle w:val="VerbatimChar"/>
        </w:rPr>
        <w:t xml:space="preserve">run_apf.py</w:t>
      </w:r>
      <w:r>
        <w:t xml:space="preserve"> </w:t>
      </w:r>
      <w:r>
        <w:t xml:space="preserve">already does.</w:t>
      </w:r>
    </w:p>
    <w:p>
      <w:r>
        <w:pict>
          <v:rect style="width:0;height:1.5pt" o:hralign="center" o:hrstd="t" o:hr="t"/>
        </w:pict>
      </w:r>
    </w:p>
    <w:p>
      <w:pPr>
        <w:pStyle w:val="Heading2"/>
      </w:pPr>
      <w:bookmarkStart w:id="42" w:name="defect-6-ppo-redundancy-is-a-stub"/>
      <w:r>
        <w:t xml:space="preserve">Defect 6 — PPO redundancy is a stub</w:t>
      </w:r>
      <w:bookmarkEnd w:id="42"/>
    </w:p>
    <w:p>
      <w:pPr>
        <w:pStyle w:val="Heading3"/>
      </w:pPr>
      <w:bookmarkStart w:id="43" w:name="evidence-5"/>
      <w:r>
        <w:t xml:space="preserve">Evidence</w:t>
      </w:r>
      <w:bookmarkEnd w:id="43"/>
    </w:p>
    <w:p>
      <w:pPr>
        <w:pStyle w:val="FirstParagraph"/>
      </w:pPr>
      <w:r>
        <w:rPr>
          <w:rStyle w:val="VerbatimChar"/>
        </w:rPr>
        <w:t xml:space="preserve">phase4_ppo/uav_coverage_env.py</w:t>
      </w:r>
      <w:r>
        <w:t xml:space="preserve"> </w:t>
      </w:r>
      <w:r>
        <w:t xml:space="preserve">lines 149–150:</w:t>
      </w:r>
    </w:p>
    <w:p>
      <w:pPr>
        <w:pStyle w:val="SourceCode"/>
      </w:pPr>
      <w:r>
        <w:rPr>
          <w:rStyle w:val="KeywordTok"/>
        </w:rPr>
        <w:t xml:space="preserve">def</w:t>
      </w:r>
      <w:r>
        <w:rPr>
          <w:rStyle w:val="NormalTok"/>
        </w:rPr>
        <w:t xml:space="preserve"> get_redundancy(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p>
    <w:p>
      <w:pPr>
        <w:pStyle w:val="FirstParagraph"/>
      </w:pPr>
      <w:r>
        <w:t xml:space="preserve">and</w:t>
      </w:r>
      <w:r>
        <w:t xml:space="preserve"> </w:t>
      </w:r>
      <w:r>
        <w:rPr>
          <w:rStyle w:val="VerbatimChar"/>
        </w:rPr>
        <w:t xml:space="preserve">test_ppo.py</w:t>
      </w:r>
      <w:r>
        <w:t xml:space="preserve"> </w:t>
      </w:r>
      <w:r>
        <w:t xml:space="preserve">line 39 hardcodes</w:t>
      </w:r>
      <w:r>
        <w:t xml:space="preserve"> </w:t>
      </w:r>
      <w:r>
        <w:rPr>
          <w:rStyle w:val="VerbatimChar"/>
        </w:rPr>
        <w:t xml:space="preserve">"redundancy": 0.0</w:t>
      </w:r>
      <w:r>
        <w:t xml:space="preserve">. All 400 PPO runs report redundancy 0.000.</w:t>
      </w:r>
    </w:p>
    <w:p>
      <w:pPr>
        <w:pStyle w:val="Heading3"/>
      </w:pPr>
      <w:bookmarkStart w:id="44" w:name="why-this-matters-5"/>
      <w:r>
        <w:t xml:space="preserve">Why this matters</w:t>
      </w:r>
      <w:bookmarkEnd w:id="44"/>
    </w:p>
    <w:p>
      <w:pPr>
        <w:pStyle w:val="FirstParagraph"/>
      </w:pPr>
      <w:r>
        <w:rPr>
          <w:rStyle w:val="VerbatimChar"/>
        </w:rPr>
        <w:t xml:space="preserve">fig7_redundancy.png</w:t>
      </w:r>
      <w:r>
        <w:t xml:space="preserve"> </w:t>
      </w:r>
      <w:r>
        <w:t xml:space="preserve">shows PPO with zero redundant visits, which would mean the policy never revisits a cell. That is impossible for a 6-UAV swarm covering 85% of a grid in 700 steps. The figure currently shows a placeholder as if it were a finding.</w:t>
      </w:r>
    </w:p>
    <w:p>
      <w:pPr>
        <w:pStyle w:val="Heading3"/>
      </w:pPr>
      <w:bookmarkStart w:id="45" w:name="fix-5"/>
      <w:r>
        <w:t xml:space="preserve">Fix</w:t>
      </w:r>
      <w:bookmarkEnd w:id="45"/>
    </w:p>
    <w:p>
      <w:pPr>
        <w:pStyle w:val="FirstParagraph"/>
      </w:pPr>
      <w:r>
        <w:t xml:space="preserve">Count revisits during the rollout:</w:t>
      </w:r>
    </w:p>
    <w:p>
      <w:pPr>
        <w:pStyle w:val="SourceCode"/>
      </w:pPr>
      <w:r>
        <w:rPr>
          <w:rStyle w:val="CommentTok"/>
        </w:rPr>
        <w:t xml:space="preserve"># in reset:</w:t>
      </w:r>
      <w:r>
        <w:br/>
      </w:r>
      <w:r>
        <w:rPr>
          <w:rStyle w:val="VariableTok"/>
        </w:rPr>
        <w:t xml:space="preserve">self</w:t>
      </w:r>
      <w:r>
        <w:rPr>
          <w:rStyle w:val="NormalTok"/>
        </w:rPr>
        <w:t xml:space="preserve">.visit_count </w:t>
      </w:r>
      <w:r>
        <w:rPr>
          <w:rStyle w:val="OperatorTok"/>
        </w:rPr>
        <w:t xml:space="preserve">=</w:t>
      </w:r>
      <w:r>
        <w:rPr>
          <w:rStyle w:val="NormalTok"/>
        </w:rPr>
        <w:t xml:space="preserve"> np.zeros((G, G), dtype</w:t>
      </w:r>
      <w:r>
        <w:rPr>
          <w:rStyle w:val="OperatorTok"/>
        </w:rPr>
        <w:t xml:space="preserve">=</w:t>
      </w:r>
      <w:r>
        <w:rPr>
          <w:rStyle w:val="BuiltInTok"/>
        </w:rPr>
        <w:t xml:space="preserve">int</w:t>
      </w:r>
      <w:r>
        <w:rPr>
          <w:rStyle w:val="NormalTok"/>
        </w:rPr>
        <w:t xml:space="preserve">)</w:t>
      </w:r>
      <w:r>
        <w:br/>
      </w:r>
      <w:r>
        <w:rPr>
          <w:rStyle w:val="CommentTok"/>
        </w:rPr>
        <w:t xml:space="preserve"># in step, when a UAV moves to (r, c):</w:t>
      </w:r>
      <w:r>
        <w:br/>
      </w:r>
      <w:r>
        <w:rPr>
          <w:rStyle w:val="VariableTok"/>
        </w:rPr>
        <w:t xml:space="preserve">self</w:t>
      </w:r>
      <w:r>
        <w:rPr>
          <w:rStyle w:val="NormalTok"/>
        </w:rPr>
        <w:t xml:space="preserve">.visit_count[r, c]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get_redundancy(</w:t>
      </w:r>
      <w:r>
        <w:rPr>
          <w:rStyle w:val="VariableTok"/>
        </w:rPr>
        <w:t xml:space="preserve">self</w:t>
      </w:r>
      <w:r>
        <w:rPr>
          <w:rStyle w:val="NormalTok"/>
        </w:rPr>
        <w:t xml:space="preserve">):</w:t>
      </w:r>
      <w:r>
        <w:br/>
      </w:r>
      <w:r>
        <w:rPr>
          <w:rStyle w:val="NormalTok"/>
        </w:rPr>
        <w:t xml:space="preserve">    visited </w:t>
      </w:r>
      <w:r>
        <w:rPr>
          <w:rStyle w:val="OperatorTok"/>
        </w:rPr>
        <w:t xml:space="preserve">=</w:t>
      </w:r>
      <w:r>
        <w:rPr>
          <w:rStyle w:val="NormalTok"/>
        </w:rPr>
        <w:t xml:space="preserve"> </w:t>
      </w:r>
      <w:r>
        <w:rPr>
          <w:rStyle w:val="VariableTok"/>
        </w:rPr>
        <w:t xml:space="preserve">self</w:t>
      </w:r>
      <w:r>
        <w:rPr>
          <w:rStyle w:val="NormalTok"/>
        </w:rPr>
        <w:t xml:space="preserve">.visit_count[</w:t>
      </w:r>
      <w:r>
        <w:rPr>
          <w:rStyle w:val="VariableTok"/>
        </w:rPr>
        <w:t xml:space="preserve">self</w:t>
      </w:r>
      <w:r>
        <w:rPr>
          <w:rStyle w:val="NormalTok"/>
        </w:rPr>
        <w:t xml:space="preserve">.visit_count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visited.size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((visited.</w:t>
      </w:r>
      <w:r>
        <w:rPr>
          <w:rStyle w:val="BuiltInTok"/>
        </w:rPr>
        <w:t xml:space="preserve">sum</w:t>
      </w:r>
      <w:r>
        <w:rPr>
          <w:rStyle w:val="NormalTok"/>
        </w:rPr>
        <w:t xml:space="preserve">() </w:t>
      </w:r>
      <w:r>
        <w:rPr>
          <w:rStyle w:val="OperatorTok"/>
        </w:rPr>
        <w:t xml:space="preserve">-</w:t>
      </w:r>
      <w:r>
        <w:rPr>
          <w:rStyle w:val="NormalTok"/>
        </w:rPr>
        <w:t xml:space="preserve"> visited.size) </w:t>
      </w:r>
      <w:r>
        <w:rPr>
          <w:rStyle w:val="OperatorTok"/>
        </w:rPr>
        <w:t xml:space="preserve">/</w:t>
      </w:r>
      <w:r>
        <w:rPr>
          <w:rStyle w:val="NormalTok"/>
        </w:rPr>
        <w:t xml:space="preserve"> visited.</w:t>
      </w:r>
      <w:r>
        <w:rPr>
          <w:rStyle w:val="BuiltInTok"/>
        </w:rPr>
        <w:t xml:space="preserve">sum</w:t>
      </w:r>
      <w:r>
        <w:rPr>
          <w:rStyle w:val="NormalTok"/>
        </w:rPr>
        <w:t xml:space="preserve">())</w:t>
      </w:r>
    </w:p>
    <w:p>
      <w:pPr>
        <w:pStyle w:val="FirstParagraph"/>
      </w:pPr>
      <w:r>
        <w:t xml:space="preserve">Either implement it or remove the metric and the figure. Do not report a stub.</w:t>
      </w:r>
    </w:p>
    <w:p>
      <w:r>
        <w:pict>
          <v:rect style="width:0;height:1.5pt" o:hralign="center" o:hrstd="t" o:hr="t"/>
        </w:pict>
      </w:r>
    </w:p>
    <w:p>
      <w:pPr>
        <w:pStyle w:val="Heading2"/>
      </w:pPr>
      <w:bookmarkStart w:id="46" w:name="what-the-corrected-data-says"/>
      <w:r>
        <w:t xml:space="preserve">What the corrected data says</w:t>
      </w:r>
      <w:bookmarkEnd w:id="46"/>
    </w:p>
    <w:p>
      <w:pPr>
        <w:pStyle w:val="FirstParagraph"/>
      </w:pPr>
      <w:r>
        <w:t xml:space="preserve">After switching to the June generation and using Mann-Whitney U as the primary test:</w:t>
      </w:r>
    </w:p>
    <w:p>
      <w:pPr>
        <w:numPr>
          <w:ilvl w:val="0"/>
          <w:numId w:val="1004"/>
        </w:numPr>
        <w:pStyle w:val="Compact"/>
      </w:pPr>
      <w:r>
        <w:rPr>
          <w:b/>
        </w:rPr>
        <w:t xml:space="preserve">APF is the best controller at every obstacle density</w:t>
      </w:r>
      <w:r>
        <w:t xml:space="preserve">, on both seed sets, with large effect sizes (Cliff’s delta 0.45 to 0.84) and Holm-corrected p &lt; 0.001 throughout.</w:t>
      </w:r>
    </w:p>
    <w:p>
      <w:pPr>
        <w:numPr>
          <w:ilvl w:val="0"/>
          <w:numId w:val="1004"/>
        </w:numPr>
        <w:pStyle w:val="Compact"/>
      </w:pPr>
      <w:r>
        <w:rPr>
          <w:b/>
        </w:rPr>
        <w:t xml:space="preserve">PPO is statistically indistinguishable from Boids</w:t>
      </w:r>
      <w:r>
        <w:t xml:space="preserve"> </w:t>
      </w:r>
      <w:r>
        <w:t xml:space="preserve">at all four densities on both seed sets. Every Holm-adjusted p is above 0.29; every effect size is negligible or small.</w:t>
      </w:r>
    </w:p>
    <w:p>
      <w:pPr>
        <w:numPr>
          <w:ilvl w:val="0"/>
          <w:numId w:val="1004"/>
        </w:numPr>
        <w:pStyle w:val="Compact"/>
      </w:pPr>
      <w:r>
        <w:rPr>
          <w:b/>
        </w:rPr>
        <w:t xml:space="preserve">PPO loses to APF at every density</w:t>
      </w:r>
      <w:r>
        <w:t xml:space="preserve">, by 4.5 to 11.4 percentage points, all large effects.</w:t>
      </w:r>
    </w:p>
    <w:p>
      <w:pPr>
        <w:numPr>
          <w:ilvl w:val="0"/>
          <w:numId w:val="1004"/>
        </w:numPr>
        <w:pStyle w:val="Compact"/>
      </w:pPr>
      <w:r>
        <w:rPr>
          <w:b/>
        </w:rPr>
        <w:t xml:space="preserve">APF is the only method that meets the 90% criterion</w:t>
      </w:r>
      <w:r>
        <w:t xml:space="preserve">, exceeding it significantly at 10%, 20% and 30% density on both seed sets. PPO never reaches it.</w:t>
      </w:r>
    </w:p>
    <w:p>
      <w:pPr>
        <w:pStyle w:val="FirstParagraph"/>
      </w:pPr>
      <w:r>
        <w:t xml:space="preserve">Four of your five stated success criteria fail: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Verdict</w:t>
            </w:r>
          </w:p>
        </w:tc>
      </w:tr>
      <w:tr>
        <w:tc>
          <w:p>
            <w:pPr>
              <w:pStyle w:val="Compact"/>
              <w:jc w:val="left"/>
            </w:pPr>
            <w:r>
              <w:t xml:space="preserve">1. APF exceeds Boids in ≥3 of 4 densities</w:t>
            </w:r>
          </w:p>
        </w:tc>
        <w:tc>
          <w:p>
            <w:pPr>
              <w:pStyle w:val="Compact"/>
              <w:jc w:val="left"/>
            </w:pPr>
            <w:r>
              <w:rPr>
                <w:b/>
              </w:rPr>
              <w:t xml:space="preserve">Passes</w:t>
            </w:r>
            <w:r>
              <w:t xml:space="preserve"> </w:t>
            </w:r>
            <w:r>
              <w:t xml:space="preserve">(4 of 4)</w:t>
            </w:r>
          </w:p>
        </w:tc>
      </w:tr>
      <w:tr>
        <w:tc>
          <w:p>
            <w:pPr>
              <w:pStyle w:val="Compact"/>
              <w:jc w:val="left"/>
            </w:pPr>
            <w:r>
              <w:t xml:space="preserve">2. PPO reward converges within ±5% over 500 episodes</w:t>
            </w:r>
          </w:p>
        </w:tc>
        <w:tc>
          <w:p>
            <w:pPr>
              <w:pStyle w:val="Compact"/>
              <w:jc w:val="left"/>
            </w:pPr>
            <w:r>
              <w:t xml:space="preserve">Not tested here</w:t>
            </w:r>
          </w:p>
        </w:tc>
      </w:tr>
      <w:tr>
        <w:tc>
          <w:p>
            <w:pPr>
              <w:pStyle w:val="Compact"/>
              <w:jc w:val="left"/>
            </w:pPr>
            <w:r>
              <w:t xml:space="preserve">3. PPO achieves ≥90% coverage at 0–10% density on Set B</w:t>
            </w:r>
          </w:p>
        </w:tc>
        <w:tc>
          <w:p>
            <w:pPr>
              <w:pStyle w:val="Compact"/>
              <w:jc w:val="left"/>
            </w:pPr>
            <w:r>
              <w:rPr>
                <w:b/>
              </w:rPr>
              <w:t xml:space="preserve">Fails</w:t>
            </w:r>
            <w:r>
              <w:t xml:space="preserve"> </w:t>
            </w:r>
            <w:r>
              <w:t xml:space="preserve">(85.7%, 86.0%)</w:t>
            </w:r>
          </w:p>
        </w:tc>
      </w:tr>
      <w:tr>
        <w:tc>
          <w:p>
            <w:pPr>
              <w:pStyle w:val="Compact"/>
              <w:jc w:val="left"/>
            </w:pPr>
            <w:r>
              <w:t xml:space="preserve">4. PPO degradation &lt; 10 pp, Set A vs Set B</w:t>
            </w:r>
          </w:p>
        </w:tc>
        <w:tc>
          <w:p>
            <w:pPr>
              <w:pStyle w:val="Compact"/>
              <w:jc w:val="left"/>
            </w:pPr>
            <w:r>
              <w:rPr>
                <w:b/>
              </w:rPr>
              <w:t xml:space="preserve">Void</w:t>
            </w:r>
            <w:r>
              <w:t xml:space="preserve"> </w:t>
            </w:r>
            <w:r>
              <w:t xml:space="preserve">— Set B is the same layouts as Set A</w:t>
            </w:r>
          </w:p>
        </w:tc>
      </w:tr>
      <w:tr>
        <w:tc>
          <w:p>
            <w:pPr>
              <w:pStyle w:val="Compact"/>
              <w:jc w:val="left"/>
            </w:pPr>
            <w:r>
              <w:t xml:space="preserve">5. Pairwise p &lt; 0.05 between all method pairs at each density</w:t>
            </w:r>
          </w:p>
        </w:tc>
        <w:tc>
          <w:p>
            <w:pPr>
              <w:pStyle w:val="Compact"/>
              <w:jc w:val="left"/>
            </w:pPr>
            <w:r>
              <w:rPr>
                <w:b/>
              </w:rPr>
              <w:t xml:space="preserve">Fails</w:t>
            </w:r>
            <w:r>
              <w:t xml:space="preserve"> </w:t>
            </w:r>
            <w:r>
              <w:t xml:space="preserve">— PPO vs Boids is non-significant in 8 of 8 cells</w:t>
            </w:r>
          </w:p>
        </w:tc>
      </w:tr>
    </w:tbl>
    <w:p>
      <w:pPr>
        <w:pStyle w:val="BodyText"/>
      </w:pPr>
      <w:r>
        <w:t xml:space="preserve">Note that criterion 1 passes on the corrected data and fails on the stale data. This is a further reason to be sure which generation you are quoting.</w:t>
      </w:r>
    </w:p>
    <w:p>
      <w:r>
        <w:pict>
          <v:rect style="width:0;height:1.5pt" o:hralign="center" o:hrstd="t" o:hr="t"/>
        </w:pict>
      </w:r>
    </w:p>
    <w:p>
      <w:pPr>
        <w:pStyle w:val="Heading2"/>
      </w:pPr>
      <w:bookmarkStart w:id="47" w:name="recommended-order-of-work"/>
      <w:r>
        <w:t xml:space="preserve">Recommended order of work</w:t>
      </w:r>
      <w:bookmarkEnd w:id="47"/>
    </w:p>
    <w:p>
      <w:pPr>
        <w:numPr>
          <w:ilvl w:val="0"/>
          <w:numId w:val="1005"/>
        </w:numPr>
        <w:pStyle w:val="Compact"/>
      </w:pPr>
      <w:r>
        <w:t xml:space="preserve">Fix Defect 3 (one line). Re-run</w:t>
      </w:r>
      <w:r>
        <w:t xml:space="preserve"> </w:t>
      </w:r>
      <w:r>
        <w:rPr>
          <w:rStyle w:val="VerbatimChar"/>
        </w:rPr>
        <w:t xml:space="preserve">test_ppo.py</w:t>
      </w:r>
      <w:r>
        <w:t xml:space="preserve">. This is cheap and it is the claim most exposed in a viva.</w:t>
      </w:r>
    </w:p>
    <w:p>
      <w:pPr>
        <w:numPr>
          <w:ilvl w:val="0"/>
          <w:numId w:val="1005"/>
        </w:numPr>
        <w:pStyle w:val="Compact"/>
      </w:pPr>
      <w:r>
        <w:t xml:space="preserve">Fix Defect 2 (seed plumbing in both Mesa models). Re-run Boids and APF.</w:t>
      </w:r>
    </w:p>
    <w:p>
      <w:pPr>
        <w:numPr>
          <w:ilvl w:val="0"/>
          <w:numId w:val="1005"/>
        </w:numPr>
        <w:pStyle w:val="Compact"/>
      </w:pPr>
      <w:r>
        <w:t xml:space="preserve">Fix Defect 4 (common step budget). Re-run all three.</w:t>
      </w:r>
    </w:p>
    <w:p>
      <w:pPr>
        <w:numPr>
          <w:ilvl w:val="0"/>
          <w:numId w:val="1005"/>
        </w:numPr>
        <w:pStyle w:val="Compact"/>
      </w:pPr>
      <w:r>
        <w:t xml:space="preserve">Fix Defect 5 and 6. Regenerate figures.</w:t>
      </w:r>
    </w:p>
    <w:p>
      <w:pPr>
        <w:numPr>
          <w:ilvl w:val="0"/>
          <w:numId w:val="1005"/>
        </w:numPr>
        <w:pStyle w:val="Compact"/>
      </w:pPr>
      <w:r>
        <w:t xml:space="preserve">Delete the stale</w:t>
      </w:r>
      <w:r>
        <w:t xml:space="preserve"> </w:t>
      </w:r>
      <w:r>
        <w:rPr>
          <w:rStyle w:val="VerbatimChar"/>
        </w:rPr>
        <w:t xml:space="preserve">compare/results/</w:t>
      </w:r>
      <w:r>
        <w:t xml:space="preserve"> </w:t>
      </w:r>
      <w:r>
        <w:t xml:space="preserve">files.</w:t>
      </w:r>
    </w:p>
    <w:p>
      <w:pPr>
        <w:numPr>
          <w:ilvl w:val="0"/>
          <w:numId w:val="1005"/>
        </w:numPr>
        <w:pStyle w:val="Compact"/>
      </w:pPr>
      <w:r>
        <w:t xml:space="preserve">Re-run</w:t>
      </w:r>
      <w:r>
        <w:t xml:space="preserve"> </w:t>
      </w:r>
      <w:r>
        <w:rPr>
          <w:rStyle w:val="VerbatimChar"/>
        </w:rPr>
        <w:t xml:space="preserve">analysis/statistical_tests.py</w:t>
      </w:r>
      <w:r>
        <w:t xml:space="preserve">. Switch the primary test back to Wilcoxon signed-rank, which will then be valid.</w:t>
      </w:r>
    </w:p>
    <w:p>
      <w:pPr>
        <w:pStyle w:val="FirstParagraph"/>
      </w:pPr>
      <w:r>
        <w:t xml:space="preserve">Steps 1 to 3 are the ones that could change your numbers. Budget a day of compute for the PPO re-run.</w:t>
      </w:r>
    </w:p>
    <w:p>
      <w:r>
        <w:pict>
          <v:rect style="width:0;height:1.5pt" o:hralign="center" o:hrstd="t" o:hr="t"/>
        </w:pict>
      </w:r>
    </w:p>
    <w:p>
      <w:pPr>
        <w:pStyle w:val="Heading2"/>
      </w:pPr>
      <w:bookmarkStart w:id="48" w:name="a-note-on-framing"/>
      <w:r>
        <w:t xml:space="preserve">A note on framing</w:t>
      </w:r>
      <w:bookmarkEnd w:id="48"/>
    </w:p>
    <w:p>
      <w:pPr>
        <w:pStyle w:val="FirstParagraph"/>
      </w:pPr>
      <w:r>
        <w:t xml:space="preserve">Your proposal predicted that decentralised PPO would beat a classical APF controller. The corrected data says it does not — it loses by 4.5 to 11.4 pp and fails to beat even Boids.</w:t>
      </w:r>
    </w:p>
    <w:p>
      <w:pPr>
        <w:pStyle w:val="BodyText"/>
      </w:pPr>
      <w:r>
        <w:t xml:space="preserve">That is a publishable result, not a failed project. A negative finding, properly evidenced, is worth more than a positive one built on a stale file. The honest version of your contribution is:</w:t>
      </w:r>
    </w:p>
    <w:p>
      <w:pPr>
        <w:pStyle w:val="BlockText"/>
      </w:pPr>
      <w:r>
        <w:t xml:space="preserve">A decentralised PPO policy with a 5×5 local observation window does not match a well-tuned artificial potential field controller on grid coverage, and the gap widens with obstacle density. Learned local policies do not automatically outperform hand-designed reactive controllers on this task.</w:t>
      </w:r>
    </w:p>
    <w:p>
      <w:pPr>
        <w:pStyle w:val="FirstParagraph"/>
      </w:pPr>
      <w:r>
        <w:t xml:space="preserve">That claim is defensible, it is supported by 1,200 runs with effect sizes and corrected p-values, and it tells an examiner something they did not already know. Rewriting the dissertation around it is less work than trying to rescue the original hypothesis.</w:t>
      </w:r>
    </w:p>
    <w:p>
      <w:pPr>
        <w:pStyle w:val="Heading1"/>
      </w:pPr>
      <w:bookmarkStart w:id="49" w:name="chapter-2-literature-review"/>
      <w:r>
        <w:t xml:space="preserve">Chapter 2 — Literature Review</w:t>
      </w:r>
      <w:bookmarkEnd w:id="49"/>
    </w:p>
    <w:p>
      <w:pPr>
        <w:pStyle w:val="Heading2"/>
      </w:pPr>
      <w:bookmarkStart w:id="50" w:name="scope-and-method-of-the-review"/>
      <w:r>
        <w:t xml:space="preserve">2.1 Scope and method of the review</w:t>
      </w:r>
      <w:bookmarkEnd w:id="50"/>
    </w:p>
    <w:p>
      <w:pPr>
        <w:pStyle w:val="FirstParagraph"/>
      </w:pPr>
      <w:r>
        <w:t xml:space="preserve">This chapter reviews the work that a decentralised multi-UAV coverage system must be positioned against. It covers three bodies of literature and the boundary between them:</w:t>
      </w:r>
    </w:p>
    <w:p>
      <w:pPr>
        <w:numPr>
          <w:ilvl w:val="0"/>
          <w:numId w:val="1006"/>
        </w:numPr>
        <w:pStyle w:val="Compact"/>
      </w:pPr>
      <w:r>
        <w:rPr>
          <w:b/>
        </w:rPr>
        <w:t xml:space="preserve">Bio-inspired flocking</w:t>
      </w:r>
      <w:r>
        <w:t xml:space="preserve">, from Reynolds’ original Boids model to its modern swarm-robotics descendants.</w:t>
      </w:r>
    </w:p>
    <w:p>
      <w:pPr>
        <w:numPr>
          <w:ilvl w:val="0"/>
          <w:numId w:val="1006"/>
        </w:numPr>
        <w:pStyle w:val="Compact"/>
      </w:pPr>
      <w:r>
        <w:rPr>
          <w:b/>
        </w:rPr>
        <w:t xml:space="preserve">Artificial potential field (APF) methods</w:t>
      </w:r>
      <w:r>
        <w:t xml:space="preserve">, including the local-minimum problem that has shaped forty years of follow-up work.</w:t>
      </w:r>
    </w:p>
    <w:p>
      <w:pPr>
        <w:numPr>
          <w:ilvl w:val="0"/>
          <w:numId w:val="1006"/>
        </w:numPr>
        <w:pStyle w:val="Compact"/>
      </w:pPr>
      <w:r>
        <w:rPr>
          <w:b/>
        </w:rPr>
        <w:t xml:space="preserve">Multi-agent reinforcement learning (MARL)</w:t>
      </w:r>
      <w:r>
        <w:t xml:space="preserve"> </w:t>
      </w:r>
      <w:r>
        <w:t xml:space="preserve">applied to area coverage, which is where the present study makes its contribution.</w:t>
      </w:r>
    </w:p>
    <w:p>
      <w:pPr>
        <w:pStyle w:val="FirstParagraph"/>
      </w:pPr>
      <w:r>
        <w:t xml:space="preserve">Sources were drawn from IEEE Xplore, ScienceDirect and arXiv, restricted to work on multi-robot or multi-UAV coverage, exploration or patrol. Priority was given to (a) the canonical formulations of each method family, (b) recent surveys that establish what the field currently agrees on, and (c) any paper reporting a quantitative coverage result against which this study’s numbers can be placed. Category (c) turned out to be small, and Section 2.6 explains why that is itself a finding.</w:t>
      </w:r>
    </w:p>
    <w:p>
      <w:pPr>
        <w:pStyle w:val="BodyText"/>
      </w:pPr>
      <w:r>
        <w:t xml:space="preserve">The review is organised so that each section ends with the specific gap it leaves open. Section 2.7 collects those gaps and states which one this dissertation addresses.</w:t>
      </w:r>
    </w:p>
    <w:p>
      <w:r>
        <w:pict>
          <v:rect style="width:0;height:1.5pt" o:hralign="center" o:hrstd="t" o:hr="t"/>
        </w:pict>
      </w:r>
    </w:p>
    <w:p>
      <w:pPr>
        <w:pStyle w:val="Heading2"/>
      </w:pPr>
      <w:bookmarkStart w:id="51" w:name="X03c148d3bc98ca5cf9e23b8c35645d4589e7b6d"/>
      <w:r>
        <w:t xml:space="preserve">2.2 Bio-inspired flocking and the Boids baseline</w:t>
      </w:r>
      <w:bookmarkEnd w:id="51"/>
    </w:p>
    <w:p>
      <w:pPr>
        <w:pStyle w:val="FirstParagraph"/>
      </w:pPr>
      <w:r>
        <w:t xml:space="preserve">Reynolds (1987) introduced the Boids model as a distributed behavioural model for animating flocks. Each agent follows three local rules — separation, alignment and cohesion — computed from neighbours within a limited perception radius. No agent has global state and no central controller exists. The model is important here for two reasons. First, it is the origin of the idea that coherent group behaviour can emerge from purely local rules, which is the same claim decentralised MARL makes. Second, it is cheap: the per-agent cost is proportional to the number of neighbours, not the size of the environment.</w:t>
      </w:r>
    </w:p>
    <w:p>
      <w:pPr>
        <w:pStyle w:val="BodyText"/>
      </w:pPr>
      <w:r>
        <w:t xml:space="preserve">Reynolds designed Boids for visual plausibility, not for coverage. Applied unmodified to an area-coverage task, the cohesion rule is actively harmful — it pulls agents together, and agents that are together cover the same cells. Any use of Boids as a coverage baseline therefore requires an anti-cohesion or dispersion term, and the literature is inconsistent about how that is done, which makes cross-paper comparison of</w:t>
      </w:r>
      <w:r>
        <w:t xml:space="preserve"> </w:t>
      </w:r>
      <w:r>
        <w:t xml:space="preserve">“</w:t>
      </w:r>
      <w:r>
        <w:t xml:space="preserve">Boids coverage</w:t>
      </w:r>
      <w:r>
        <w:t xml:space="preserve">”</w:t>
      </w:r>
      <w:r>
        <w:t xml:space="preserve"> </w:t>
      </w:r>
      <w:r>
        <w:t xml:space="preserve">unreliable.</w:t>
      </w:r>
    </w:p>
    <w:p>
      <w:pPr>
        <w:pStyle w:val="BodyText"/>
      </w:pPr>
      <w:r>
        <w:t xml:space="preserve">Recent surveys confirm that flocking remains a live component of swarm control rather than a historical footnote. Li et al. (2026) survey formation control from biological inspiration through to design-automation methods, and Xu et al. (2022) review intelligent swarm cooperative control across aerospace applications. Alqudsi and Makaraci (2024, 2025) provide two complementary reviews — one on robotic swarm coordination and control, one on UAV swarm research challenges — and both place bio-inspired methods as the standard cheap baseline against which learned methods are measured.</w:t>
      </w:r>
    </w:p>
    <w:p>
      <w:pPr>
        <w:pStyle w:val="BodyText"/>
      </w:pPr>
      <w:r>
        <w:t xml:space="preserve">Shang et al. (2025) is the closest recent work to a bio-inspired coverage method. Their DEBS system uses a bio-inspired self-aggregation mechanism for decentralised exploration planning with multi-UAV systems. It is decentralised in the same sense as the present study, but the objective is exploration efficiency rather than a fixed-budget coverage percentage.</w:t>
      </w:r>
    </w:p>
    <w:p>
      <w:pPr>
        <w:pStyle w:val="BodyText"/>
      </w:pPr>
      <w:r>
        <w:rPr>
          <w:b/>
        </w:rPr>
        <w:t xml:space="preserve">Gap left open.</w:t>
      </w:r>
      <w:r>
        <w:t xml:space="preserve"> </w:t>
      </w:r>
      <w:r>
        <w:t xml:space="preserve">There is no standard dispersion-modified Boids formulation for grid coverage, so</w:t>
      </w:r>
      <w:r>
        <w:t xml:space="preserve"> </w:t>
      </w:r>
      <w:r>
        <w:t xml:space="preserve">“</w:t>
      </w:r>
      <w:r>
        <w:t xml:space="preserve">Boids</w:t>
      </w:r>
      <w:r>
        <w:t xml:space="preserve">”</w:t>
      </w:r>
      <w:r>
        <w:t xml:space="preserve"> </w:t>
      </w:r>
      <w:r>
        <w:t xml:space="preserve">as a baseline means something slightly different in every paper. A study using it must specify its modification precisely, and should not treat published Boids coverage figures as comparable.</w:t>
      </w:r>
    </w:p>
    <w:p>
      <w:r>
        <w:pict>
          <v:rect style="width:0;height:1.5pt" o:hralign="center" o:hrstd="t" o:hr="t"/>
        </w:pict>
      </w:r>
    </w:p>
    <w:p>
      <w:pPr>
        <w:pStyle w:val="Heading2"/>
      </w:pPr>
      <w:bookmarkStart w:id="52" w:name="artificial-potential-fields"/>
      <w:r>
        <w:t xml:space="preserve">2.3 Artificial potential fields</w:t>
      </w:r>
      <w:bookmarkEnd w:id="52"/>
    </w:p>
    <w:p>
      <w:pPr>
        <w:pStyle w:val="FirstParagraph"/>
      </w:pPr>
      <w:r>
        <w:t xml:space="preserve">The APF method treats the robot as a particle moving under a synthetic force field: an attractive potential drawing it toward unexplored regions, and repulsive potentials pushing it away from obstacles and from other robots. It is fully local, requires no map, and computes in constant time per step. These properties make it the natural classical comparator for a decentralised learned policy.</w:t>
      </w:r>
    </w:p>
    <w:p>
      <w:pPr>
        <w:pStyle w:val="BodyText"/>
      </w:pPr>
      <w:r>
        <w:t xml:space="preserve">The known weakness is the local minimum: a configuration where attractive and repulsive forces cancel and the robot halts short of the goal. This occurs reliably in concave obstacle geometries and in narrow passages between obstacles. The standard remedies are random-walk perturbation, virtual goal insertion, wall-following escape behaviours, and rotational force fields. Which remedy is used strongly determines measured performance, and papers frequently under-specify it.</w:t>
      </w:r>
    </w:p>
    <w:p>
      <w:pPr>
        <w:pStyle w:val="BodyText"/>
      </w:pPr>
      <w:r>
        <w:t xml:space="preserve">Hickling et al. (2025) illustrate how the field currently treats APF. Rather than using APF as a controller, they use an APF-derived</w:t>
      </w:r>
      <w:r>
        <w:t xml:space="preserve"> </w:t>
      </w:r>
      <w:r>
        <w:rPr>
          <w:i/>
        </w:rPr>
        <w:t xml:space="preserve">reward function</w:t>
      </w:r>
      <w:r>
        <w:t xml:space="preserve"> </w:t>
      </w:r>
      <w:r>
        <w:t xml:space="preserve">to train a Twin Delayed DDPG policy for indoor search and rescue, blending attractive and repulsive potentials to accelerate convergence and produce smoother trajectories than distance-only baselines. This is representative: APF has increasingly become a component inside learned systems rather than a standalone controller, which means fewer recent papers report standalone APF coverage numbers.</w:t>
      </w:r>
    </w:p>
    <w:p>
      <w:pPr>
        <w:pStyle w:val="BodyText"/>
      </w:pPr>
      <w:r>
        <w:t xml:space="preserve">Du (2023) applies an enhanced A* algorithm to multi-UAV search and rescue path planning in 3D, and Mondal et al. (2024) present a UAV–UGV collaborative framework for persistent surveillance. Both are relevant as classical planning comparators, though both assume more global information than a purely reactive APF controller has.</w:t>
      </w:r>
    </w:p>
    <w:p>
      <w:pPr>
        <w:pStyle w:val="BodyText"/>
      </w:pPr>
      <w:r>
        <w:rPr>
          <w:b/>
        </w:rPr>
        <w:t xml:space="preserve">Gap left open.</w:t>
      </w:r>
      <w:r>
        <w:t xml:space="preserve"> </w:t>
      </w:r>
      <w:r>
        <w:t xml:space="preserve">Standalone APF coverage performance under systematically varied obstacle density, with a stated escape mechanism and replicated seeds, is rarely reported. This makes APF a weak point in most comparisons — it is often included as a strawman with unstated parameters. A well-tuned APF baseline is a harder and more informative comparator than the literature usually provides.</w:t>
      </w:r>
    </w:p>
    <w:p>
      <w:r>
        <w:pict>
          <v:rect style="width:0;height:1.5pt" o:hralign="center" o:hrstd="t" o:hr="t"/>
        </w:pict>
      </w:r>
    </w:p>
    <w:p>
      <w:pPr>
        <w:pStyle w:val="Heading2"/>
      </w:pPr>
      <w:bookmarkStart w:id="53" w:name="X0633face7e0dc64ffa4369a19417b550cc22024"/>
      <w:r>
        <w:t xml:space="preserve">2.4 Multi-agent reinforcement learning for coverage</w:t>
      </w:r>
      <w:bookmarkEnd w:id="53"/>
    </w:p>
    <w:p>
      <w:pPr>
        <w:pStyle w:val="Heading3"/>
      </w:pPr>
      <w:bookmarkStart w:id="54" w:name="the-algorithmic-base"/>
      <w:r>
        <w:t xml:space="preserve">2.4.1 The algorithmic base</w:t>
      </w:r>
      <w:bookmarkEnd w:id="54"/>
    </w:p>
    <w:p>
      <w:pPr>
        <w:pStyle w:val="FirstParagraph"/>
      </w:pPr>
      <w:r>
        <w:t xml:space="preserve">Schulman et al. (2017) introduced Proximal Policy Optimization, which has become the default policy-gradient method for continuous and discrete control because it achieves trust-region-like stability with first-order updates and a clipped surrogate objective. Nearly every MARL coverage paper reviewed here uses PPO or a close relative.</w:t>
      </w:r>
    </w:p>
    <w:p>
      <w:pPr>
        <w:pStyle w:val="Heading3"/>
      </w:pPr>
      <w:bookmarkStart w:id="55" w:name="decentralisation-and-its-cost"/>
      <w:r>
        <w:t xml:space="preserve">2.4.2 Decentralisation and its cost</w:t>
      </w:r>
      <w:bookmarkEnd w:id="55"/>
    </w:p>
    <w:p>
      <w:pPr>
        <w:pStyle w:val="FirstParagraph"/>
      </w:pPr>
      <w:r>
        <w:t xml:space="preserve">Fusco et al. (2025) give the clearest statement of the central problem. In MARL the joint action space grows as |A|^N, where |A| is the per-agent action cardinality and N the number of agents. With four actions and two agents the joint action vector has length 16; the growth is exponential and, in their words,</w:t>
      </w:r>
      <w:r>
        <w:t xml:space="preserve"> </w:t>
      </w:r>
      <w:r>
        <w:t xml:space="preserve">“</w:t>
      </w:r>
      <w:r>
        <w:t xml:space="preserve">impractical and almost unmanageable for any significant number of agents.</w:t>
      </w:r>
      <w:r>
        <w:t xml:space="preserve">”</w:t>
      </w:r>
      <w:r>
        <w:t xml:space="preserve"> </w:t>
      </w:r>
      <w:r>
        <w:t xml:space="preserve">They set out three information-sharing structures — fully centralised, fully decentralised, and decentralised-but-networked — and note the trade-off precisely: full centralisation gives optimal coordination but does not scale, while full decentralisation scales but yields suboptimal actions and converges poorly under high partial observability.</w:t>
      </w:r>
    </w:p>
    <w:p>
      <w:pPr>
        <w:pStyle w:val="BodyText"/>
      </w:pPr>
      <w:r>
        <w:t xml:space="preserve">That last clause is the theoretical prediction this dissertation tests. A fully decentralised policy with a small local observation window is</w:t>
      </w:r>
      <w:r>
        <w:t xml:space="preserve"> </w:t>
      </w:r>
      <w:r>
        <w:rPr>
          <w:i/>
        </w:rPr>
        <w:t xml:space="preserve">expected</w:t>
      </w:r>
      <w:r>
        <w:t xml:space="preserve"> </w:t>
      </w:r>
      <w:r>
        <w:t xml:space="preserve">by this argument to underperform. Most empirical papers assume the opposite.</w:t>
      </w:r>
    </w:p>
    <w:p>
      <w:pPr>
        <w:pStyle w:val="BodyText"/>
      </w:pPr>
      <w:r>
        <w:t xml:space="preserve">Fusco et al. also report the practical scaling wall directly: MARL training time on their setup rises from 0.065 s at a grid of 16×10³ cells to 3,354 s at 64×10³ cells — roughly a 50,000-fold increase for a four-fold increase in state space. They compare A2C, A3C and PPO across 500 episodes and find PPO best, and their environment is a grid world with an unexplored/explored distinction, illegal-action penalties for boundary and collision violations, and a large terminal bonus for full exploration. The reward structure is close to the one used here.</w:t>
      </w:r>
    </w:p>
    <w:p>
      <w:pPr>
        <w:pStyle w:val="Heading3"/>
      </w:pPr>
      <w:bookmarkStart w:id="56" w:name="coverage-specific-marl"/>
      <w:r>
        <w:t xml:space="preserve">2.4.3 Coverage-specific MARL</w:t>
      </w:r>
      <w:bookmarkEnd w:id="56"/>
    </w:p>
    <w:p>
      <w:pPr>
        <w:pStyle w:val="FirstParagraph"/>
      </w:pPr>
      <w:r>
        <w:t xml:space="preserve">Yu et al. (2025) address distributed UAV swarms for 3D urban area coverage under incomplete information, using event-triggered hierarchical reinforcement learning. The hierarchy is the key design choice: a high-level policy assigns regions, a low-level policy executes within them, and the event trigger limits communication. This decomposition sidesteps the joint-action explosion that Fusco et al. describe.</w:t>
      </w:r>
    </w:p>
    <w:p>
      <w:pPr>
        <w:pStyle w:val="BodyText"/>
      </w:pPr>
      <w:r>
        <w:t xml:space="preserve">He et al. address UAV swarm deployment and trajectory design for 3D area coverage with obstacles, using a hierarchical swarm framework. Their reported coverage rate is</w:t>
      </w:r>
      <w:r>
        <w:t xml:space="preserve"> </w:t>
      </w:r>
      <w:r>
        <w:t xml:space="preserve">“</w:t>
      </w:r>
      <w:r>
        <w:t xml:space="preserve">evidently above 90%</w:t>
      </w:r>
      <w:r>
        <w:t xml:space="preserve">”</w:t>
      </w:r>
      <w:r>
        <w:t xml:space="preserve"> </w:t>
      </w:r>
      <w:r>
        <w:t xml:space="preserve">for ground-user counts between 30 and 50 — but this is</w:t>
      </w:r>
      <w:r>
        <w:t xml:space="preserve"> </w:t>
      </w:r>
      <w:r>
        <w:rPr>
          <w:i/>
        </w:rPr>
        <w:t xml:space="preserve">communication</w:t>
      </w:r>
      <w:r>
        <w:t xml:space="preserve"> </w:t>
      </w:r>
      <w:r>
        <w:t xml:space="preserve">coverage of ground users, not swept-area coverage of a grid. The distinction matters and is discussed in Section 2.6.</w:t>
      </w:r>
    </w:p>
    <w:p>
      <w:pPr>
        <w:pStyle w:val="BodyText"/>
      </w:pPr>
      <w:r>
        <w:t xml:space="preserve">Leong et al. (2024) present dynamic decentralised 3D urban coverage and patrol, discretising the area of interest into viewpoints connected by closed paths and assigning UAVs to them. Xie et al. (2025) propose enhanced coverage path planning for UAV swarms based on a SADQN algorithm with an improved cell-decomposition method, reporting a 10.1% and 9.1% reduction in the number of coverage grids required. Wang and Gursoy present robust decentralised RL for UAV path planning in IoT networks, and Sun et al. (2025) develop a multi-agent hybrid PPO with action masking for integrated communication and control in energy-efficient UAV swarms.</w:t>
      </w:r>
    </w:p>
    <w:p>
      <w:pPr>
        <w:pStyle w:val="BodyText"/>
      </w:pPr>
      <w:r>
        <w:t xml:space="preserve">Chandran and Vipin analyse decentralised fault-tolerant UAV swarm coordination in critical missions from a network-analysis perspective, which is relevant to the robustness dimension but does not report coverage.</w:t>
      </w:r>
    </w:p>
    <w:p>
      <w:pPr>
        <w:pStyle w:val="BodyText"/>
      </w:pPr>
      <w:r>
        <w:rPr>
          <w:b/>
        </w:rPr>
        <w:t xml:space="preserve">Gap left open.</w:t>
      </w:r>
      <w:r>
        <w:t xml:space="preserve"> </w:t>
      </w:r>
      <w:r>
        <w:t xml:space="preserve">Almost all of this work either (a) uses hierarchy or explicit communication to avoid the decentralisation penalty, or (b) reports metrics other than fixed-budget area coverage. The specific question of what a</w:t>
      </w:r>
      <w:r>
        <w:t xml:space="preserve"> </w:t>
      </w:r>
      <w:r>
        <w:rPr>
          <w:i/>
        </w:rPr>
        <w:t xml:space="preserve">fully</w:t>
      </w:r>
      <w:r>
        <w:t xml:space="preserve"> </w:t>
      </w:r>
      <w:r>
        <w:t xml:space="preserve">decentralised, communication-free policy with a small local window achieves on area coverage, measured against classical baselines under identical conditions, is not directly answered.</w:t>
      </w:r>
    </w:p>
    <w:p>
      <w:r>
        <w:pict>
          <v:rect style="width:0;height:1.5pt" o:hralign="center" o:hrstd="t" o:hr="t"/>
        </w:pict>
      </w:r>
    </w:p>
    <w:p>
      <w:pPr>
        <w:pStyle w:val="Heading2"/>
      </w:pPr>
      <w:bookmarkStart w:id="57" w:name="evaluation-practice-in-the-field"/>
      <w:r>
        <w:t xml:space="preserve">2.5 Evaluation practice in the field</w:t>
      </w:r>
      <w:bookmarkEnd w:id="57"/>
    </w:p>
    <w:p>
      <w:pPr>
        <w:pStyle w:val="FirstParagraph"/>
      </w:pPr>
      <w:r>
        <w:t xml:space="preserve">A separate and less comfortable observation emerges from reading these papers together: evaluation practice is weak.</w:t>
      </w:r>
    </w:p>
    <w:p>
      <w:pPr>
        <w:numPr>
          <w:ilvl w:val="0"/>
          <w:numId w:val="1007"/>
        </w:numPr>
        <w:pStyle w:val="Compact"/>
      </w:pPr>
      <w:r>
        <w:rPr>
          <w:b/>
        </w:rPr>
        <w:t xml:space="preserve">Replication.</w:t>
      </w:r>
      <w:r>
        <w:t xml:space="preserve"> </w:t>
      </w:r>
      <w:r>
        <w:t xml:space="preserve">Most papers report a single run per condition, or an unstated number. Fusco et al. report one simulation configuration. Where seed counts are given, they are typically under ten.</w:t>
      </w:r>
    </w:p>
    <w:p>
      <w:pPr>
        <w:numPr>
          <w:ilvl w:val="0"/>
          <w:numId w:val="1007"/>
        </w:numPr>
        <w:pStyle w:val="Compact"/>
      </w:pPr>
      <w:r>
        <w:rPr>
          <w:b/>
        </w:rPr>
        <w:t xml:space="preserve">Significance testing.</w:t>
      </w:r>
      <w:r>
        <w:t xml:space="preserve"> </w:t>
      </w:r>
      <w:r>
        <w:t xml:space="preserve">None of the papers reviewed here reports a hypothesis test between its method and its baselines. Differences are asserted from mean values or read off a figure.</w:t>
      </w:r>
    </w:p>
    <w:p>
      <w:pPr>
        <w:numPr>
          <w:ilvl w:val="0"/>
          <w:numId w:val="1007"/>
        </w:numPr>
        <w:pStyle w:val="Compact"/>
      </w:pPr>
      <w:r>
        <w:rPr>
          <w:b/>
        </w:rPr>
        <w:t xml:space="preserve">Effect sizes.</w:t>
      </w:r>
      <w:r>
        <w:t xml:space="preserve"> </w:t>
      </w:r>
      <w:r>
        <w:t xml:space="preserve">None reports one.</w:t>
      </w:r>
    </w:p>
    <w:p>
      <w:pPr>
        <w:numPr>
          <w:ilvl w:val="0"/>
          <w:numId w:val="1007"/>
        </w:numPr>
        <w:pStyle w:val="Compact"/>
      </w:pPr>
      <w:r>
        <w:rPr>
          <w:b/>
        </w:rPr>
        <w:t xml:space="preserve">Held-out environments.</w:t>
      </w:r>
      <w:r>
        <w:t xml:space="preserve"> </w:t>
      </w:r>
      <w:r>
        <w:t xml:space="preserve">Train/test separation over environment layouts is rare. Papers commonly train and evaluate on the same generated maps.</w:t>
      </w:r>
    </w:p>
    <w:p>
      <w:pPr>
        <w:numPr>
          <w:ilvl w:val="0"/>
          <w:numId w:val="1007"/>
        </w:numPr>
        <w:pStyle w:val="Compact"/>
      </w:pPr>
      <w:r>
        <w:rPr>
          <w:b/>
        </w:rPr>
        <w:t xml:space="preserve">Baseline tuning.</w:t>
      </w:r>
      <w:r>
        <w:t xml:space="preserve"> </w:t>
      </w:r>
      <w:r>
        <w:t xml:space="preserve">Classical baselines are frequently included without stating parameters, which makes it impossible to tell whether the learned method beat a good controller or a badly configured one.</w:t>
      </w:r>
    </w:p>
    <w:p>
      <w:pPr>
        <w:pStyle w:val="FirstParagraph"/>
      </w:pPr>
      <w:r>
        <w:t xml:space="preserve">This matters for how the present study should position itself. A dissertation that runs 50 seeds per condition, applies Mann-Whitney U tests with Holm correction and reports Cliff’s delta is already above the median methodological standard of the published literature it is competing with. That is a defensible contribution independent of which method wins.</w:t>
      </w:r>
    </w:p>
    <w:p>
      <w:r>
        <w:pict>
          <v:rect style="width:0;height:1.5pt" o:hralign="center" o:hrstd="t" o:hr="t"/>
        </w:pict>
      </w:r>
    </w:p>
    <w:p>
      <w:pPr>
        <w:pStyle w:val="Heading2"/>
      </w:pPr>
      <w:bookmarkStart w:id="58" w:name="X457a51a211fbccae59bf15f357605e9a6b7d5ca"/>
      <w:r>
        <w:t xml:space="preserve">2.6 Why direct numerical comparison with prior work is limited</w:t>
      </w:r>
      <w:bookmarkEnd w:id="58"/>
    </w:p>
    <w:p>
      <w:pPr>
        <w:pStyle w:val="FirstParagraph"/>
      </w:pPr>
      <w:r>
        <w:t xml:space="preserve">The supervisor’s request for a table placing this study’s results next to Fusco’s is reasonable, and the honest answer is that a like-for-like coverage comparison with Fusco et al. is not possible. Their paper reports no coverage percentage. Their environment terminates on full exploration and awards +100 for it, so coverage is 100% by construction whenever an episode completes; their reported metrics are cumulative energy consumption, mission time and episode reward. Comparing</w:t>
      </w:r>
      <w:r>
        <w:t xml:space="preserve"> </w:t>
      </w:r>
      <w:r>
        <w:t xml:space="preserve">“</w:t>
      </w:r>
      <w:r>
        <w:t xml:space="preserve">85.5% coverage in 700 steps</w:t>
      </w:r>
      <w:r>
        <w:t xml:space="preserve">”</w:t>
      </w:r>
      <w:r>
        <w:t xml:space="preserve"> </w:t>
      </w:r>
      <w:r>
        <w:t xml:space="preserve">against</w:t>
      </w:r>
      <w:r>
        <w:t xml:space="preserve"> </w:t>
      </w:r>
      <w:r>
        <w:t xml:space="preserve">“</w:t>
      </w:r>
      <w:r>
        <w:t xml:space="preserve">the swarm covered the entire area</w:t>
      </w:r>
      <w:r>
        <w:t xml:space="preserve">”</w:t>
      </w:r>
      <w:r>
        <w:t xml:space="preserve"> </w:t>
      </w:r>
      <w:r>
        <w:t xml:space="preserve">is not a comparison, and presenting it as one would be misleading.</w:t>
      </w:r>
    </w:p>
    <w:p>
      <w:pPr>
        <w:pStyle w:val="BodyText"/>
      </w:pPr>
      <w:r>
        <w:t xml:space="preserve">The same problem recurs across the literature, for three distinct reasons:</w:t>
      </w:r>
    </w:p>
    <w:p>
      <w:pPr>
        <w:numPr>
          <w:ilvl w:val="0"/>
          <w:numId w:val="1008"/>
        </w:numPr>
        <w:pStyle w:val="Compact"/>
      </w:pPr>
      <w:r>
        <w:rPr>
          <w:b/>
        </w:rPr>
        <w:t xml:space="preserve">Different quantity.</w:t>
      </w:r>
      <w:r>
        <w:t xml:space="preserve"> </w:t>
      </w:r>
      <w:r>
        <w:t xml:space="preserve">He et al.’s</w:t>
      </w:r>
      <w:r>
        <w:t xml:space="preserve"> </w:t>
      </w:r>
      <w:r>
        <w:t xml:space="preserve">“</w:t>
      </w:r>
      <w:r>
        <w:t xml:space="preserve">&gt;90% coverage</w:t>
      </w:r>
      <w:r>
        <w:t xml:space="preserve">”</w:t>
      </w:r>
      <w:r>
        <w:t xml:space="preserve"> </w:t>
      </w:r>
      <w:r>
        <w:t xml:space="preserve">is the fraction of ground users receiving communication service, not the fraction of area swept. Yu et al. and Leong et al. work in 3D with viewpoint-based coverage, where a</w:t>
      </w:r>
      <w:r>
        <w:t xml:space="preserve"> </w:t>
      </w:r>
      <w:r>
        <w:t xml:space="preserve">“</w:t>
      </w:r>
      <w:r>
        <w:t xml:space="preserve">covered</w:t>
      </w:r>
      <w:r>
        <w:t xml:space="preserve">”</w:t>
      </w:r>
      <w:r>
        <w:t xml:space="preserve"> </w:t>
      </w:r>
      <w:r>
        <w:t xml:space="preserve">unit is a viewpoint observed, not a cell entered.</w:t>
      </w:r>
    </w:p>
    <w:p>
      <w:pPr>
        <w:numPr>
          <w:ilvl w:val="0"/>
          <w:numId w:val="1008"/>
        </w:numPr>
        <w:pStyle w:val="Compact"/>
      </w:pPr>
      <w:r>
        <w:rPr>
          <w:b/>
        </w:rPr>
        <w:t xml:space="preserve">Different termination rule.</w:t>
      </w:r>
      <w:r>
        <w:t xml:space="preserve"> </w:t>
      </w:r>
      <w:r>
        <w:t xml:space="preserve">Papers that terminate on full coverage report</w:t>
      </w:r>
      <w:r>
        <w:t xml:space="preserve"> </w:t>
      </w:r>
      <w:r>
        <w:rPr>
          <w:i/>
        </w:rPr>
        <w:t xml:space="preserve">time to completion</w:t>
      </w:r>
      <w:r>
        <w:t xml:space="preserve">. Papers with a fixed step budget, including this one, report</w:t>
      </w:r>
      <w:r>
        <w:t xml:space="preserve"> </w:t>
      </w:r>
      <w:r>
        <w:rPr>
          <w:i/>
        </w:rPr>
        <w:t xml:space="preserve">coverage at the budget</w:t>
      </w:r>
      <w:r>
        <w:t xml:space="preserve">. These are inverse framings of the same underlying performance and cannot be placed in the same column.</w:t>
      </w:r>
    </w:p>
    <w:p>
      <w:pPr>
        <w:numPr>
          <w:ilvl w:val="0"/>
          <w:numId w:val="1008"/>
        </w:numPr>
        <w:pStyle w:val="Compact"/>
      </w:pPr>
      <w:r>
        <w:rPr>
          <w:b/>
        </w:rPr>
        <w:t xml:space="preserve">Different environment scale and agent count.</w:t>
      </w:r>
      <w:r>
        <w:t xml:space="preserve"> </w:t>
      </w:r>
      <w:r>
        <w:t xml:space="preserve">Grid sizes range from 16×10³ to 64×10³ cells in Fusco et al. against 2,500 here; agent counts range from 3 to 8. Coverage is strongly sensitive to the ratio of agents to area — this study’s own sensitivity analysis shows mean coverage rising from roughly 52% at 3 UAVs to 97% at 12 UAVs for the same policy.</w:t>
      </w:r>
    </w:p>
    <w:p>
      <w:pPr>
        <w:pStyle w:val="FirstParagraph"/>
      </w:pPr>
      <w:r>
        <w:t xml:space="preserve">The table in Section 2.7 therefore compares</w:t>
      </w:r>
      <w:r>
        <w:t xml:space="preserve"> </w:t>
      </w:r>
      <w:r>
        <w:rPr>
          <w:b/>
        </w:rPr>
        <w:t xml:space="preserve">experimental design and evidentiary standard</w:t>
      </w:r>
      <w:r>
        <w:t xml:space="preserve"> </w:t>
      </w:r>
      <w:r>
        <w:t xml:space="preserve">rather than headline numbers, and states explicitly where a numeric comparison is unavailable. This is the defensible form of the comparison and it should be presented as a deliberate methodological choice, not an omission.</w:t>
      </w:r>
    </w:p>
    <w:p>
      <w:r>
        <w:pict>
          <v:rect style="width:0;height:1.5pt" o:hralign="center" o:hrstd="t" o:hr="t"/>
        </w:pict>
      </w:r>
    </w:p>
    <w:p>
      <w:pPr>
        <w:pStyle w:val="Heading2"/>
      </w:pPr>
      <w:bookmarkStart w:id="59" w:name="related-work-comparison-table"/>
      <w:r>
        <w:t xml:space="preserve">2.7 Related work comparison table</w:t>
      </w:r>
      <w:bookmarkEnd w:id="59"/>
    </w:p>
    <w:tbl>
      <w:tblPr>
        <w:tblStyle w:val="Table"/>
        <w:tblW w:type="pct" w:w="5000.0"/>
        <w:tblLook w:firstRow="1"/>
      </w:tblPr>
      <w:tblGrid>
        <w:gridCol w:w="719"/>
        <w:gridCol w:w="719"/>
        <w:gridCol w:w="719"/>
        <w:gridCol w:w="719"/>
        <w:gridCol w:w="719"/>
        <w:gridCol w:w="719"/>
        <w:gridCol w:w="719"/>
        <w:gridCol w:w="719"/>
        <w:gridCol w:w="719"/>
        <w:gridCol w:w="719"/>
        <w:gridCol w:w="719"/>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Decentralised</w:t>
            </w:r>
          </w:p>
        </w:tc>
        <w:tc>
          <w:tcPr>
            <w:tcBorders>
              <w:bottom w:val="single"/>
            </w:tcBorders>
            <w:vAlign w:val="bottom"/>
          </w:tcPr>
          <w:p>
            <w:pPr>
              <w:pStyle w:val="Compact"/>
              <w:jc w:val="left"/>
            </w:pPr>
            <w:r>
              <w:t xml:space="preserve">Environment</w:t>
            </w:r>
          </w:p>
        </w:tc>
        <w:tc>
          <w:tcPr>
            <w:tcBorders>
              <w:bottom w:val="single"/>
            </w:tcBorders>
            <w:vAlign w:val="bottom"/>
          </w:tcPr>
          <w:p>
            <w:pPr>
              <w:pStyle w:val="Compact"/>
              <w:jc w:val="left"/>
            </w:pPr>
            <w:r>
              <w:t xml:space="preserve">Agents</w:t>
            </w:r>
          </w:p>
        </w:tc>
        <w:tc>
          <w:tcPr>
            <w:tcBorders>
              <w:bottom w:val="single"/>
            </w:tcBorders>
            <w:vAlign w:val="bottom"/>
          </w:tcPr>
          <w:p>
            <w:pPr>
              <w:pStyle w:val="Compact"/>
              <w:jc w:val="left"/>
            </w:pPr>
            <w:r>
              <w:t xml:space="preserve">Coverage metric reported</w:t>
            </w:r>
          </w:p>
        </w:tc>
        <w:tc>
          <w:tcPr>
            <w:tcBorders>
              <w:bottom w:val="single"/>
            </w:tcBorders>
            <w:vAlign w:val="bottom"/>
          </w:tcPr>
          <w:p>
            <w:pPr>
              <w:pStyle w:val="Compact"/>
              <w:jc w:val="left"/>
            </w:pPr>
            <w:r>
              <w:t xml:space="preserve">Obstacle densities varied</w:t>
            </w:r>
          </w:p>
        </w:tc>
        <w:tc>
          <w:tcPr>
            <w:tcBorders>
              <w:bottom w:val="single"/>
            </w:tcBorders>
            <w:vAlign w:val="bottom"/>
          </w:tcPr>
          <w:p>
            <w:pPr>
              <w:pStyle w:val="Compact"/>
              <w:jc w:val="left"/>
            </w:pPr>
            <w:r>
              <w:t xml:space="preserve">Seeds per condition</w:t>
            </w:r>
          </w:p>
        </w:tc>
        <w:tc>
          <w:tcPr>
            <w:tcBorders>
              <w:bottom w:val="single"/>
            </w:tcBorders>
            <w:vAlign w:val="bottom"/>
          </w:tcPr>
          <w:p>
            <w:pPr>
              <w:pStyle w:val="Compact"/>
              <w:jc w:val="left"/>
            </w:pPr>
            <w:r>
              <w:t xml:space="preserve">Significance test</w:t>
            </w:r>
          </w:p>
        </w:tc>
        <w:tc>
          <w:tcPr>
            <w:tcBorders>
              <w:bottom w:val="single"/>
            </w:tcBorders>
            <w:vAlign w:val="bottom"/>
          </w:tcPr>
          <w:p>
            <w:pPr>
              <w:pStyle w:val="Compact"/>
              <w:jc w:val="left"/>
            </w:pPr>
            <w:r>
              <w:t xml:space="preserve">Effect size</w:t>
            </w:r>
          </w:p>
        </w:tc>
        <w:tc>
          <w:tcPr>
            <w:tcBorders>
              <w:bottom w:val="single"/>
            </w:tcBorders>
            <w:vAlign w:val="bottom"/>
          </w:tcPr>
          <w:p>
            <w:pPr>
              <w:pStyle w:val="Compact"/>
              <w:jc w:val="left"/>
            </w:pPr>
            <w:r>
              <w:t xml:space="preserve">Held-out layouts</w:t>
            </w:r>
          </w:p>
        </w:tc>
      </w:tr>
      <w:tr>
        <w:tc>
          <w:p>
            <w:pPr>
              <w:pStyle w:val="Compact"/>
              <w:jc w:val="left"/>
            </w:pPr>
            <w:r>
              <w:t xml:space="preserve">Reynolds (1987)</w:t>
            </w:r>
          </w:p>
        </w:tc>
        <w:tc>
          <w:p>
            <w:pPr>
              <w:pStyle w:val="Compact"/>
              <w:jc w:val="left"/>
            </w:pPr>
            <w:r>
              <w:t xml:space="preserve">Boids flocking</w:t>
            </w:r>
          </w:p>
        </w:tc>
        <w:tc>
          <w:p>
            <w:pPr>
              <w:pStyle w:val="Compact"/>
              <w:jc w:val="left"/>
            </w:pPr>
            <w:r>
              <w:t xml:space="preserve">Yes</w:t>
            </w:r>
          </w:p>
        </w:tc>
        <w:tc>
          <w:p>
            <w:pPr>
              <w:pStyle w:val="Compact"/>
              <w:jc w:val="left"/>
            </w:pPr>
            <w:r>
              <w:t xml:space="preserve">2D/3D continuous</w:t>
            </w:r>
          </w:p>
        </w:tc>
        <w:tc>
          <w:p>
            <w:pPr>
              <w:pStyle w:val="Compact"/>
              <w:jc w:val="left"/>
            </w:pPr>
            <w:r>
              <w:t xml:space="preserve">Varies</w:t>
            </w:r>
          </w:p>
        </w:tc>
        <w:tc>
          <w:p>
            <w:pPr>
              <w:pStyle w:val="Compact"/>
              <w:jc w:val="left"/>
            </w:pPr>
            <w:r>
              <w:t xml:space="preserve">None (animation)</w:t>
            </w:r>
          </w:p>
        </w:tc>
        <w:tc>
          <w:p>
            <w:pPr>
              <w:pStyle w:val="Compact"/>
              <w:jc w:val="left"/>
            </w:pPr>
            <w:r>
              <w:t xml:space="preserve">No</w:t>
            </w:r>
          </w:p>
        </w:tc>
        <w:tc>
          <w:p>
            <w:pPr>
              <w:pStyle w:val="Compact"/>
              <w:jc w:val="left"/>
            </w:pPr>
            <w:r>
              <w:t xml:space="preserve">n/a</w:t>
            </w:r>
          </w:p>
        </w:tc>
        <w:tc>
          <w:p>
            <w:pPr>
              <w:pStyle w:val="Compact"/>
              <w:jc w:val="left"/>
            </w:pPr>
            <w:r>
              <w:t xml:space="preserve">No</w:t>
            </w:r>
          </w:p>
        </w:tc>
        <w:tc>
          <w:p>
            <w:pPr>
              <w:pStyle w:val="Compact"/>
              <w:jc w:val="left"/>
            </w:pPr>
            <w:r>
              <w:t xml:space="preserve">No</w:t>
            </w:r>
          </w:p>
        </w:tc>
        <w:tc>
          <w:p>
            <w:pPr>
              <w:pStyle w:val="Compact"/>
              <w:jc w:val="left"/>
            </w:pPr>
            <w:r>
              <w:t xml:space="preserve">n/a</w:t>
            </w:r>
          </w:p>
        </w:tc>
      </w:tr>
      <w:tr>
        <w:tc>
          <w:p>
            <w:pPr>
              <w:pStyle w:val="Compact"/>
              <w:jc w:val="left"/>
            </w:pPr>
            <w:r>
              <w:t xml:space="preserve">Fusco et al. (2025)</w:t>
            </w:r>
          </w:p>
        </w:tc>
        <w:tc>
          <w:p>
            <w:pPr>
              <w:pStyle w:val="Compact"/>
              <w:jc w:val="left"/>
            </w:pPr>
            <w:r>
              <w:t xml:space="preserve">MARL (A2C / A3C / PPO) + mobile battery stations</w:t>
            </w:r>
          </w:p>
        </w:tc>
        <w:tc>
          <w:p>
            <w:pPr>
              <w:pStyle w:val="Compact"/>
              <w:jc w:val="left"/>
            </w:pPr>
            <w:r>
              <w:t xml:space="preserve">Partially (joint action)</w:t>
            </w:r>
          </w:p>
        </w:tc>
        <w:tc>
          <w:p>
            <w:pPr>
              <w:pStyle w:val="Compact"/>
              <w:jc w:val="left"/>
            </w:pPr>
            <w:r>
              <w:t xml:space="preserve">2D grid, 16–64 ×10³ cells</w:t>
            </w:r>
          </w:p>
        </w:tc>
        <w:tc>
          <w:p>
            <w:pPr>
              <w:pStyle w:val="Compact"/>
              <w:jc w:val="left"/>
            </w:pPr>
            <w:r>
              <w:t xml:space="preserve">3 UAVs + 2 MBS</w:t>
            </w:r>
          </w:p>
        </w:tc>
        <w:tc>
          <w:p>
            <w:pPr>
              <w:pStyle w:val="Compact"/>
              <w:jc w:val="left"/>
            </w:pPr>
            <w:r>
              <w:rPr>
                <w:b/>
              </w:rPr>
              <w:t xml:space="preserve">None</w:t>
            </w:r>
            <w:r>
              <w:t xml:space="preserve"> </w:t>
            </w:r>
            <w:r>
              <w:t xml:space="preserve">— reports energy, mission time, episode reward</w:t>
            </w:r>
          </w:p>
        </w:tc>
        <w:tc>
          <w:p>
            <w:pPr>
              <w:pStyle w:val="Compact"/>
              <w:jc w:val="left"/>
            </w:pPr>
            <w:r>
              <w:t xml:space="preserve">No</w:t>
            </w:r>
          </w:p>
        </w:tc>
        <w:tc>
          <w:p>
            <w:pPr>
              <w:pStyle w:val="Compact"/>
              <w:jc w:val="left"/>
            </w:pPr>
            <w:r>
              <w:t xml:space="preserve">1 configuration</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Yu et al. (2025)</w:t>
            </w:r>
          </w:p>
        </w:tc>
        <w:tc>
          <w:p>
            <w:pPr>
              <w:pStyle w:val="Compact"/>
              <w:jc w:val="left"/>
            </w:pPr>
            <w:r>
              <w:t xml:space="preserve">Event-triggered hierarchical RL</w:t>
            </w:r>
          </w:p>
        </w:tc>
        <w:tc>
          <w:p>
            <w:pPr>
              <w:pStyle w:val="Compact"/>
              <w:jc w:val="left"/>
            </w:pPr>
            <w:r>
              <w:t xml:space="preserve">Distributed, event-triggered comms</w:t>
            </w:r>
          </w:p>
        </w:tc>
        <w:tc>
          <w:p>
            <w:pPr>
              <w:pStyle w:val="Compact"/>
              <w:jc w:val="left"/>
            </w:pPr>
            <w:r>
              <w:t xml:space="preserve">3D urban</w:t>
            </w:r>
          </w:p>
        </w:tc>
        <w:tc>
          <w:p>
            <w:pPr>
              <w:pStyle w:val="Compact"/>
              <w:jc w:val="left"/>
            </w:pPr>
            <w:r>
              <w:t xml:space="preserve">Multiple</w:t>
            </w:r>
          </w:p>
        </w:tc>
        <w:tc>
          <w:p>
            <w:pPr>
              <w:pStyle w:val="Compact"/>
              <w:jc w:val="left"/>
            </w:pPr>
            <w:r>
              <w:t xml:space="preserve">Coverage of 3D region (hierarchical)</w:t>
            </w:r>
          </w:p>
        </w:tc>
        <w:tc>
          <w:p>
            <w:pPr>
              <w:pStyle w:val="Compact"/>
              <w:jc w:val="left"/>
            </w:pPr>
            <w:r>
              <w:t xml:space="preserve">No</w:t>
            </w:r>
          </w:p>
        </w:tc>
        <w:tc>
          <w:p>
            <w:pPr>
              <w:pStyle w:val="Compact"/>
              <w:jc w:val="left"/>
            </w:pPr>
            <w:r>
              <w:t xml:space="preserve">Not stated</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He et al.</w:t>
            </w:r>
          </w:p>
        </w:tc>
        <w:tc>
          <w:p>
            <w:pPr>
              <w:pStyle w:val="Compact"/>
              <w:jc w:val="left"/>
            </w:pPr>
            <w:r>
              <w:t xml:space="preserve">Hierarchical swarm framework + RL</w:t>
            </w:r>
          </w:p>
        </w:tc>
        <w:tc>
          <w:p>
            <w:pPr>
              <w:pStyle w:val="Compact"/>
              <w:jc w:val="left"/>
            </w:pPr>
            <w:r>
              <w:t xml:space="preserve">Hierarchical</w:t>
            </w:r>
          </w:p>
        </w:tc>
        <w:tc>
          <w:p>
            <w:pPr>
              <w:pStyle w:val="Compact"/>
              <w:jc w:val="left"/>
            </w:pPr>
            <w:r>
              <w:t xml:space="preserve">3D with obstacles</w:t>
            </w:r>
          </w:p>
        </w:tc>
        <w:tc>
          <w:p>
            <w:pPr>
              <w:pStyle w:val="Compact"/>
              <w:jc w:val="left"/>
            </w:pPr>
            <w:r>
              <w:t xml:space="preserve">Swarm</w:t>
            </w:r>
          </w:p>
        </w:tc>
        <w:tc>
          <w:p>
            <w:pPr>
              <w:pStyle w:val="Compact"/>
              <w:jc w:val="left"/>
            </w:pPr>
            <w:r>
              <w:t xml:space="preserve">Communication coverage of ground users,</w:t>
            </w:r>
            <w:r>
              <w:t xml:space="preserve"> </w:t>
            </w:r>
            <w:r>
              <w:t xml:space="preserve">“</w:t>
            </w:r>
            <w:r>
              <w:t xml:space="preserve">&gt;90%</w:t>
            </w:r>
            <w:r>
              <w:t xml:space="preserve">”</w:t>
            </w:r>
          </w:p>
        </w:tc>
        <w:tc>
          <w:p>
            <w:pPr>
              <w:pStyle w:val="Compact"/>
              <w:jc w:val="left"/>
            </w:pPr>
            <w:r>
              <w:t xml:space="preserve">No (varies user count)</w:t>
            </w:r>
          </w:p>
        </w:tc>
        <w:tc>
          <w:p>
            <w:pPr>
              <w:pStyle w:val="Compact"/>
              <w:jc w:val="left"/>
            </w:pPr>
            <w:r>
              <w:t xml:space="preserve">Not stated</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Leong et al. (2024)</w:t>
            </w:r>
          </w:p>
        </w:tc>
        <w:tc>
          <w:p>
            <w:pPr>
              <w:pStyle w:val="Compact"/>
              <w:jc w:val="left"/>
            </w:pPr>
            <w:r>
              <w:t xml:space="preserve">Viewpoint assignment + patrol</w:t>
            </w:r>
          </w:p>
        </w:tc>
        <w:tc>
          <w:p>
            <w:pPr>
              <w:pStyle w:val="Compact"/>
              <w:jc w:val="left"/>
            </w:pPr>
            <w:r>
              <w:t xml:space="preserve">Decentralised</w:t>
            </w:r>
          </w:p>
        </w:tc>
        <w:tc>
          <w:p>
            <w:pPr>
              <w:pStyle w:val="Compact"/>
              <w:jc w:val="left"/>
            </w:pPr>
            <w:r>
              <w:t xml:space="preserve">3D urban</w:t>
            </w:r>
          </w:p>
        </w:tc>
        <w:tc>
          <w:p>
            <w:pPr>
              <w:pStyle w:val="Compact"/>
              <w:jc w:val="left"/>
            </w:pPr>
            <w:r>
              <w:t xml:space="preserve">Swarm</w:t>
            </w:r>
          </w:p>
        </w:tc>
        <w:tc>
          <w:p>
            <w:pPr>
              <w:pStyle w:val="Compact"/>
              <w:jc w:val="left"/>
            </w:pPr>
            <w:r>
              <w:t xml:space="preserve">Viewpoint coverage / patrol period</w:t>
            </w:r>
          </w:p>
        </w:tc>
        <w:tc>
          <w:p>
            <w:pPr>
              <w:pStyle w:val="Compact"/>
              <w:jc w:val="left"/>
            </w:pPr>
            <w:r>
              <w:t xml:space="preserve">No</w:t>
            </w:r>
          </w:p>
        </w:tc>
        <w:tc>
          <w:p>
            <w:pPr>
              <w:pStyle w:val="Compact"/>
              <w:jc w:val="left"/>
            </w:pPr>
            <w:r>
              <w:t xml:space="preserve">Not stated</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Xie et al. (2025)</w:t>
            </w:r>
          </w:p>
        </w:tc>
        <w:tc>
          <w:p>
            <w:pPr>
              <w:pStyle w:val="Compact"/>
              <w:jc w:val="left"/>
            </w:pPr>
            <w:r>
              <w:t xml:space="preserve">SADQN + improved cell decomposition</w:t>
            </w:r>
          </w:p>
        </w:tc>
        <w:tc>
          <w:p>
            <w:pPr>
              <w:pStyle w:val="Compact"/>
              <w:jc w:val="left"/>
            </w:pPr>
            <w:r>
              <w:t xml:space="preserve">Centralised planning</w:t>
            </w:r>
          </w:p>
        </w:tc>
        <w:tc>
          <w:p>
            <w:pPr>
              <w:pStyle w:val="Compact"/>
              <w:jc w:val="left"/>
            </w:pPr>
            <w:r>
              <w:t xml:space="preserve">2D target area</w:t>
            </w:r>
          </w:p>
        </w:tc>
        <w:tc>
          <w:p>
            <w:pPr>
              <w:pStyle w:val="Compact"/>
              <w:jc w:val="left"/>
            </w:pPr>
            <w:r>
              <w:t xml:space="preserve">3 UAVs</w:t>
            </w:r>
          </w:p>
        </w:tc>
        <w:tc>
          <w:p>
            <w:pPr>
              <w:pStyle w:val="Compact"/>
              <w:jc w:val="left"/>
            </w:pPr>
            <w:r>
              <w:t xml:space="preserve">Reduction in coverage grids (10.1%, 9.1%)</w:t>
            </w:r>
          </w:p>
        </w:tc>
        <w:tc>
          <w:p>
            <w:pPr>
              <w:pStyle w:val="Compact"/>
              <w:jc w:val="left"/>
            </w:pPr>
            <w:r>
              <w:t xml:space="preserve">No</w:t>
            </w:r>
          </w:p>
        </w:tc>
        <w:tc>
          <w:p>
            <w:pPr>
              <w:pStyle w:val="Compact"/>
              <w:jc w:val="left"/>
            </w:pPr>
            <w:r>
              <w:t xml:space="preserve">Not stated</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Shang et al. (2025)</w:t>
            </w:r>
          </w:p>
        </w:tc>
        <w:tc>
          <w:p>
            <w:pPr>
              <w:pStyle w:val="Compact"/>
              <w:jc w:val="left"/>
            </w:pPr>
            <w:r>
              <w:t xml:space="preserve">Bio-inspired self-aggregation (DEBS)</w:t>
            </w:r>
          </w:p>
        </w:tc>
        <w:tc>
          <w:p>
            <w:pPr>
              <w:pStyle w:val="Compact"/>
              <w:jc w:val="left"/>
            </w:pPr>
            <w:r>
              <w:t xml:space="preserve">Yes</w:t>
            </w:r>
          </w:p>
        </w:tc>
        <w:tc>
          <w:p>
            <w:pPr>
              <w:pStyle w:val="Compact"/>
              <w:jc w:val="left"/>
            </w:pPr>
            <w:r>
              <w:t xml:space="preserve">2D/3D exploration</w:t>
            </w:r>
          </w:p>
        </w:tc>
        <w:tc>
          <w:p>
            <w:pPr>
              <w:pStyle w:val="Compact"/>
              <w:jc w:val="left"/>
            </w:pPr>
            <w:r>
              <w:t xml:space="preserve">Multiple</w:t>
            </w:r>
          </w:p>
        </w:tc>
        <w:tc>
          <w:p>
            <w:pPr>
              <w:pStyle w:val="Compact"/>
              <w:jc w:val="left"/>
            </w:pPr>
            <w:r>
              <w:t xml:space="preserve">Exploration efficiency</w:t>
            </w:r>
          </w:p>
        </w:tc>
        <w:tc>
          <w:p>
            <w:pPr>
              <w:pStyle w:val="Compact"/>
              <w:jc w:val="left"/>
            </w:pPr>
            <w:r>
              <w:t xml:space="preserve">No</w:t>
            </w:r>
          </w:p>
        </w:tc>
        <w:tc>
          <w:p>
            <w:pPr>
              <w:pStyle w:val="Compact"/>
              <w:jc w:val="left"/>
            </w:pPr>
            <w:r>
              <w:t xml:space="preserve">Not stated</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Hickling et al. (2025)</w:t>
            </w:r>
          </w:p>
        </w:tc>
        <w:tc>
          <w:p>
            <w:pPr>
              <w:pStyle w:val="Compact"/>
              <w:jc w:val="left"/>
            </w:pPr>
            <w:r>
              <w:t xml:space="preserve">TD3 with APF-shaped reward + GAT allocation</w:t>
            </w:r>
          </w:p>
        </w:tc>
        <w:tc>
          <w:p>
            <w:pPr>
              <w:pStyle w:val="Compact"/>
              <w:jc w:val="left"/>
            </w:pPr>
            <w:r>
              <w:t xml:space="preserve">Centralised allocation</w:t>
            </w:r>
          </w:p>
        </w:tc>
        <w:tc>
          <w:p>
            <w:pPr>
              <w:pStyle w:val="Compact"/>
              <w:jc w:val="left"/>
            </w:pPr>
            <w:r>
              <w:t xml:space="preserve">3D indoor SAR</w:t>
            </w:r>
          </w:p>
        </w:tc>
        <w:tc>
          <w:p>
            <w:pPr>
              <w:pStyle w:val="Compact"/>
              <w:jc w:val="left"/>
            </w:pPr>
            <w:r>
              <w:t xml:space="preserve">2 UAVs</w:t>
            </w:r>
          </w:p>
        </w:tc>
        <w:tc>
          <w:p>
            <w:pPr>
              <w:pStyle w:val="Compact"/>
              <w:jc w:val="left"/>
            </w:pPr>
            <w:r>
              <w:t xml:space="preserve">Travel distance, makespan</w:t>
            </w:r>
          </w:p>
        </w:tc>
        <w:tc>
          <w:p>
            <w:pPr>
              <w:pStyle w:val="Compact"/>
              <w:jc w:val="left"/>
            </w:pPr>
            <w:r>
              <w:t xml:space="preserve">No</w:t>
            </w:r>
          </w:p>
        </w:tc>
        <w:tc>
          <w:p>
            <w:pPr>
              <w:pStyle w:val="Compact"/>
              <w:jc w:val="left"/>
            </w:pPr>
            <w:r>
              <w:t xml:space="preserve">Not stated</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rPr>
                <w:b/>
              </w:rPr>
              <w:t xml:space="preserve">This study</w:t>
            </w:r>
          </w:p>
        </w:tc>
        <w:tc>
          <w:p>
            <w:pPr>
              <w:pStyle w:val="Compact"/>
              <w:jc w:val="left"/>
            </w:pPr>
            <w:r>
              <w:rPr>
                <w:b/>
              </w:rPr>
              <w:t xml:space="preserve">Boids / APF / decentralised PPO</w:t>
            </w:r>
          </w:p>
        </w:tc>
        <w:tc>
          <w:p>
            <w:pPr>
              <w:pStyle w:val="Compact"/>
              <w:jc w:val="left"/>
            </w:pPr>
            <w:r>
              <w:rPr>
                <w:b/>
              </w:rPr>
              <w:t xml:space="preserve">Yes — 5×5 local window, no communication</w:t>
            </w:r>
          </w:p>
        </w:tc>
        <w:tc>
          <w:p>
            <w:pPr>
              <w:pStyle w:val="Compact"/>
              <w:jc w:val="left"/>
            </w:pPr>
            <w:r>
              <w:rPr>
                <w:b/>
              </w:rPr>
              <w:t xml:space="preserve">2D grid, 50×50 = 2,500 cells</w:t>
            </w:r>
          </w:p>
        </w:tc>
        <w:tc>
          <w:p>
            <w:pPr>
              <w:pStyle w:val="Compact"/>
              <w:jc w:val="left"/>
            </w:pPr>
            <w:r>
              <w:rPr>
                <w:b/>
              </w:rPr>
              <w:t xml:space="preserve">6 UAVs</w:t>
            </w:r>
          </w:p>
        </w:tc>
        <w:tc>
          <w:p>
            <w:pPr>
              <w:pStyle w:val="Compact"/>
              <w:jc w:val="left"/>
            </w:pPr>
            <w:r>
              <w:rPr>
                <w:b/>
              </w:rPr>
              <w:t xml:space="preserve">% of free cells entered within a fixed step budget</w:t>
            </w:r>
          </w:p>
        </w:tc>
        <w:tc>
          <w:p>
            <w:pPr>
              <w:pStyle w:val="Compact"/>
              <w:jc w:val="left"/>
            </w:pPr>
            <w:r>
              <w:rPr>
                <w:b/>
              </w:rPr>
              <w:t xml:space="preserve">Yes — 0%, 10%, 20%, 30%</w:t>
            </w:r>
          </w:p>
        </w:tc>
        <w:tc>
          <w:p>
            <w:pPr>
              <w:pStyle w:val="Compact"/>
              <w:jc w:val="left"/>
            </w:pPr>
            <w:r>
              <w:rPr>
                <w:b/>
              </w:rPr>
              <w:t xml:space="preserve">50</w:t>
            </w:r>
          </w:p>
        </w:tc>
        <w:tc>
          <w:p>
            <w:pPr>
              <w:pStyle w:val="Compact"/>
              <w:jc w:val="left"/>
            </w:pPr>
            <w:r>
              <w:rPr>
                <w:b/>
              </w:rPr>
              <w:t xml:space="preserve">Yes — Mann-Whitney U, Holm-corrected</w:t>
            </w:r>
          </w:p>
        </w:tc>
        <w:tc>
          <w:p>
            <w:pPr>
              <w:pStyle w:val="Compact"/>
              <w:jc w:val="left"/>
            </w:pPr>
            <w:r>
              <w:rPr>
                <w:b/>
              </w:rPr>
              <w:t xml:space="preserve">Yes — Cliff’s delta</w:t>
            </w:r>
          </w:p>
        </w:tc>
        <w:tc>
          <w:p>
            <w:pPr>
              <w:pStyle w:val="Compact"/>
              <w:jc w:val="left"/>
            </w:pPr>
            <w:r>
              <w:rPr>
                <w:b/>
              </w:rPr>
              <w:t xml:space="preserve">Intended; see Chapter 3 limitations</w:t>
            </w:r>
          </w:p>
        </w:tc>
      </w:tr>
    </w:tbl>
    <w:p>
      <w:pPr>
        <w:pStyle w:val="BodyText"/>
      </w:pPr>
      <w:r>
        <w:rPr>
          <w:b/>
        </w:rPr>
        <w:t xml:space="preserve">How to read this table.</w:t>
      </w:r>
      <w:r>
        <w:t xml:space="preserve"> </w:t>
      </w:r>
      <w:r>
        <w:t xml:space="preserve">The right-hand five columns are the contribution. On the left-hand columns this study is smaller and simpler than most of the comparators — a 2,500-cell 2D grid against Fusco’s 64,000-cell environment, six agents against Yu et al.’s larger swarms. On the right-hand columns it is stronger than all of them. The claim to make in the viva is not</w:t>
      </w:r>
      <w:r>
        <w:t xml:space="preserve"> </w:t>
      </w:r>
      <w:r>
        <w:t xml:space="preserve">“</w:t>
      </w:r>
      <w:r>
        <w:t xml:space="preserve">this system is better</w:t>
      </w:r>
      <w:r>
        <w:t xml:space="preserve">”</w:t>
      </w:r>
      <w:r>
        <w:t xml:space="preserve">, it is</w:t>
      </w:r>
      <w:r>
        <w:t xml:space="preserve"> </w:t>
      </w:r>
      <w:r>
        <w:t xml:space="preserve">“</w:t>
      </w:r>
      <w:r>
        <w:t xml:space="preserve">this is the first of these studies that could tell you whether the difference it reports is real.</w:t>
      </w:r>
      <w:r>
        <w:t xml:space="preserve">”</w:t>
      </w:r>
    </w:p>
    <w:p>
      <w:r>
        <w:pict>
          <v:rect style="width:0;height:1.5pt" o:hralign="center" o:hrstd="t" o:hr="t"/>
        </w:pict>
      </w:r>
    </w:p>
    <w:p>
      <w:pPr>
        <w:pStyle w:val="Heading2"/>
      </w:pPr>
      <w:bookmarkStart w:id="60" w:name="statement-of-the-gap-addressed"/>
      <w:r>
        <w:t xml:space="preserve">2.8 Statement of the gap addressed</w:t>
      </w:r>
      <w:bookmarkEnd w:id="60"/>
    </w:p>
    <w:p>
      <w:pPr>
        <w:pStyle w:val="FirstParagraph"/>
      </w:pPr>
      <w:r>
        <w:t xml:space="preserve">The literature establishes:</w:t>
      </w:r>
    </w:p>
    <w:p>
      <w:pPr>
        <w:numPr>
          <w:ilvl w:val="0"/>
          <w:numId w:val="1009"/>
        </w:numPr>
        <w:pStyle w:val="Compact"/>
      </w:pPr>
      <w:r>
        <w:t xml:space="preserve">Fully decentralised MARL is theoretically expected to underperform centralised or hierarchical variants under high partial observability (Fusco et al., 2025).</w:t>
      </w:r>
    </w:p>
    <w:p>
      <w:pPr>
        <w:numPr>
          <w:ilvl w:val="0"/>
          <w:numId w:val="1009"/>
        </w:numPr>
        <w:pStyle w:val="Compact"/>
      </w:pPr>
      <w:r>
        <w:t xml:space="preserve">Almost all empirical MARL coverage work avoids testing that prediction, by adding hierarchy, communication, or centralised assignment.</w:t>
      </w:r>
    </w:p>
    <w:p>
      <w:pPr>
        <w:numPr>
          <w:ilvl w:val="0"/>
          <w:numId w:val="1009"/>
        </w:numPr>
        <w:pStyle w:val="Compact"/>
      </w:pPr>
      <w:r>
        <w:t xml:space="preserve">Where fully decentralised methods are evaluated, they are compared against under-specified classical baselines, without replication, significance testing or effect sizes.</w:t>
      </w:r>
    </w:p>
    <w:p>
      <w:pPr>
        <w:numPr>
          <w:ilvl w:val="0"/>
          <w:numId w:val="1009"/>
        </w:numPr>
        <w:pStyle w:val="Compact"/>
      </w:pPr>
      <w:r>
        <w:t xml:space="preserve">Coverage is reported in mutually incomparable units across papers, so the field has no shared benchmark number.</w:t>
      </w:r>
    </w:p>
    <w:p>
      <w:pPr>
        <w:pStyle w:val="FirstParagraph"/>
      </w:pPr>
      <w:r>
        <w:t xml:space="preserve">This dissertation addresses gaps 2 and 3. It evaluates a fully decentralised PPO policy with a 5×5 local observation window and no inter-agent communication against two classical baselines — a dispersion-modified Boids controller and a tuned APF controller with an explicit local-minimum escape — on an identical environment, at four obstacle densities, with 50 replications per condition, reporting Mann-Whitney U tests with Holm–Bonferroni correction, Cliff’s delta effect sizes and bootstrap confidence intervals.</w:t>
      </w:r>
    </w:p>
    <w:p>
      <w:pPr>
        <w:pStyle w:val="BodyText"/>
      </w:pPr>
      <w:r>
        <w:t xml:space="preserve">It does not address gap 4, which requires community agreement on a benchmark rather than a single study.</w:t>
      </w:r>
    </w:p>
    <w:p>
      <w:r>
        <w:pict>
          <v:rect style="width:0;height:1.5pt" o:hralign="center" o:hrstd="t" o:hr="t"/>
        </w:pict>
      </w:r>
    </w:p>
    <w:p>
      <w:pPr>
        <w:pStyle w:val="Heading2"/>
      </w:pPr>
      <w:bookmarkStart w:id="61" w:name="references-for-this-chapter"/>
      <w:r>
        <w:t xml:space="preserve">References for this chapter</w:t>
      </w:r>
      <w:bookmarkEnd w:id="61"/>
    </w:p>
    <w:p>
      <w:pPr>
        <w:pStyle w:val="FirstParagraph"/>
      </w:pPr>
      <w:r>
        <w:t xml:space="preserve">Alqudsi, Y. and Makaraci, M. (2024)</w:t>
      </w:r>
      <w:r>
        <w:t xml:space="preserve"> </w:t>
      </w:r>
      <w:r>
        <w:t xml:space="preserve">‘</w:t>
      </w:r>
      <w:r>
        <w:t xml:space="preserve">Exploring advancements and emerging trends in robotic swarm coordination and control of swarm flying robots: a review</w:t>
      </w:r>
      <w:r>
        <w:t xml:space="preserve">’</w:t>
      </w:r>
      <w:r>
        <w:t xml:space="preserve">,</w:t>
      </w:r>
      <w:r>
        <w:t xml:space="preserve"> </w:t>
      </w:r>
      <w:r>
        <w:rPr>
          <w:i/>
        </w:rPr>
        <w:t xml:space="preserve">Proceedings of the Institution of Mechanical Engineers, Part C: Journal of Mechanical Engineering Science</w:t>
      </w:r>
      <w:r>
        <w:t xml:space="preserve">, 239(1), pp. 180–204. doi:10.1177/09544062241275359.</w:t>
      </w:r>
    </w:p>
    <w:p>
      <w:pPr>
        <w:pStyle w:val="BodyText"/>
      </w:pPr>
      <w:r>
        <w:t xml:space="preserve">Alqudsi, Y. and Makaraci, M. (2025)</w:t>
      </w:r>
      <w:r>
        <w:t xml:space="preserve"> </w:t>
      </w:r>
      <w:r>
        <w:t xml:space="preserve">‘</w:t>
      </w:r>
      <w:r>
        <w:t xml:space="preserve">UAV swarms: research, challenges, and future directions</w:t>
      </w:r>
      <w:r>
        <w:t xml:space="preserve">’</w:t>
      </w:r>
      <w:r>
        <w:t xml:space="preserve">,</w:t>
      </w:r>
      <w:r>
        <w:t xml:space="preserve"> </w:t>
      </w:r>
      <w:r>
        <w:rPr>
          <w:i/>
        </w:rPr>
        <w:t xml:space="preserve">Journal of Engineering and Applied Science</w:t>
      </w:r>
      <w:r>
        <w:t xml:space="preserve">, 72(12). doi:10.1186/s44147-025-00582-3.</w:t>
      </w:r>
    </w:p>
    <w:p>
      <w:pPr>
        <w:pStyle w:val="BodyText"/>
      </w:pPr>
      <w:r>
        <w:t xml:space="preserve">Chandran, I. and Vipin, K.</w:t>
      </w:r>
      <w:r>
        <w:t xml:space="preserve"> </w:t>
      </w:r>
      <w:r>
        <w:t xml:space="preserve">‘</w:t>
      </w:r>
      <w:r>
        <w:t xml:space="preserve">Network analysis of decentralized fault-tolerant UAV swarm coordination in critical missions</w:t>
      </w:r>
      <w:r>
        <w:t xml:space="preserve">’</w:t>
      </w:r>
      <w:r>
        <w:t xml:space="preserve">, BITS Pilani K K Birla Goa Campus.</w:t>
      </w:r>
    </w:p>
    <w:p>
      <w:pPr>
        <w:pStyle w:val="BodyText"/>
      </w:pPr>
      <w:r>
        <w:t xml:space="preserve">Du, Y. (2023)</w:t>
      </w:r>
      <w:r>
        <w:t xml:space="preserve"> </w:t>
      </w:r>
      <w:r>
        <w:t xml:space="preserve">‘</w:t>
      </w:r>
      <w:r>
        <w:t xml:space="preserve">Multi-UAV search and rescue with enhanced A* algorithm path planning in 3D environment</w:t>
      </w:r>
      <w:r>
        <w:t xml:space="preserve">’</w:t>
      </w:r>
      <w:r>
        <w:t xml:space="preserve">,</w:t>
      </w:r>
      <w:r>
        <w:t xml:space="preserve"> </w:t>
      </w:r>
      <w:r>
        <w:rPr>
          <w:i/>
        </w:rPr>
        <w:t xml:space="preserve">International Journal of Aerospace Engineering</w:t>
      </w:r>
      <w:r>
        <w:t xml:space="preserve">, 2023, Article ID 8614117. doi:10.1155/2023/8614117.</w:t>
      </w:r>
    </w:p>
    <w:p>
      <w:pPr>
        <w:pStyle w:val="BodyText"/>
      </w:pPr>
      <w:r>
        <w:t xml:space="preserve">Fusco, P., Porcelli, L., Palmieri, F. and Ficco, M. (2025)</w:t>
      </w:r>
      <w:r>
        <w:t xml:space="preserve"> </w:t>
      </w:r>
      <w:r>
        <w:t xml:space="preserve">‘</w:t>
      </w:r>
      <w:r>
        <w:t xml:space="preserve">Supporting UAVs swarm missions by multi-agent reinforcement learning</w:t>
      </w:r>
      <w:r>
        <w:t xml:space="preserve">’</w:t>
      </w:r>
      <w:r>
        <w:t xml:space="preserve">,</w:t>
      </w:r>
      <w:r>
        <w:t xml:space="preserve"> </w:t>
      </w:r>
      <w:r>
        <w:rPr>
          <w:i/>
        </w:rPr>
        <w:t xml:space="preserve">2025 Workshop on Computing, Networking and Communications (CNC)</w:t>
      </w:r>
      <w:r>
        <w:t xml:space="preserve">, pp. 222–226. doi:10.1109/ICNC.2025.10901539.</w:t>
      </w:r>
    </w:p>
    <w:p>
      <w:pPr>
        <w:pStyle w:val="BodyText"/>
      </w:pPr>
      <w:r>
        <w:t xml:space="preserve">He, J., Jia, Z., Dong, C., Liu, J., Wu, Q. and Liu, J.</w:t>
      </w:r>
      <w:r>
        <w:t xml:space="preserve"> </w:t>
      </w:r>
      <w:r>
        <w:t xml:space="preserve">‘</w:t>
      </w:r>
      <w:r>
        <w:t xml:space="preserve">UAV swarm deployment and trajectory for 3D area coverage via reinforcement learning</w:t>
      </w:r>
      <w:r>
        <w:t xml:space="preserve">’</w:t>
      </w:r>
      <w:r>
        <w:t xml:space="preserve">, Nanjing University of Aeronautics and Astronautics.</w:t>
      </w:r>
    </w:p>
    <w:p>
      <w:pPr>
        <w:pStyle w:val="BodyText"/>
      </w:pPr>
      <w:r>
        <w:t xml:space="preserve">Hickling, T., Hogan, M., Tammam, A. and Aouf, N. (2025)</w:t>
      </w:r>
      <w:r>
        <w:t xml:space="preserve"> </w:t>
      </w:r>
      <w:r>
        <w:t xml:space="preserve">‘</w:t>
      </w:r>
      <w:r>
        <w:t xml:space="preserve">Deep reinforcement learning based autonomous decision-making for cooperative UAVs: a search and rescue real world application</w:t>
      </w:r>
      <w:r>
        <w:t xml:space="preserve">’</w:t>
      </w:r>
      <w:r>
        <w:t xml:space="preserve">, City St George’s, University of London. arXiv:2502.20326v2.</w:t>
      </w:r>
    </w:p>
    <w:p>
      <w:pPr>
        <w:pStyle w:val="BodyText"/>
      </w:pPr>
      <w:r>
        <w:t xml:space="preserve">Kumar, P., Pal, K. and Govil, M.C.</w:t>
      </w:r>
      <w:r>
        <w:t xml:space="preserve"> </w:t>
      </w:r>
      <w:r>
        <w:t xml:space="preserve">‘</w:t>
      </w:r>
      <w:r>
        <w:t xml:space="preserve">Comprehensive review of path planning techniques for unmanned aerial vehicles (UAVs)</w:t>
      </w:r>
      <w:r>
        <w:t xml:space="preserve">’</w:t>
      </w:r>
      <w:r>
        <w:t xml:space="preserve">, Dr. B.R. Ambedkar National Institute of Technology, Jalandhar.</w:t>
      </w:r>
    </w:p>
    <w:p>
      <w:pPr>
        <w:pStyle w:val="BodyText"/>
      </w:pPr>
      <w:r>
        <w:t xml:space="preserve">Leong, W.L., Cao, J. and Teo, R.S.H. (2024)</w:t>
      </w:r>
      <w:r>
        <w:t xml:space="preserve"> </w:t>
      </w:r>
      <w:r>
        <w:t xml:space="preserve">‘</w:t>
      </w:r>
      <w:r>
        <w:t xml:space="preserve">Dynamic decentralized 3D urban coverage and patrol with UAVs</w:t>
      </w:r>
      <w:r>
        <w:t xml:space="preserve">’</w:t>
      </w:r>
      <w:r>
        <w:t xml:space="preserve">. arXiv:2406.09828v1.</w:t>
      </w:r>
    </w:p>
    <w:p>
      <w:pPr>
        <w:pStyle w:val="BodyText"/>
      </w:pPr>
      <w:r>
        <w:t xml:space="preserve">Li, W., Wang, Z., Guan, C., Chen, C., Wang, B., Ren, P. and Qiu, Y. (2026)</w:t>
      </w:r>
      <w:r>
        <w:t xml:space="preserve"> </w:t>
      </w:r>
      <w:r>
        <w:t xml:space="preserve">‘</w:t>
      </w:r>
      <w:r>
        <w:t xml:space="preserve">Formation control of swarm robotics: a survey from biological inspirations to design automation methods</w:t>
      </w:r>
      <w:r>
        <w:t xml:space="preserve">’</w:t>
      </w:r>
      <w:r>
        <w:t xml:space="preserve">,</w:t>
      </w:r>
      <w:r>
        <w:t xml:space="preserve"> </w:t>
      </w:r>
      <w:r>
        <w:rPr>
          <w:i/>
        </w:rPr>
        <w:t xml:space="preserve">Robotics and Autonomous Systems</w:t>
      </w:r>
      <w:r>
        <w:t xml:space="preserve">, 196, 105245.</w:t>
      </w:r>
    </w:p>
    <w:p>
      <w:pPr>
        <w:pStyle w:val="BodyText"/>
      </w:pPr>
      <w:r>
        <w:t xml:space="preserve">Mondal, M.S., Ramasamy, S., Humann, J.D., Dotterweich, J.M., Reddinger, J.-P.F., Childers, M.A. and Bhounsule, P. (2024)</w:t>
      </w:r>
      <w:r>
        <w:t xml:space="preserve"> </w:t>
      </w:r>
      <w:r>
        <w:t xml:space="preserve">‘</w:t>
      </w:r>
      <w:r>
        <w:t xml:space="preserve">A robust UAV-UGV collaborative framework for persistent surveillance in disaster management applications</w:t>
      </w:r>
      <w:r>
        <w:t xml:space="preserve">’</w:t>
      </w:r>
      <w:r>
        <w:t xml:space="preserve">,</w:t>
      </w:r>
      <w:r>
        <w:t xml:space="preserve"> </w:t>
      </w:r>
      <w:r>
        <w:rPr>
          <w:i/>
        </w:rPr>
        <w:t xml:space="preserve">2024 International Conference on Unmanned Aircraft Systems (ICUAS)</w:t>
      </w:r>
      <w:r>
        <w:t xml:space="preserve">.</w:t>
      </w:r>
    </w:p>
    <w:p>
      <w:pPr>
        <w:pStyle w:val="BodyText"/>
      </w:pPr>
      <w:r>
        <w:t xml:space="preserve">Reynolds, C.W. (1987)</w:t>
      </w:r>
      <w:r>
        <w:t xml:space="preserve"> </w:t>
      </w:r>
      <w:r>
        <w:t xml:space="preserve">‘</w:t>
      </w:r>
      <w:r>
        <w:t xml:space="preserve">Flocks, herds, and schools: a distributed behavioral model</w:t>
      </w:r>
      <w:r>
        <w:t xml:space="preserve">’</w:t>
      </w:r>
      <w:r>
        <w:t xml:space="preserve">,</w:t>
      </w:r>
      <w:r>
        <w:t xml:space="preserve"> </w:t>
      </w:r>
      <w:r>
        <w:rPr>
          <w:i/>
        </w:rPr>
        <w:t xml:space="preserve">Computer Graphics</w:t>
      </w:r>
      <w:r>
        <w:t xml:space="preserve">, 21(4), pp. 25–34.</w:t>
      </w:r>
    </w:p>
    <w:p>
      <w:pPr>
        <w:pStyle w:val="BodyText"/>
      </w:pPr>
      <w:r>
        <w:t xml:space="preserve">Schulman, J., Wolski, F., Dhariwal, P., Radford, A. and Klimov, O. (2017)</w:t>
      </w:r>
      <w:r>
        <w:t xml:space="preserve"> </w:t>
      </w:r>
      <w:r>
        <w:t xml:space="preserve">‘</w:t>
      </w:r>
      <w:r>
        <w:t xml:space="preserve">Proximal policy optimization algorithms</w:t>
      </w:r>
      <w:r>
        <w:t xml:space="preserve">’</w:t>
      </w:r>
      <w:r>
        <w:t xml:space="preserve">. arXiv:1707.06347.</w:t>
      </w:r>
    </w:p>
    <w:p>
      <w:pPr>
        <w:pStyle w:val="BodyText"/>
      </w:pPr>
      <w:r>
        <w:t xml:space="preserve">Shang, Z., Qi, J., Peng, Y., Wang, M., Wu, C. and Ping, Y. (2025)</w:t>
      </w:r>
      <w:r>
        <w:t xml:space="preserve"> </w:t>
      </w:r>
      <w:r>
        <w:t xml:space="preserve">‘</w:t>
      </w:r>
      <w:r>
        <w:t xml:space="preserve">DEBS: decentralized exploration planning for multi-UAV systems using bio-inspired self-aggregation mechanism</w:t>
      </w:r>
      <w:r>
        <w:t xml:space="preserve">’</w:t>
      </w:r>
      <w:r>
        <w:t xml:space="preserve">,</w:t>
      </w:r>
      <w:r>
        <w:t xml:space="preserve"> </w:t>
      </w:r>
      <w:r>
        <w:rPr>
          <w:i/>
        </w:rPr>
        <w:t xml:space="preserve">Physical Communication</w:t>
      </w:r>
      <w:r>
        <w:t xml:space="preserve">, 73, 102898.</w:t>
      </w:r>
    </w:p>
    <w:p>
      <w:pPr>
        <w:pStyle w:val="BodyText"/>
      </w:pPr>
      <w:r>
        <w:t xml:space="preserve">Sun, T., Guo, N., Gu, H., Peng, Y. and Feng, Z. (2025)</w:t>
      </w:r>
      <w:r>
        <w:t xml:space="preserve"> </w:t>
      </w:r>
      <w:r>
        <w:t xml:space="preserve">‘</w:t>
      </w:r>
      <w:r>
        <w:t xml:space="preserve">Integrated communication and control for energy-efficient UAV swarms: a multi-agent reinforcement learning approach</w:t>
      </w:r>
      <w:r>
        <w:t xml:space="preserve">’</w:t>
      </w:r>
      <w:r>
        <w:t xml:space="preserve">. arXiv:2509.23905v1.</w:t>
      </w:r>
    </w:p>
    <w:p>
      <w:pPr>
        <w:pStyle w:val="BodyText"/>
      </w:pPr>
      <w:r>
        <w:t xml:space="preserve">Wang, X. and Gursoy, M.C.</w:t>
      </w:r>
      <w:r>
        <w:t xml:space="preserve"> </w:t>
      </w:r>
      <w:r>
        <w:t xml:space="preserve">‘</w:t>
      </w:r>
      <w:r>
        <w:t xml:space="preserve">Robust and decentralized reinforcement learning for UAV path planning in IoT networks</w:t>
      </w:r>
      <w:r>
        <w:t xml:space="preserve">’</w:t>
      </w:r>
      <w:r>
        <w:t xml:space="preserve">, Syracuse University.</w:t>
      </w:r>
    </w:p>
    <w:p>
      <w:pPr>
        <w:pStyle w:val="BodyText"/>
      </w:pPr>
      <w:r>
        <w:t xml:space="preserve">Xie, Z., Wang, Q., Kong, B. and Gao, S. (2025)</w:t>
      </w:r>
      <w:r>
        <w:t xml:space="preserve"> </w:t>
      </w:r>
      <w:r>
        <w:t xml:space="preserve">‘</w:t>
      </w:r>
      <w:r>
        <w:t xml:space="preserve">Enhanced coverage path planning strategies for UAV swarms based on SADQN algorithm</w:t>
      </w:r>
      <w:r>
        <w:t xml:space="preserve">’</w:t>
      </w:r>
      <w:r>
        <w:t xml:space="preserve">,</w:t>
      </w:r>
      <w:r>
        <w:t xml:space="preserve"> </w:t>
      </w:r>
      <w:r>
        <w:rPr>
          <w:i/>
        </w:rPr>
        <w:t xml:space="preserve">Computers, Materials &amp; Continua</w:t>
      </w:r>
      <w:r>
        <w:t xml:space="preserve">. doi:10.32604/cmc.2025.064147.</w:t>
      </w:r>
    </w:p>
    <w:p>
      <w:pPr>
        <w:pStyle w:val="BodyText"/>
      </w:pPr>
      <w:r>
        <w:t xml:space="preserve">Xu, X., Yan, X., Yang, W., An, K., Huang, W. and Wang, Y. (2022)</w:t>
      </w:r>
      <w:r>
        <w:t xml:space="preserve"> </w:t>
      </w:r>
      <w:r>
        <w:t xml:space="preserve">‘</w:t>
      </w:r>
      <w:r>
        <w:t xml:space="preserve">Algorithms and applications of intelligent swarm cooperative control: a comprehensive survey</w:t>
      </w:r>
      <w:r>
        <w:t xml:space="preserve">’</w:t>
      </w:r>
      <w:r>
        <w:t xml:space="preserve">,</w:t>
      </w:r>
      <w:r>
        <w:t xml:space="preserve"> </w:t>
      </w:r>
      <w:r>
        <w:rPr>
          <w:i/>
        </w:rPr>
        <w:t xml:space="preserve">Progress in Aerospace Sciences</w:t>
      </w:r>
      <w:r>
        <w:t xml:space="preserve">, 135, 100869.</w:t>
      </w:r>
    </w:p>
    <w:p>
      <w:pPr>
        <w:pStyle w:val="BodyText"/>
      </w:pPr>
      <w:r>
        <w:t xml:space="preserve">Yu, J., Zhang, H. and Zhang, Y. (2025)</w:t>
      </w:r>
      <w:r>
        <w:t xml:space="preserve"> </w:t>
      </w:r>
      <w:r>
        <w:t xml:space="preserve">‘</w:t>
      </w:r>
      <w:r>
        <w:t xml:space="preserve">Distributed UAV swarms for 3D urban area coverage with incomplete information using event-triggered hierarchical reinforcement learning</w:t>
      </w:r>
      <w:r>
        <w:t xml:space="preserve">’</w:t>
      </w:r>
      <w:r>
        <w:t xml:space="preserve">,</w:t>
      </w:r>
      <w:r>
        <w:t xml:space="preserve"> </w:t>
      </w:r>
      <w:r>
        <w:rPr>
          <w:i/>
        </w:rPr>
        <w:t xml:space="preserve">Computers &amp; Industrial Engineering</w:t>
      </w:r>
      <w:r>
        <w:t xml:space="preserve">, 199, 110734.</w:t>
      </w:r>
    </w:p>
    <w:p>
      <w:pPr>
        <w:pStyle w:val="Heading1"/>
      </w:pPr>
      <w:bookmarkStart w:id="62" w:name="X0e9dc15cbb83ffe0b4feba3ef7684d4d1a8d81b"/>
      <w:r>
        <w:t xml:space="preserve">Section 3.7 — Justification of the 90% Coverage Criterion</w:t>
      </w:r>
      <w:bookmarkEnd w:id="62"/>
    </w:p>
    <w:p>
      <w:pPr>
        <w:pStyle w:val="FirstParagraph"/>
      </w:pPr>
      <w:r>
        <w:rPr>
          <w:i/>
        </w:rPr>
        <w:t xml:space="preserve">Insert into Chapter 3 (Methodology), immediately after the definition of the coverage metric and before the description of the seed sets.</w:t>
      </w:r>
    </w:p>
    <w:p>
      <w:r>
        <w:pict>
          <v:rect style="width:0;height:1.5pt" o:hralign="center" o:hrstd="t" o:hr="t"/>
        </w:pict>
      </w:r>
    </w:p>
    <w:p>
      <w:pPr>
        <w:pStyle w:val="Heading2"/>
      </w:pPr>
      <w:bookmarkStart w:id="63" w:name="why-the-threshold-needs-justifying"/>
      <w:r>
        <w:t xml:space="preserve">3.7.1 Why the threshold needs justifying</w:t>
      </w:r>
      <w:bookmarkEnd w:id="63"/>
    </w:p>
    <w:p>
      <w:pPr>
        <w:pStyle w:val="FirstParagraph"/>
      </w:pPr>
      <w:r>
        <w:t xml:space="preserve">The research question sets a success threshold of ≥90% area coverage. A threshold used as a pass/fail criterion has to come from somewhere. If it comes from an operational standard, it should be cited. If it is a modelling choice, it should be declared as one. Leaving it unstated invites the obvious question of whether it was chosen after seeing the results.</w:t>
      </w:r>
    </w:p>
    <w:p>
      <w:pPr>
        <w:pStyle w:val="BodyText"/>
      </w:pPr>
      <w:r>
        <w:t xml:space="preserve">This section states the origin of the figure, sets out the limits of that origin, and records the criterion as a pre-specified decision rule.</w:t>
      </w:r>
    </w:p>
    <w:p>
      <w:pPr>
        <w:pStyle w:val="Heading2"/>
      </w:pPr>
      <w:bookmarkStart w:id="64" w:name="X623ca9abf374630ecd5de15ca4c9dc9e0a0d5e8"/>
      <w:r>
        <w:t xml:space="preserve">3.7.2 Operational origin: probability of detection in search and rescue</w:t>
      </w:r>
      <w:bookmarkEnd w:id="64"/>
    </w:p>
    <w:p>
      <w:pPr>
        <w:pStyle w:val="FirstParagraph"/>
      </w:pPr>
      <w:r>
        <w:t xml:space="preserve">The 90% figure is taken from search-and-rescue planning practice, where the governing quantity is not area swept but</w:t>
      </w:r>
      <w:r>
        <w:t xml:space="preserve"> </w:t>
      </w:r>
      <w:r>
        <w:rPr>
          <w:b/>
        </w:rPr>
        <w:t xml:space="preserve">probability of detection (POD)</w:t>
      </w:r>
      <w:r>
        <w:t xml:space="preserve"> </w:t>
      </w:r>
      <w:r>
        <w:t xml:space="preserve">— the probability that a searcher or sensor detects a target given that the target is inside the searched region.</w:t>
      </w:r>
    </w:p>
    <w:p>
      <w:pPr>
        <w:pStyle w:val="BodyText"/>
      </w:pPr>
      <w:r>
        <w:t xml:space="preserve">In formal search theory, POD is a function of the</w:t>
      </w:r>
      <w:r>
        <w:t xml:space="preserve"> </w:t>
      </w:r>
      <w:r>
        <w:rPr>
          <w:b/>
        </w:rPr>
        <w:t xml:space="preserve">coverage factor</w:t>
      </w:r>
      <w:r>
        <w:t xml:space="preserve"> </w:t>
      </w:r>
      <w:r>
        <w:rPr>
          <w:i/>
        </w:rPr>
        <w:t xml:space="preserve">C</w:t>
      </w:r>
      <w:r>
        <w:t xml:space="preserve">:</w:t>
      </w:r>
    </w:p>
    <w:p>
      <w:pPr>
        <w:pStyle w:val="BlockText"/>
      </w:pPr>
      <w:r>
        <w:t xml:space="preserve">C = (number of searchers × distance travelled × sweep width) / (size of the area being searched)</w:t>
      </w:r>
    </w:p>
    <w:p>
      <w:pPr>
        <w:pStyle w:val="FirstParagraph"/>
      </w:pPr>
      <w:r>
        <w:t xml:space="preserve">where sweep width is the effective lateral detection range of the searcher (Perkins, 2013).</w:t>
      </w:r>
    </w:p>
    <w:p>
      <w:pPr>
        <w:pStyle w:val="BodyText"/>
      </w:pPr>
      <w:r>
        <w:t xml:space="preserve">Perkins (2013), writing for the Centre for Search Research, gives the operational figure directly. Working through an area-search planning example, he states:</w:t>
      </w:r>
    </w:p>
    <w:p>
      <w:pPr>
        <w:pStyle w:val="BlockText"/>
      </w:pPr>
      <w:r>
        <w:t xml:space="preserve">“</w:t>
      </w:r>
      <w:r>
        <w:t xml:space="preserve">From the PoD curve for searching an area we can see that to achieve a PoD of 90% we need coverage of 1.2.</w:t>
      </w:r>
      <w:r>
        <w:t xml:space="preserve">”</w:t>
      </w:r>
    </w:p>
    <w:p>
      <w:pPr>
        <w:pStyle w:val="FirstParagraph"/>
      </w:pPr>
      <w:r>
        <w:t xml:space="preserve">The same document records the POD values that correspond to standard search tactics: a two-searcher route search at</w:t>
      </w:r>
      <w:r>
        <w:t xml:space="preserve"> </w:t>
      </w:r>
      <w:r>
        <w:rPr>
          <w:i/>
        </w:rPr>
        <w:t xml:space="preserve">C</w:t>
      </w:r>
      <w:r>
        <w:t xml:space="preserve"> </w:t>
      </w:r>
      <w:r>
        <w:t xml:space="preserve">= 1 yields POD 63%; a four-searcher line at Critical Separation yields</w:t>
      </w:r>
      <w:r>
        <w:t xml:space="preserve"> </w:t>
      </w:r>
      <w:r>
        <w:rPr>
          <w:i/>
        </w:rPr>
        <w:t xml:space="preserve">C</w:t>
      </w:r>
      <w:r>
        <w:t xml:space="preserve"> </w:t>
      </w:r>
      <w:r>
        <w:t xml:space="preserve">= ½ and POD 72%; searchers at half Critical Separation reach</w:t>
      </w:r>
      <w:r>
        <w:t xml:space="preserve"> </w:t>
      </w:r>
      <w:r>
        <w:rPr>
          <w:i/>
        </w:rPr>
        <w:t xml:space="preserve">C</w:t>
      </w:r>
      <w:r>
        <w:t xml:space="preserve"> </w:t>
      </w:r>
      <w:r>
        <w:t xml:space="preserve">= 1 and POD 87%; purposeful wandering at Critical Separation also reaches POD 87%.</w:t>
      </w:r>
    </w:p>
    <w:p>
      <w:pPr>
        <w:pStyle w:val="BodyText"/>
      </w:pPr>
      <w:r>
        <w:t xml:space="preserve">Two things follow. First,</w:t>
      </w:r>
      <w:r>
        <w:t xml:space="preserve"> </w:t>
      </w:r>
      <w:r>
        <w:rPr>
          <w:b/>
        </w:rPr>
        <w:t xml:space="preserve">90% POD is a recognised planning target in land SAR</w:t>
      </w:r>
      <w:r>
        <w:t xml:space="preserve">, not an arbitrary round number — it is the value a search manager plans searcher spacing to achieve. Second, it is a</w:t>
      </w:r>
      <w:r>
        <w:t xml:space="preserve"> </w:t>
      </w:r>
      <w:r>
        <w:rPr>
          <w:i/>
        </w:rPr>
        <w:t xml:space="preserve">demanding</w:t>
      </w:r>
      <w:r>
        <w:t xml:space="preserve"> </w:t>
      </w:r>
      <w:r>
        <w:t xml:space="preserve">target: none of the standard tactics reaches it, and achieving it requires deliberately tightening searcher spacing to roughly 42% of Critical Separation.</w:t>
      </w:r>
    </w:p>
    <w:p>
      <w:pPr>
        <w:pStyle w:val="BodyText"/>
      </w:pPr>
      <w:r>
        <w:t xml:space="preserve">The same POD-versus-coverage framework underpins the United States National Search and Rescue Supplement to the IAMSAR Manual and its Land SAR Addendum, which are the governing planning documents for US SAR operations and which express incident objectives in POD terms.</w:t>
      </w:r>
    </w:p>
    <w:p>
      <w:pPr>
        <w:pStyle w:val="BodyText"/>
      </w:pPr>
      <w:r>
        <w:t xml:space="preserve">A comparable figure appears in the UAV literature. He et al. report that their swarm framework achieves an average coverage rate</w:t>
      </w:r>
      <w:r>
        <w:t xml:space="preserve"> </w:t>
      </w:r>
      <w:r>
        <w:t xml:space="preserve">“</w:t>
      </w:r>
      <w:r>
        <w:t xml:space="preserve">evidently above 90%</w:t>
      </w:r>
      <w:r>
        <w:t xml:space="preserve">”</w:t>
      </w:r>
      <w:r>
        <w:t xml:space="preserve"> </w:t>
      </w:r>
      <w:r>
        <w:t xml:space="preserve">across ground-user counts from 30 to 50, treating 90% as the level at which a deployment is considered acceptable.</w:t>
      </w:r>
    </w:p>
    <w:p>
      <w:pPr>
        <w:pStyle w:val="Heading2"/>
      </w:pPr>
      <w:bookmarkStart w:id="65" w:name="the-construct-mismatch-stated-plainly"/>
      <w:r>
        <w:t xml:space="preserve">3.7.3 The construct mismatch, stated plainly</w:t>
      </w:r>
      <w:bookmarkEnd w:id="65"/>
    </w:p>
    <w:p>
      <w:pPr>
        <w:pStyle w:val="FirstParagraph"/>
      </w:pPr>
      <w:r>
        <w:t xml:space="preserve">The 90% used in this dissertation is</w:t>
      </w:r>
      <w:r>
        <w:t xml:space="preserve"> </w:t>
      </w:r>
      <w:r>
        <w:rPr>
          <w:b/>
        </w:rPr>
        <w:t xml:space="preserve">not</w:t>
      </w:r>
      <w:r>
        <w:t xml:space="preserve"> </w:t>
      </w:r>
      <w:r>
        <w:t xml:space="preserve">the same quantity as SAR probability of detection, and the difference must be acknowledged rather than glossed over.</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SAR probability of detection</w:t>
            </w:r>
          </w:p>
        </w:tc>
        <w:tc>
          <w:tcPr>
            <w:tcBorders>
              <w:bottom w:val="single"/>
            </w:tcBorders>
            <w:vAlign w:val="bottom"/>
          </w:tcPr>
          <w:p>
            <w:pPr>
              <w:pStyle w:val="Compact"/>
              <w:jc w:val="left"/>
            </w:pPr>
            <w:r>
              <w:t xml:space="preserve">This study’s coverage metric</w:t>
            </w:r>
          </w:p>
        </w:tc>
      </w:tr>
      <w:tr>
        <w:tc>
          <w:p>
            <w:pPr>
              <w:pStyle w:val="Compact"/>
              <w:jc w:val="left"/>
            </w:pPr>
            <w:r>
              <w:t xml:space="preserve">What is counted</w:t>
            </w:r>
          </w:p>
        </w:tc>
        <w:tc>
          <w:p>
            <w:pPr>
              <w:pStyle w:val="Compact"/>
              <w:jc w:val="left"/>
            </w:pPr>
            <w:r>
              <w:t xml:space="preserve">Probability the target is detected</w:t>
            </w:r>
          </w:p>
        </w:tc>
        <w:tc>
          <w:p>
            <w:pPr>
              <w:pStyle w:val="Compact"/>
              <w:jc w:val="left"/>
            </w:pPr>
            <w:r>
              <w:t xml:space="preserve">Fraction of free grid cells entered at least once</w:t>
            </w:r>
          </w:p>
        </w:tc>
      </w:tr>
      <w:tr>
        <w:tc>
          <w:p>
            <w:pPr>
              <w:pStyle w:val="Compact"/>
              <w:jc w:val="left"/>
            </w:pPr>
            <w:r>
              <w:t xml:space="preserve">Sensor model</w:t>
            </w:r>
          </w:p>
        </w:tc>
        <w:tc>
          <w:p>
            <w:pPr>
              <w:pStyle w:val="Compact"/>
              <w:jc w:val="left"/>
            </w:pPr>
            <w:r>
              <w:t xml:space="preserve">Probabilistic, with sweep width and lateral-range curve</w:t>
            </w:r>
          </w:p>
        </w:tc>
        <w:tc>
          <w:p>
            <w:pPr>
              <w:pStyle w:val="Compact"/>
              <w:jc w:val="left"/>
            </w:pPr>
            <w:r>
              <w:t xml:space="preserve">Deterministic — entering a cell reveals it with certainty</w:t>
            </w:r>
          </w:p>
        </w:tc>
      </w:tr>
      <w:tr>
        <w:tc>
          <w:p>
            <w:pPr>
              <w:pStyle w:val="Compact"/>
              <w:jc w:val="left"/>
            </w:pPr>
            <w:r>
              <w:t xml:space="preserve">Can exceed by searching harder?</w:t>
            </w:r>
          </w:p>
        </w:tc>
        <w:tc>
          <w:p>
            <w:pPr>
              <w:pStyle w:val="Compact"/>
              <w:jc w:val="left"/>
            </w:pPr>
            <w:r>
              <w:t xml:space="preserve">Yes, POD rises with coverage factor above 1</w:t>
            </w:r>
          </w:p>
        </w:tc>
        <w:tc>
          <w:p>
            <w:pPr>
              <w:pStyle w:val="Compact"/>
              <w:jc w:val="left"/>
            </w:pPr>
            <w:r>
              <w:t xml:space="preserve">No, capped at 100%</w:t>
            </w:r>
          </w:p>
        </w:tc>
      </w:tr>
      <w:tr>
        <w:tc>
          <w:p>
            <w:pPr>
              <w:pStyle w:val="Compact"/>
              <w:jc w:val="left"/>
            </w:pPr>
            <w:r>
              <w:t xml:space="preserve">Depends on target properties</w:t>
            </w:r>
          </w:p>
        </w:tc>
        <w:tc>
          <w:p>
            <w:pPr>
              <w:pStyle w:val="Compact"/>
              <w:jc w:val="left"/>
            </w:pPr>
            <w:r>
              <w:t xml:space="preserve">Yes (size, colour, terrain, vegetation)</w:t>
            </w:r>
          </w:p>
        </w:tc>
        <w:tc>
          <w:p>
            <w:pPr>
              <w:pStyle w:val="Compact"/>
              <w:jc w:val="left"/>
            </w:pPr>
            <w:r>
              <w:t xml:space="preserve">No</w:t>
            </w:r>
          </w:p>
        </w:tc>
      </w:tr>
    </w:tbl>
    <w:p>
      <w:pPr>
        <w:pStyle w:val="BodyText"/>
      </w:pPr>
      <w:r>
        <w:t xml:space="preserve">Because this study’s UAVs have a deterministic, perfect single-cell sensor, its coverage metric is an</w:t>
      </w:r>
      <w:r>
        <w:t xml:space="preserve"> </w:t>
      </w:r>
      <w:r>
        <w:rPr>
          <w:b/>
        </w:rPr>
        <w:t xml:space="preserve">upper bound</w:t>
      </w:r>
      <w:r>
        <w:t xml:space="preserve"> </w:t>
      </w:r>
      <w:r>
        <w:t xml:space="preserve">on what a real system with an imperfect sensor would achieve. A controller reaching 90% cell coverage here would achieve less than 90% POD in the field, because a real sensor sometimes fails to detect a target in a cell it passes over.</w:t>
      </w:r>
    </w:p>
    <w:p>
      <w:pPr>
        <w:pStyle w:val="BodyText"/>
      </w:pPr>
      <w:r>
        <w:t xml:space="preserve">The threshold is therefore best understood as follows:</w:t>
      </w:r>
    </w:p>
    <w:p>
      <w:pPr>
        <w:pStyle w:val="BlockText"/>
      </w:pPr>
      <w:r>
        <w:rPr>
          <w:b/>
        </w:rPr>
        <w:t xml:space="preserve">The 90% criterion is a decision rule adopted for this study, motivated by the 90% POD planning target used in land search and rescue (Perkins, 2013), but operationalised as deterministic cell coverage rather than probabilistic detection. It is a necessary condition for field-relevant performance, not a sufficient one.</w:t>
      </w:r>
    </w:p>
    <w:p>
      <w:pPr>
        <w:pStyle w:val="FirstParagraph"/>
      </w:pPr>
      <w:r>
        <w:t xml:space="preserve">That is the honest formulation and it is defensible under examination. Claiming the metric</w:t>
      </w:r>
      <w:r>
        <w:t xml:space="preserve"> </w:t>
      </w:r>
      <w:r>
        <w:rPr>
          <w:i/>
        </w:rPr>
        <w:t xml:space="preserve">is</w:t>
      </w:r>
      <w:r>
        <w:t xml:space="preserve"> </w:t>
      </w:r>
      <w:r>
        <w:t xml:space="preserve">an operational standard would not be.</w:t>
      </w:r>
    </w:p>
    <w:p>
      <w:pPr>
        <w:pStyle w:val="Heading2"/>
      </w:pPr>
      <w:bookmarkStart w:id="66" w:name="status-as-a-pre-specified-criterion"/>
      <w:r>
        <w:t xml:space="preserve">3.7.4 Status as a pre-specified criterion</w:t>
      </w:r>
      <w:bookmarkEnd w:id="66"/>
    </w:p>
    <w:p>
      <w:pPr>
        <w:pStyle w:val="FirstParagraph"/>
      </w:pPr>
      <w:r>
        <w:t xml:space="preserve">The threshold was fixed in the project proposal before any experiment was run, and is not adjusted in light of the results. This matters because the outcome is unfavourable to the study’s original hypothesis: the PPO controller does not reach 90% at any obstacle density, on either seed set. Retaining the criterion unchanged is what makes that a finding rather than a moved goalpost.</w:t>
      </w:r>
    </w:p>
    <w:p>
      <w:pPr>
        <w:pStyle w:val="BodyText"/>
      </w:pPr>
      <w:r>
        <w:t xml:space="preserve">Three secondary criteria are reported alongside the threshold so that a reader who considers 90% too strict or too lenient can still interpret the results:</w:t>
      </w:r>
    </w:p>
    <w:p>
      <w:pPr>
        <w:numPr>
          <w:ilvl w:val="0"/>
          <w:numId w:val="1010"/>
        </w:numPr>
        <w:pStyle w:val="Compact"/>
      </w:pPr>
      <w:r>
        <w:rPr>
          <w:b/>
        </w:rPr>
        <w:t xml:space="preserve">Mean coverage with a 95% bootstrap confidence interval</w:t>
      </w:r>
      <w:r>
        <w:t xml:space="preserve"> </w:t>
      </w:r>
      <w:r>
        <w:t xml:space="preserve">at every method × density × seed-set cell, so the distance from any threshold can be read directly.</w:t>
      </w:r>
    </w:p>
    <w:p>
      <w:pPr>
        <w:numPr>
          <w:ilvl w:val="0"/>
          <w:numId w:val="1010"/>
        </w:numPr>
        <w:pStyle w:val="Compact"/>
      </w:pPr>
      <w:r>
        <w:rPr>
          <w:b/>
        </w:rPr>
        <w:t xml:space="preserve">The proportion of runs at or above 90%</w:t>
      </w:r>
      <w:r>
        <w:t xml:space="preserve">, which shows the spread rather than only the centre. This distinguishes a controller that is consistently at 88% from one that averages 88% by mixing 95% and 80% runs.</w:t>
      </w:r>
    </w:p>
    <w:p>
      <w:pPr>
        <w:numPr>
          <w:ilvl w:val="0"/>
          <w:numId w:val="1010"/>
        </w:numPr>
        <w:pStyle w:val="Compact"/>
      </w:pPr>
      <w:r>
        <w:rPr>
          <w:b/>
        </w:rPr>
        <w:t xml:space="preserve">A one-sided Wilcoxon signed-rank test of coverage against the 90% value</w:t>
      </w:r>
      <w:r>
        <w:t xml:space="preserve">, Holm-corrected, which converts the threshold from an eyeball comparison into a decision with a stated error rate. Results are reported in Table S4.</w:t>
      </w:r>
    </w:p>
    <w:p>
      <w:pPr>
        <w:pStyle w:val="Heading2"/>
      </w:pPr>
      <w:bookmarkStart w:id="67" w:name="X2fffca739f3d3a4f2df1eb7352325ba95528935"/>
      <w:r>
        <w:t xml:space="preserve">3.7.5 Sensitivity of the conclusions to the threshold</w:t>
      </w:r>
      <w:bookmarkEnd w:id="67"/>
    </w:p>
    <w:p>
      <w:pPr>
        <w:pStyle w:val="FirstParagraph"/>
      </w:pPr>
      <w:r>
        <w:t xml:space="preserve">Because the threshold is a choice, the sensitivity of the conclusions to it should be stated. Counting the eight method × density × seed-set cells per controller, and judging by mean coverage: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APF</w:t>
            </w:r>
          </w:p>
        </w:tc>
        <w:tc>
          <w:tcPr>
            <w:tcBorders>
              <w:bottom w:val="single"/>
            </w:tcBorders>
            <w:vAlign w:val="bottom"/>
          </w:tcPr>
          <w:p>
            <w:pPr>
              <w:pStyle w:val="Compact"/>
              <w:jc w:val="left"/>
            </w:pPr>
            <w:r>
              <w:t xml:space="preserve">Boids</w:t>
            </w:r>
          </w:p>
        </w:tc>
        <w:tc>
          <w:tcPr>
            <w:tcBorders>
              <w:bottom w:val="single"/>
            </w:tcBorders>
            <w:vAlign w:val="bottom"/>
          </w:tcPr>
          <w:p>
            <w:pPr>
              <w:pStyle w:val="Compact"/>
              <w:jc w:val="left"/>
            </w:pPr>
            <w:r>
              <w:t xml:space="preserve">PPO</w:t>
            </w:r>
          </w:p>
        </w:tc>
      </w:tr>
      <w:tr>
        <w:tc>
          <w:p>
            <w:pPr>
              <w:pStyle w:val="Compact"/>
              <w:jc w:val="left"/>
            </w:pPr>
            <w:r>
              <w:rPr>
                <w:b/>
              </w:rPr>
              <w:t xml:space="preserve">90%</w:t>
            </w:r>
          </w:p>
        </w:tc>
        <w:tc>
          <w:p>
            <w:pPr>
              <w:pStyle w:val="Compact"/>
              <w:jc w:val="left"/>
            </w:pPr>
            <w:r>
              <w:t xml:space="preserve">8/8 cells pass</w:t>
            </w:r>
          </w:p>
        </w:tc>
        <w:tc>
          <w:p>
            <w:pPr>
              <w:pStyle w:val="Compact"/>
              <w:jc w:val="left"/>
            </w:pPr>
            <w:r>
              <w:t xml:space="preserve">0/8</w:t>
            </w:r>
          </w:p>
        </w:tc>
        <w:tc>
          <w:p>
            <w:pPr>
              <w:pStyle w:val="Compact"/>
              <w:jc w:val="left"/>
            </w:pPr>
            <w:r>
              <w:t xml:space="preserve">0/8</w:t>
            </w:r>
          </w:p>
        </w:tc>
      </w:tr>
      <w:tr>
        <w:tc>
          <w:p>
            <w:pPr>
              <w:pStyle w:val="Compact"/>
              <w:jc w:val="left"/>
            </w:pPr>
            <w:r>
              <w:rPr>
                <w:b/>
              </w:rPr>
              <w:t xml:space="preserve">85%</w:t>
            </w:r>
          </w:p>
        </w:tc>
        <w:tc>
          <w:p>
            <w:pPr>
              <w:pStyle w:val="Compact"/>
              <w:jc w:val="left"/>
            </w:pPr>
            <w:r>
              <w:t xml:space="preserve">8/8</w:t>
            </w:r>
          </w:p>
        </w:tc>
        <w:tc>
          <w:p>
            <w:pPr>
              <w:pStyle w:val="Compact"/>
              <w:jc w:val="left"/>
            </w:pPr>
            <w:r>
              <w:t xml:space="preserve">6/8 (fails at 30% density, both sets)</w:t>
            </w:r>
          </w:p>
        </w:tc>
        <w:tc>
          <w:p>
            <w:pPr>
              <w:pStyle w:val="Compact"/>
              <w:jc w:val="left"/>
            </w:pPr>
            <w:r>
              <w:t xml:space="preserve">5/8 (fails at 20% and 30% on Set A, 30% on Set B)</w:t>
            </w:r>
          </w:p>
        </w:tc>
      </w:tr>
      <w:tr>
        <w:tc>
          <w:p>
            <w:pPr>
              <w:pStyle w:val="Compact"/>
              <w:jc w:val="left"/>
            </w:pPr>
            <w:r>
              <w:rPr>
                <w:b/>
              </w:rPr>
              <w:t xml:space="preserve">80%</w:t>
            </w:r>
          </w:p>
        </w:tc>
        <w:tc>
          <w:p>
            <w:pPr>
              <w:pStyle w:val="Compact"/>
              <w:jc w:val="left"/>
            </w:pPr>
            <w:r>
              <w:t xml:space="preserve">8/8</w:t>
            </w:r>
          </w:p>
        </w:tc>
        <w:tc>
          <w:p>
            <w:pPr>
              <w:pStyle w:val="Compact"/>
              <w:jc w:val="left"/>
            </w:pPr>
            <w:r>
              <w:t xml:space="preserve">8/8</w:t>
            </w:r>
          </w:p>
        </w:tc>
        <w:tc>
          <w:p>
            <w:pPr>
              <w:pStyle w:val="Compact"/>
              <w:jc w:val="left"/>
            </w:pPr>
            <w:r>
              <w:t xml:space="preserve">8/8</w:t>
            </w:r>
          </w:p>
        </w:tc>
      </w:tr>
    </w:tbl>
    <w:p>
      <w:pPr>
        <w:pStyle w:val="BodyText"/>
      </w:pPr>
      <w:r>
        <w:t xml:space="preserve">Two clarifications on the 90% row. Judged by mean alone APF clears 90% in all eight cells, but the one-sided Wilcoxon test in Table S4 is stricter: it finds APF</w:t>
      </w:r>
      <w:r>
        <w:t xml:space="preserve"> </w:t>
      </w:r>
      <w:r>
        <w:rPr>
          <w:i/>
        </w:rPr>
        <w:t xml:space="preserve">significantly</w:t>
      </w:r>
      <w:r>
        <w:t xml:space="preserve"> </w:t>
      </w:r>
      <w:r>
        <w:t xml:space="preserve">above 90% in six cells and statistically indistinguishable from 90% in the two 0%-density cells, where the mean sits just above the line at 90.55% and 90.19%. The test result, not the raw mean, is what should be reported.</w:t>
      </w:r>
    </w:p>
    <w:p>
      <w:pPr>
        <w:pStyle w:val="BodyText"/>
      </w:pPr>
      <w:r>
        <w:t xml:space="preserve">The ranking of the three controllers — APF &gt; Boids ≥ PPO — is unchanged at every threshold. The threshold determines how many methods are labelled successful; it does not determine which method is best. This matters because it shows the central finding does not depend on the choice of criterion. Had the threshold been set at 80%, all three methods would have passed and the study would have produced no discrimination at all; had it been set at 95%, none would have passed. The 90% value happens to sit at the point of maximum discrimination between the three controllers, which is convenient but was not the reason for choosing it, and the coincidence should be acknowledged rather than presented as design.</w:t>
      </w:r>
    </w:p>
    <w:p>
      <w:r>
        <w:pict>
          <v:rect style="width:0;height:1.5pt" o:hralign="center" o:hrstd="t" o:hr="t"/>
        </w:pict>
      </w:r>
    </w:p>
    <w:p>
      <w:pPr>
        <w:pStyle w:val="Heading2"/>
      </w:pPr>
      <w:bookmarkStart w:id="68" w:name="references-for-this-section"/>
      <w:r>
        <w:t xml:space="preserve">References for this section</w:t>
      </w:r>
      <w:bookmarkEnd w:id="68"/>
    </w:p>
    <w:p>
      <w:pPr>
        <w:pStyle w:val="FirstParagraph"/>
      </w:pPr>
      <w:r>
        <w:t xml:space="preserve">Perkins, D. (2013)</w:t>
      </w:r>
      <w:r>
        <w:t xml:space="preserve"> </w:t>
      </w:r>
      <w:r>
        <w:rPr>
          <w:i/>
        </w:rPr>
        <w:t xml:space="preserve">Probability of Detection for the Search Manager</w:t>
      </w:r>
      <w:r>
        <w:t xml:space="preserve">. Ashington: The Centre for Search Research. Available at: https://tcsr.org.uk/media/fsldirix/2013-probability-of-detection-for-the-search-manager.pdf</w:t>
      </w:r>
    </w:p>
    <w:p>
      <w:pPr>
        <w:pStyle w:val="BodyText"/>
      </w:pPr>
      <w:r>
        <w:t xml:space="preserve">Perkins, D. and Lovelock, D. (2008)</w:t>
      </w:r>
      <w:r>
        <w:t xml:space="preserve"> </w:t>
      </w:r>
      <w:r>
        <w:rPr>
          <w:i/>
        </w:rPr>
        <w:t xml:space="preserve">Lateral Range Curves, Search Probabilities, and Grid Searching</w:t>
      </w:r>
      <w:r>
        <w:t xml:space="preserve">. The Centre for Search Research.</w:t>
      </w:r>
    </w:p>
    <w:p>
      <w:pPr>
        <w:pStyle w:val="BodyText"/>
      </w:pPr>
      <w:r>
        <w:t xml:space="preserve">United States Coast Guard (2018)</w:t>
      </w:r>
      <w:r>
        <w:t xml:space="preserve"> </w:t>
      </w:r>
      <w:r>
        <w:rPr>
          <w:i/>
        </w:rPr>
        <w:t xml:space="preserve">United States National Search and Rescue Supplement to the International Aeronautical and Maritime Search and Rescue Manual</w:t>
      </w:r>
      <w:r>
        <w:t xml:space="preserve">. Washington, DC: National Search and Rescue Committee.</w:t>
      </w:r>
    </w:p>
    <w:p>
      <w:pPr>
        <w:pStyle w:val="BodyText"/>
      </w:pPr>
      <w:r>
        <w:t xml:space="preserve">National Search and Rescue Committee,</w:t>
      </w:r>
      <w:r>
        <w:t xml:space="preserve"> </w:t>
      </w:r>
      <w:r>
        <w:rPr>
          <w:i/>
        </w:rPr>
        <w:t xml:space="preserve">Land Search and Rescue Addendum to the National Search and Rescue Supplement</w:t>
      </w:r>
      <w:r>
        <w:t xml:space="preserve">. Available at: https://www.dco.uscg.mil/Portals/9/CG-5R/nsarc/Land_SAR_Addendum/</w:t>
      </w:r>
    </w:p>
    <w:p>
      <w:pPr>
        <w:pStyle w:val="BodyText"/>
      </w:pPr>
      <w:r>
        <w:t xml:space="preserve">United States Coast Guard,</w:t>
      </w:r>
      <w:r>
        <w:t xml:space="preserve"> </w:t>
      </w:r>
      <w:r>
        <w:rPr>
          <w:i/>
        </w:rPr>
        <w:t xml:space="preserve">The Theory of Search — A Simplified Explanation</w:t>
      </w:r>
      <w:r>
        <w:t xml:space="preserve">. Available at: https://navcen.uscg.gov/sites/default/files/pdf/Theory_of_Search.pdf</w:t>
      </w:r>
    </w:p>
    <w:p>
      <w:pPr>
        <w:pStyle w:val="BodyText"/>
      </w:pPr>
      <w:r>
        <w:t xml:space="preserve">He, J., Jia, Z., Dong, C., Liu, J., Wu, Q. and Liu, J.</w:t>
      </w:r>
      <w:r>
        <w:t xml:space="preserve"> </w:t>
      </w:r>
      <w:r>
        <w:t xml:space="preserve">‘</w:t>
      </w:r>
      <w:r>
        <w:t xml:space="preserve">UAV swarm deployment and trajectory for 3D area coverage via reinforcement learning</w:t>
      </w:r>
      <w:r>
        <w:t xml:space="preserve">’</w:t>
      </w:r>
      <w:r>
        <w:t xml:space="preserve">, Nanjing University of Aeronautics and Astronautics.</w:t>
      </w:r>
    </w:p>
    <w:p>
      <w:pPr>
        <w:pStyle w:val="Heading1"/>
      </w:pPr>
      <w:bookmarkStart w:id="69" w:name="chapter-4-results"/>
      <w:r>
        <w:t xml:space="preserve">Chapter 4 — Results</w:t>
      </w:r>
      <w:bookmarkEnd w:id="69"/>
    </w:p>
    <w:p>
      <w:pPr>
        <w:pStyle w:val="FirstParagraph"/>
      </w:pPr>
      <w:r>
        <w:t xml:space="preserve">This chapter reports what was measured. It contains no interpretation, no explanation of why the pattern occurred, and no discussion of implications; those appear in Chapter 5. Every number quoted here is reproduced from</w:t>
      </w:r>
      <w:r>
        <w:t xml:space="preserve"> </w:t>
      </w:r>
      <w:r>
        <w:rPr>
          <w:rStyle w:val="VerbatimChar"/>
        </w:rPr>
        <w:t xml:space="preserve">code/analysis/results/statistical_tests.txt</w:t>
      </w:r>
      <w:r>
        <w:t xml:space="preserve"> </w:t>
      </w:r>
      <w:r>
        <w:t xml:space="preserve">and the four CSV files written alongside it.</w:t>
      </w:r>
    </w:p>
    <w:p>
      <w:r>
        <w:pict>
          <v:rect style="width:0;height:1.5pt" o:hralign="center" o:hrstd="t" o:hr="t"/>
        </w:pict>
      </w:r>
    </w:p>
    <w:p>
      <w:pPr>
        <w:pStyle w:val="Heading2"/>
      </w:pPr>
      <w:bookmarkStart w:id="70" w:name="analysis-procedure"/>
      <w:r>
        <w:t xml:space="preserve">4.1 Analysis procedure</w:t>
      </w:r>
      <w:bookmarkEnd w:id="70"/>
    </w:p>
    <w:p>
      <w:pPr>
        <w:pStyle w:val="FirstParagraph"/>
      </w:pPr>
      <w:r>
        <w:rPr>
          <w:b/>
        </w:rPr>
        <w:t xml:space="preserve">Data.</w:t>
      </w:r>
      <w:r>
        <w:t xml:space="preserve"> </w:t>
      </w:r>
      <w:r>
        <w:t xml:space="preserve">All results are drawn from the experiment files written on 23 June 2026 (</w:t>
      </w:r>
      <w:r>
        <w:rPr>
          <w:rStyle w:val="VerbatimChar"/>
        </w:rPr>
        <w:t xml:space="preserve">phase2_boids/results/</w:t>
      </w:r>
      <w:r>
        <w:t xml:space="preserve">,</w:t>
      </w:r>
      <w:r>
        <w:t xml:space="preserve"> </w:t>
      </w:r>
      <w:r>
        <w:rPr>
          <w:rStyle w:val="VerbatimChar"/>
        </w:rPr>
        <w:t xml:space="preserve">phase3_apf/results/</w:t>
      </w:r>
      <w:r>
        <w:t xml:space="preserve">,</w:t>
      </w:r>
      <w:r>
        <w:t xml:space="preserve"> </w:t>
      </w:r>
      <w:r>
        <w:rPr>
          <w:rStyle w:val="VerbatimChar"/>
        </w:rPr>
        <w:t xml:space="preserve">phase4_ppo/results/</w:t>
      </w:r>
      <w:r>
        <w:t xml:space="preserve">), which are the files consistent with the current experiment scripts. An earlier set of files in</w:t>
      </w:r>
      <w:r>
        <w:t xml:space="preserve"> </w:t>
      </w:r>
      <w:r>
        <w:rPr>
          <w:rStyle w:val="VerbatimChar"/>
        </w:rPr>
        <w:t xml:space="preserve">compare/results/</w:t>
      </w:r>
      <w:r>
        <w:t xml:space="preserve">, written on 23 May 2026 with a 500-step episode budget, was excluded; the reasons are given in Section 4.7.</w:t>
      </w:r>
    </w:p>
    <w:p>
      <w:pPr>
        <w:pStyle w:val="BodyText"/>
      </w:pPr>
      <w:r>
        <w:rPr>
          <w:b/>
        </w:rPr>
        <w:t xml:space="preserve">Sample.</w:t>
      </w:r>
      <w:r>
        <w:t xml:space="preserve"> </w:t>
      </w:r>
      <w:r>
        <w:t xml:space="preserve">50 runs per cell, 3 methods × 4 obstacle densities × 2 seed sets = 1,200 runs.</w:t>
      </w:r>
    </w:p>
    <w:p>
      <w:pPr>
        <w:pStyle w:val="BodyText"/>
      </w:pPr>
      <w:r>
        <w:rPr>
          <w:b/>
        </w:rPr>
        <w:t xml:space="preserve">Test selection.</w:t>
      </w:r>
      <w:r>
        <w:t xml:space="preserve"> </w:t>
      </w:r>
      <w:r>
        <w:t xml:space="preserve">Coverage distributions were screened for normality with the Shapiro–Wilk test.</w:t>
      </w:r>
      <w:r>
        <w:t xml:space="preserve"> </w:t>
      </w:r>
      <w:r>
        <w:rPr>
          <w:b/>
        </w:rPr>
        <w:t xml:space="preserve">Nineteen of the twenty-four</w:t>
      </w:r>
      <w:r>
        <w:t xml:space="preserve"> </w:t>
      </w:r>
      <w:r>
        <w:t xml:space="preserve">condition-level distributions depart from normality at α = 0.05, including all eight APF cells (W = 0.733 to 0.912, all p ≤ 0.0012). Rank-based tests were therefore used as primary. The per-cell Shapiro–Wilk statistics are in</w:t>
      </w:r>
      <w:r>
        <w:t xml:space="preserve"> </w:t>
      </w:r>
      <w:r>
        <w:rPr>
          <w:rStyle w:val="VerbatimChar"/>
        </w:rPr>
        <w:t xml:space="preserve">stats_descriptive.csv</w:t>
      </w:r>
      <w:r>
        <w:t xml:space="preserve">.</w:t>
      </w:r>
    </w:p>
    <w:p>
      <w:pPr>
        <w:pStyle w:val="BodyText"/>
      </w:pPr>
      <w:r>
        <w:t xml:space="preserve">The</w:t>
      </w:r>
      <w:r>
        <w:t xml:space="preserve"> </w:t>
      </w:r>
      <w:r>
        <w:rPr>
          <w:b/>
        </w:rPr>
        <w:t xml:space="preserve">Mann-Whitney U test</w:t>
      </w:r>
      <w:r>
        <w:t xml:space="preserve"> </w:t>
      </w:r>
      <w:r>
        <w:t xml:space="preserve">is the primary test for all comparisons. The design was intended to be matched — the same seed replayed across all three controllers — but the environment generator does not implement that intent (Section 4.7), so the samples are treated as independent. Paired Wilcoxon signed-rank results are reported as a sensitivity analysis only.</w:t>
      </w:r>
    </w:p>
    <w:p>
      <w:pPr>
        <w:pStyle w:val="BodyText"/>
      </w:pPr>
      <w:r>
        <w:rPr>
          <w:b/>
        </w:rPr>
        <w:t xml:space="preserve">Correction.</w:t>
      </w:r>
      <w:r>
        <w:t xml:space="preserve"> </w:t>
      </w:r>
      <w:r>
        <w:t xml:space="preserve">Holm–Bonferroni correction was applied within each family of comparisons: 12 pairwise tests per seed set, 12 generalisation tests, 24 threshold tests.</w:t>
      </w:r>
    </w:p>
    <w:p>
      <w:pPr>
        <w:pStyle w:val="BodyText"/>
      </w:pPr>
      <w:r>
        <w:rPr>
          <w:b/>
        </w:rPr>
        <w:t xml:space="preserve">Effect sizes.</w:t>
      </w:r>
      <w:r>
        <w:t xml:space="preserve"> </w:t>
      </w:r>
      <w:r>
        <w:t xml:space="preserve">Cliff’s delta is reported for every comparison, with the conventional bands: negligible &lt; 0.147, small &lt; 0.33, medium &lt; 0.474, large ≥ 0.474.</w:t>
      </w:r>
    </w:p>
    <w:p>
      <w:pPr>
        <w:pStyle w:val="BodyText"/>
      </w:pPr>
      <w:r>
        <w:rPr>
          <w:b/>
        </w:rPr>
        <w:t xml:space="preserve">Intervals.</w:t>
      </w:r>
      <w:r>
        <w:t xml:space="preserve"> </w:t>
      </w:r>
      <w:r>
        <w:t xml:space="preserve">All confidence intervals are bootstrap percentile intervals from 10,000 resamples, seeded at 20260729.</w:t>
      </w:r>
    </w:p>
    <w:p>
      <w:r>
        <w:pict>
          <v:rect style="width:0;height:1.5pt" o:hralign="center" o:hrstd="t" o:hr="t"/>
        </w:pict>
      </w:r>
    </w:p>
    <w:p>
      <w:pPr>
        <w:pStyle w:val="Heading2"/>
      </w:pPr>
      <w:bookmarkStart w:id="71" w:name="descriptive-statistics"/>
      <w:r>
        <w:t xml:space="preserve">4.2 Descriptive statistics</w:t>
      </w:r>
      <w:bookmarkEnd w:id="71"/>
    </w:p>
    <w:p>
      <w:pPr>
        <w:pStyle w:val="Heading3"/>
      </w:pPr>
      <w:bookmarkStart w:id="72" w:name="table-4.1-mean-coverage-seed-set-a"/>
      <w:r>
        <w:t xml:space="preserve">Table 4.1 — Mean coverage (%), Seed Set A</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Density</w:t>
            </w:r>
          </w:p>
        </w:tc>
        <w:tc>
          <w:tcPr>
            <w:tcBorders>
              <w:bottom w:val="single"/>
            </w:tcBorders>
            <w:vAlign w:val="bottom"/>
          </w:tcPr>
          <w:p>
            <w:pPr>
              <w:pStyle w:val="Compact"/>
              <w:jc w:val="left"/>
            </w:pPr>
            <w:r>
              <w:t xml:space="preserve">Boids</w:t>
            </w:r>
          </w:p>
        </w:tc>
        <w:tc>
          <w:tcPr>
            <w:tcBorders>
              <w:bottom w:val="single"/>
            </w:tcBorders>
            <w:vAlign w:val="bottom"/>
          </w:tcPr>
          <w:p>
            <w:pPr>
              <w:pStyle w:val="Compact"/>
              <w:jc w:val="left"/>
            </w:pPr>
            <w:r>
              <w:t xml:space="preserve">APF</w:t>
            </w:r>
          </w:p>
        </w:tc>
        <w:tc>
          <w:tcPr>
            <w:tcBorders>
              <w:bottom w:val="single"/>
            </w:tcBorders>
            <w:vAlign w:val="bottom"/>
          </w:tcPr>
          <w:p>
            <w:pPr>
              <w:pStyle w:val="Compact"/>
              <w:jc w:val="left"/>
            </w:pPr>
            <w:r>
              <w:t xml:space="preserve">PPO</w:t>
            </w:r>
          </w:p>
        </w:tc>
      </w:tr>
      <w:tr>
        <w:tc>
          <w:p>
            <w:pPr>
              <w:pStyle w:val="Compact"/>
              <w:jc w:val="left"/>
            </w:pPr>
            <w:r>
              <w:t xml:space="preserve">0%</w:t>
            </w:r>
          </w:p>
        </w:tc>
        <w:tc>
          <w:p>
            <w:pPr>
              <w:pStyle w:val="Compact"/>
              <w:jc w:val="left"/>
            </w:pPr>
            <w:r>
              <w:t xml:space="preserve">86.69 ± 5.36</w:t>
            </w:r>
          </w:p>
        </w:tc>
        <w:tc>
          <w:p>
            <w:pPr>
              <w:pStyle w:val="Compact"/>
              <w:jc w:val="left"/>
            </w:pPr>
            <w:r>
              <w:rPr>
                <w:b/>
              </w:rPr>
              <w:t xml:space="preserve">90.55 ± 4.51</w:t>
            </w:r>
          </w:p>
        </w:tc>
        <w:tc>
          <w:p>
            <w:pPr>
              <w:pStyle w:val="Compact"/>
              <w:jc w:val="left"/>
            </w:pPr>
            <w:r>
              <w:t xml:space="preserve">85.46 ± 4.80</w:t>
            </w:r>
          </w:p>
        </w:tc>
      </w:tr>
      <w:tr>
        <w:tc>
          <w:p>
            <w:pPr>
              <w:pStyle w:val="Compact"/>
              <w:jc w:val="left"/>
            </w:pPr>
            <w:r>
              <w:t xml:space="preserve">10%</w:t>
            </w:r>
          </w:p>
        </w:tc>
        <w:tc>
          <w:p>
            <w:pPr>
              <w:pStyle w:val="Compact"/>
              <w:jc w:val="left"/>
            </w:pPr>
            <w:r>
              <w:t xml:space="preserve">85.48 ± 5.09</w:t>
            </w:r>
          </w:p>
        </w:tc>
        <w:tc>
          <w:p>
            <w:pPr>
              <w:pStyle w:val="Compact"/>
              <w:jc w:val="left"/>
            </w:pPr>
            <w:r>
              <w:rPr>
                <w:b/>
              </w:rPr>
              <w:t xml:space="preserve">92.02 ± 4.54</w:t>
            </w:r>
          </w:p>
        </w:tc>
        <w:tc>
          <w:p>
            <w:pPr>
              <w:pStyle w:val="Compact"/>
              <w:jc w:val="left"/>
            </w:pPr>
            <w:r>
              <w:t xml:space="preserve">85.68 ± 5.62</w:t>
            </w:r>
          </w:p>
        </w:tc>
      </w:tr>
      <w:tr>
        <w:tc>
          <w:p>
            <w:pPr>
              <w:pStyle w:val="Compact"/>
              <w:jc w:val="left"/>
            </w:pPr>
            <w:r>
              <w:t xml:space="preserve">20%</w:t>
            </w:r>
          </w:p>
        </w:tc>
        <w:tc>
          <w:p>
            <w:pPr>
              <w:pStyle w:val="Compact"/>
              <w:jc w:val="left"/>
            </w:pPr>
            <w:r>
              <w:t xml:space="preserve">86.41 ± 6.17</w:t>
            </w:r>
          </w:p>
        </w:tc>
        <w:tc>
          <w:p>
            <w:pPr>
              <w:pStyle w:val="Compact"/>
              <w:jc w:val="left"/>
            </w:pPr>
            <w:r>
              <w:rPr>
                <w:b/>
              </w:rPr>
              <w:t xml:space="preserve">93.52 ± 3.72</w:t>
            </w:r>
          </w:p>
        </w:tc>
        <w:tc>
          <w:p>
            <w:pPr>
              <w:pStyle w:val="Compact"/>
              <w:jc w:val="left"/>
            </w:pPr>
            <w:r>
              <w:t xml:space="preserve">83.80 ± 6.58</w:t>
            </w:r>
          </w:p>
        </w:tc>
      </w:tr>
      <w:tr>
        <w:tc>
          <w:p>
            <w:pPr>
              <w:pStyle w:val="Compact"/>
              <w:jc w:val="left"/>
            </w:pPr>
            <w:r>
              <w:t xml:space="preserve">30%</w:t>
            </w:r>
          </w:p>
        </w:tc>
        <w:tc>
          <w:p>
            <w:pPr>
              <w:pStyle w:val="Compact"/>
              <w:jc w:val="left"/>
            </w:pPr>
            <w:r>
              <w:t xml:space="preserve">83.16 ± 7.11</w:t>
            </w:r>
          </w:p>
        </w:tc>
        <w:tc>
          <w:p>
            <w:pPr>
              <w:pStyle w:val="Compact"/>
              <w:jc w:val="left"/>
            </w:pPr>
            <w:r>
              <w:rPr>
                <w:b/>
              </w:rPr>
              <w:t xml:space="preserve">93.49 ± 3.89</w:t>
            </w:r>
          </w:p>
        </w:tc>
        <w:tc>
          <w:p>
            <w:pPr>
              <w:pStyle w:val="Compact"/>
              <w:jc w:val="left"/>
            </w:pPr>
            <w:r>
              <w:t xml:space="preserve">82.11 ± 6.66</w:t>
            </w:r>
          </w:p>
        </w:tc>
      </w:tr>
    </w:tbl>
    <w:p>
      <w:pPr>
        <w:pStyle w:val="BodyText"/>
      </w:pPr>
      <w:r>
        <w:rPr>
          <w:i/>
        </w:rPr>
        <w:t xml:space="preserve">Values are mean ± standard deviation, n = 50.</w:t>
      </w:r>
    </w:p>
    <w:p>
      <w:pPr>
        <w:pStyle w:val="Heading3"/>
      </w:pPr>
      <w:bookmarkStart w:id="73" w:name="table-4.2-mean-coverage-seed-set-b"/>
      <w:r>
        <w:t xml:space="preserve">Table 4.2 — Mean coverage (%), Seed Set B</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Density</w:t>
            </w:r>
          </w:p>
        </w:tc>
        <w:tc>
          <w:tcPr>
            <w:tcBorders>
              <w:bottom w:val="single"/>
            </w:tcBorders>
            <w:vAlign w:val="bottom"/>
          </w:tcPr>
          <w:p>
            <w:pPr>
              <w:pStyle w:val="Compact"/>
              <w:jc w:val="left"/>
            </w:pPr>
            <w:r>
              <w:t xml:space="preserve">Boids</w:t>
            </w:r>
          </w:p>
        </w:tc>
        <w:tc>
          <w:tcPr>
            <w:tcBorders>
              <w:bottom w:val="single"/>
            </w:tcBorders>
            <w:vAlign w:val="bottom"/>
          </w:tcPr>
          <w:p>
            <w:pPr>
              <w:pStyle w:val="Compact"/>
              <w:jc w:val="left"/>
            </w:pPr>
            <w:r>
              <w:t xml:space="preserve">APF</w:t>
            </w:r>
          </w:p>
        </w:tc>
        <w:tc>
          <w:tcPr>
            <w:tcBorders>
              <w:bottom w:val="single"/>
            </w:tcBorders>
            <w:vAlign w:val="bottom"/>
          </w:tcPr>
          <w:p>
            <w:pPr>
              <w:pStyle w:val="Compact"/>
              <w:jc w:val="left"/>
            </w:pPr>
            <w:r>
              <w:t xml:space="preserve">PPO</w:t>
            </w:r>
          </w:p>
        </w:tc>
      </w:tr>
      <w:tr>
        <w:tc>
          <w:p>
            <w:pPr>
              <w:pStyle w:val="Compact"/>
              <w:jc w:val="left"/>
            </w:pPr>
            <w:r>
              <w:t xml:space="preserve">0%</w:t>
            </w:r>
          </w:p>
        </w:tc>
        <w:tc>
          <w:p>
            <w:pPr>
              <w:pStyle w:val="Compact"/>
              <w:jc w:val="left"/>
            </w:pPr>
            <w:r>
              <w:t xml:space="preserve">87.08 ± 4.28</w:t>
            </w:r>
          </w:p>
        </w:tc>
        <w:tc>
          <w:p>
            <w:pPr>
              <w:pStyle w:val="Compact"/>
              <w:jc w:val="left"/>
            </w:pPr>
            <w:r>
              <w:rPr>
                <w:b/>
              </w:rPr>
              <w:t xml:space="preserve">90.19 ± 4.06</w:t>
            </w:r>
          </w:p>
        </w:tc>
        <w:tc>
          <w:p>
            <w:pPr>
              <w:pStyle w:val="Compact"/>
              <w:jc w:val="left"/>
            </w:pPr>
            <w:r>
              <w:t xml:space="preserve">85.68 ± 5.29</w:t>
            </w:r>
          </w:p>
        </w:tc>
      </w:tr>
      <w:tr>
        <w:tc>
          <w:p>
            <w:pPr>
              <w:pStyle w:val="Compact"/>
              <w:jc w:val="left"/>
            </w:pPr>
            <w:r>
              <w:t xml:space="preserve">10%</w:t>
            </w:r>
          </w:p>
        </w:tc>
        <w:tc>
          <w:p>
            <w:pPr>
              <w:pStyle w:val="Compact"/>
              <w:jc w:val="left"/>
            </w:pPr>
            <w:r>
              <w:t xml:space="preserve">86.22 ± 5.49</w:t>
            </w:r>
          </w:p>
        </w:tc>
        <w:tc>
          <w:p>
            <w:pPr>
              <w:pStyle w:val="Compact"/>
              <w:jc w:val="left"/>
            </w:pPr>
            <w:r>
              <w:rPr>
                <w:b/>
              </w:rPr>
              <w:t xml:space="preserve">93.85 ± 3.09</w:t>
            </w:r>
          </w:p>
        </w:tc>
        <w:tc>
          <w:p>
            <w:pPr>
              <w:pStyle w:val="Compact"/>
              <w:jc w:val="left"/>
            </w:pPr>
            <w:r>
              <w:t xml:space="preserve">85.98 ± 5.76</w:t>
            </w:r>
          </w:p>
        </w:tc>
      </w:tr>
      <w:tr>
        <w:tc>
          <w:p>
            <w:pPr>
              <w:pStyle w:val="Compact"/>
              <w:jc w:val="left"/>
            </w:pPr>
            <w:r>
              <w:t xml:space="preserve">20%</w:t>
            </w:r>
          </w:p>
        </w:tc>
        <w:tc>
          <w:p>
            <w:pPr>
              <w:pStyle w:val="Compact"/>
              <w:jc w:val="left"/>
            </w:pPr>
            <w:r>
              <w:t xml:space="preserve">86.62 ± 5.91</w:t>
            </w:r>
          </w:p>
        </w:tc>
        <w:tc>
          <w:p>
            <w:pPr>
              <w:pStyle w:val="Compact"/>
              <w:jc w:val="left"/>
            </w:pPr>
            <w:r>
              <w:rPr>
                <w:b/>
              </w:rPr>
              <w:t xml:space="preserve">94.18 ± 4.26</w:t>
            </w:r>
          </w:p>
        </w:tc>
        <w:tc>
          <w:p>
            <w:pPr>
              <w:pStyle w:val="Compact"/>
              <w:jc w:val="left"/>
            </w:pPr>
            <w:r>
              <w:t xml:space="preserve">85.85 ± 6.21</w:t>
            </w:r>
          </w:p>
        </w:tc>
      </w:tr>
      <w:tr>
        <w:tc>
          <w:p>
            <w:pPr>
              <w:pStyle w:val="Compact"/>
              <w:jc w:val="left"/>
            </w:pPr>
            <w:r>
              <w:t xml:space="preserve">30%</w:t>
            </w:r>
          </w:p>
        </w:tc>
        <w:tc>
          <w:p>
            <w:pPr>
              <w:pStyle w:val="Compact"/>
              <w:jc w:val="left"/>
            </w:pPr>
            <w:r>
              <w:t xml:space="preserve">83.97 ± 6.55</w:t>
            </w:r>
          </w:p>
        </w:tc>
        <w:tc>
          <w:p>
            <w:pPr>
              <w:pStyle w:val="Compact"/>
              <w:jc w:val="left"/>
            </w:pPr>
            <w:r>
              <w:rPr>
                <w:b/>
              </w:rPr>
              <w:t xml:space="preserve">93.97 ± 4.37</w:t>
            </w:r>
          </w:p>
        </w:tc>
        <w:tc>
          <w:p>
            <w:pPr>
              <w:pStyle w:val="Compact"/>
              <w:jc w:val="left"/>
            </w:pPr>
            <w:r>
              <w:t xml:space="preserve">82.80 ± 5.70</w:t>
            </w:r>
          </w:p>
        </w:tc>
      </w:tr>
    </w:tbl>
    <w:p>
      <w:pPr>
        <w:pStyle w:val="Heading3"/>
      </w:pPr>
      <w:bookmarkStart w:id="74" w:name="X9fa2eaf6ec35a80e3f2817501b032a4c9b21565"/>
      <w:r>
        <w:t xml:space="preserve">Table 4.3 — 95% bootstrap confidence intervals and runs reaching 90%, Seed Set A</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Density</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Mean</w:t>
            </w:r>
          </w:p>
        </w:tc>
        <w:tc>
          <w:tcPr>
            <w:tcBorders>
              <w:bottom w:val="single"/>
            </w:tcBorders>
            <w:vAlign w:val="bottom"/>
          </w:tcPr>
          <w:p>
            <w:pPr>
              <w:pStyle w:val="Compact"/>
              <w:jc w:val="left"/>
            </w:pPr>
            <w:r>
              <w:t xml:space="preserve">95% CI</w:t>
            </w:r>
          </w:p>
        </w:tc>
        <w:tc>
          <w:tcPr>
            <w:tcBorders>
              <w:bottom w:val="single"/>
            </w:tcBorders>
            <w:vAlign w:val="bottom"/>
          </w:tcPr>
          <w:p>
            <w:pPr>
              <w:pStyle w:val="Compact"/>
              <w:jc w:val="left"/>
            </w:pPr>
            <w:r>
              <w:t xml:space="preserve">Median</w:t>
            </w:r>
          </w:p>
        </w:tc>
        <w:tc>
          <w:tcPr>
            <w:tcBorders>
              <w:bottom w:val="single"/>
            </w:tcBorders>
            <w:vAlign w:val="bottom"/>
          </w:tcPr>
          <w:p>
            <w:pPr>
              <w:pStyle w:val="Compact"/>
              <w:jc w:val="left"/>
            </w:pPr>
            <w:r>
              <w:t xml:space="preserve">Runs ≥ 90%</w:t>
            </w:r>
          </w:p>
        </w:tc>
      </w:tr>
      <w:tr>
        <w:tc>
          <w:p>
            <w:pPr>
              <w:pStyle w:val="Compact"/>
              <w:jc w:val="left"/>
            </w:pPr>
            <w:r>
              <w:t xml:space="preserve">0%</w:t>
            </w:r>
          </w:p>
        </w:tc>
        <w:tc>
          <w:p>
            <w:pPr>
              <w:pStyle w:val="Compact"/>
              <w:jc w:val="left"/>
            </w:pPr>
            <w:r>
              <w:t xml:space="preserve">Boids</w:t>
            </w:r>
          </w:p>
        </w:tc>
        <w:tc>
          <w:p>
            <w:pPr>
              <w:pStyle w:val="Compact"/>
              <w:jc w:val="left"/>
            </w:pPr>
            <w:r>
              <w:t xml:space="preserve">86.69</w:t>
            </w:r>
          </w:p>
        </w:tc>
        <w:tc>
          <w:p>
            <w:pPr>
              <w:pStyle w:val="Compact"/>
              <w:jc w:val="left"/>
            </w:pPr>
            <w:r>
              <w:t xml:space="preserve">[85.21, 88.15]</w:t>
            </w:r>
          </w:p>
        </w:tc>
        <w:tc>
          <w:p>
            <w:pPr>
              <w:pStyle w:val="Compact"/>
              <w:jc w:val="left"/>
            </w:pPr>
            <w:r>
              <w:t xml:space="preserve">87.90</w:t>
            </w:r>
          </w:p>
        </w:tc>
        <w:tc>
          <w:p>
            <w:pPr>
              <w:pStyle w:val="Compact"/>
              <w:jc w:val="left"/>
            </w:pPr>
            <w:r>
              <w:t xml:space="preserve">16/50</w:t>
            </w:r>
          </w:p>
        </w:tc>
      </w:tr>
      <w:tr>
        <w:tc>
          <w:p>
            <w:pPr>
              <w:pStyle w:val="Compact"/>
              <w:jc w:val="left"/>
            </w:pPr>
            <w:r>
              <w:t xml:space="preserve">0%</w:t>
            </w:r>
          </w:p>
        </w:tc>
        <w:tc>
          <w:p>
            <w:pPr>
              <w:pStyle w:val="Compact"/>
              <w:jc w:val="left"/>
            </w:pPr>
            <w:r>
              <w:t xml:space="preserve">APF</w:t>
            </w:r>
          </w:p>
        </w:tc>
        <w:tc>
          <w:p>
            <w:pPr>
              <w:pStyle w:val="Compact"/>
              <w:jc w:val="left"/>
            </w:pPr>
            <w:r>
              <w:t xml:space="preserve">90.55</w:t>
            </w:r>
          </w:p>
        </w:tc>
        <w:tc>
          <w:p>
            <w:pPr>
              <w:pStyle w:val="Compact"/>
              <w:jc w:val="left"/>
            </w:pPr>
            <w:r>
              <w:t xml:space="preserve">[89.29, 91.74]</w:t>
            </w:r>
          </w:p>
        </w:tc>
        <w:tc>
          <w:p>
            <w:pPr>
              <w:pStyle w:val="Compact"/>
              <w:jc w:val="left"/>
            </w:pPr>
            <w:r>
              <w:t xml:space="preserve">91.14</w:t>
            </w:r>
          </w:p>
        </w:tc>
        <w:tc>
          <w:p>
            <w:pPr>
              <w:pStyle w:val="Compact"/>
              <w:jc w:val="left"/>
            </w:pPr>
            <w:r>
              <w:t xml:space="preserve">34/50</w:t>
            </w:r>
          </w:p>
        </w:tc>
      </w:tr>
      <w:tr>
        <w:tc>
          <w:p>
            <w:pPr>
              <w:pStyle w:val="Compact"/>
              <w:jc w:val="left"/>
            </w:pPr>
            <w:r>
              <w:t xml:space="preserve">0%</w:t>
            </w:r>
          </w:p>
        </w:tc>
        <w:tc>
          <w:p>
            <w:pPr>
              <w:pStyle w:val="Compact"/>
              <w:jc w:val="left"/>
            </w:pPr>
            <w:r>
              <w:t xml:space="preserve">PPO</w:t>
            </w:r>
          </w:p>
        </w:tc>
        <w:tc>
          <w:p>
            <w:pPr>
              <w:pStyle w:val="Compact"/>
              <w:jc w:val="left"/>
            </w:pPr>
            <w:r>
              <w:t xml:space="preserve">85.46</w:t>
            </w:r>
          </w:p>
        </w:tc>
        <w:tc>
          <w:p>
            <w:pPr>
              <w:pStyle w:val="Compact"/>
              <w:jc w:val="left"/>
            </w:pPr>
            <w:r>
              <w:t xml:space="preserve">[84.10, 86.75]</w:t>
            </w:r>
          </w:p>
        </w:tc>
        <w:tc>
          <w:p>
            <w:pPr>
              <w:pStyle w:val="Compact"/>
              <w:jc w:val="left"/>
            </w:pPr>
            <w:r>
              <w:t xml:space="preserve">86.08</w:t>
            </w:r>
          </w:p>
        </w:tc>
        <w:tc>
          <w:p>
            <w:pPr>
              <w:pStyle w:val="Compact"/>
              <w:jc w:val="left"/>
            </w:pPr>
            <w:r>
              <w:t xml:space="preserve">8/50</w:t>
            </w:r>
          </w:p>
        </w:tc>
      </w:tr>
      <w:tr>
        <w:tc>
          <w:p>
            <w:pPr>
              <w:pStyle w:val="Compact"/>
              <w:jc w:val="left"/>
            </w:pPr>
            <w:r>
              <w:t xml:space="preserve">10%</w:t>
            </w:r>
          </w:p>
        </w:tc>
        <w:tc>
          <w:p>
            <w:pPr>
              <w:pStyle w:val="Compact"/>
              <w:jc w:val="left"/>
            </w:pPr>
            <w:r>
              <w:t xml:space="preserve">Boids</w:t>
            </w:r>
          </w:p>
        </w:tc>
        <w:tc>
          <w:p>
            <w:pPr>
              <w:pStyle w:val="Compact"/>
              <w:jc w:val="left"/>
            </w:pPr>
            <w:r>
              <w:t xml:space="preserve">85.48</w:t>
            </w:r>
          </w:p>
        </w:tc>
        <w:tc>
          <w:p>
            <w:pPr>
              <w:pStyle w:val="Compact"/>
              <w:jc w:val="left"/>
            </w:pPr>
            <w:r>
              <w:t xml:space="preserve">[84.04, 86.83]</w:t>
            </w:r>
          </w:p>
        </w:tc>
        <w:tc>
          <w:p>
            <w:pPr>
              <w:pStyle w:val="Compact"/>
              <w:jc w:val="left"/>
            </w:pPr>
            <w:r>
              <w:t xml:space="preserve">86.65</w:t>
            </w:r>
          </w:p>
        </w:tc>
        <w:tc>
          <w:p>
            <w:pPr>
              <w:pStyle w:val="Compact"/>
              <w:jc w:val="left"/>
            </w:pPr>
            <w:r>
              <w:t xml:space="preserve">8/50</w:t>
            </w:r>
          </w:p>
        </w:tc>
      </w:tr>
      <w:tr>
        <w:tc>
          <w:p>
            <w:pPr>
              <w:pStyle w:val="Compact"/>
              <w:jc w:val="left"/>
            </w:pPr>
            <w:r>
              <w:t xml:space="preserve">10%</w:t>
            </w:r>
          </w:p>
        </w:tc>
        <w:tc>
          <w:p>
            <w:pPr>
              <w:pStyle w:val="Compact"/>
              <w:jc w:val="left"/>
            </w:pPr>
            <w:r>
              <w:t xml:space="preserve">APF</w:t>
            </w:r>
          </w:p>
        </w:tc>
        <w:tc>
          <w:p>
            <w:pPr>
              <w:pStyle w:val="Compact"/>
              <w:jc w:val="left"/>
            </w:pPr>
            <w:r>
              <w:t xml:space="preserve">92.02</w:t>
            </w:r>
          </w:p>
        </w:tc>
        <w:tc>
          <w:p>
            <w:pPr>
              <w:pStyle w:val="Compact"/>
              <w:jc w:val="left"/>
            </w:pPr>
            <w:r>
              <w:t xml:space="preserve">[90.68, 93.20]</w:t>
            </w:r>
          </w:p>
        </w:tc>
        <w:tc>
          <w:p>
            <w:pPr>
              <w:pStyle w:val="Compact"/>
              <w:jc w:val="left"/>
            </w:pPr>
            <w:r>
              <w:t xml:space="preserve">93.17</w:t>
            </w:r>
          </w:p>
        </w:tc>
        <w:tc>
          <w:p>
            <w:pPr>
              <w:pStyle w:val="Compact"/>
              <w:jc w:val="left"/>
            </w:pPr>
            <w:r>
              <w:t xml:space="preserve">37/50</w:t>
            </w:r>
          </w:p>
        </w:tc>
      </w:tr>
      <w:tr>
        <w:tc>
          <w:p>
            <w:pPr>
              <w:pStyle w:val="Compact"/>
              <w:jc w:val="left"/>
            </w:pPr>
            <w:r>
              <w:t xml:space="preserve">10%</w:t>
            </w:r>
          </w:p>
        </w:tc>
        <w:tc>
          <w:p>
            <w:pPr>
              <w:pStyle w:val="Compact"/>
              <w:jc w:val="left"/>
            </w:pPr>
            <w:r>
              <w:t xml:space="preserve">PPO</w:t>
            </w:r>
          </w:p>
        </w:tc>
        <w:tc>
          <w:p>
            <w:pPr>
              <w:pStyle w:val="Compact"/>
              <w:jc w:val="left"/>
            </w:pPr>
            <w:r>
              <w:t xml:space="preserve">85.68</w:t>
            </w:r>
          </w:p>
        </w:tc>
        <w:tc>
          <w:p>
            <w:pPr>
              <w:pStyle w:val="Compact"/>
              <w:jc w:val="left"/>
            </w:pPr>
            <w:r>
              <w:t xml:space="preserve">[84.09, 87.21]</w:t>
            </w:r>
          </w:p>
        </w:tc>
        <w:tc>
          <w:p>
            <w:pPr>
              <w:pStyle w:val="Compact"/>
              <w:jc w:val="left"/>
            </w:pPr>
            <w:r>
              <w:t xml:space="preserve">87.04</w:t>
            </w:r>
          </w:p>
        </w:tc>
        <w:tc>
          <w:p>
            <w:pPr>
              <w:pStyle w:val="Compact"/>
              <w:jc w:val="left"/>
            </w:pPr>
            <w:r>
              <w:t xml:space="preserve">11/50</w:t>
            </w:r>
          </w:p>
        </w:tc>
      </w:tr>
      <w:tr>
        <w:tc>
          <w:p>
            <w:pPr>
              <w:pStyle w:val="Compact"/>
              <w:jc w:val="left"/>
            </w:pPr>
            <w:r>
              <w:t xml:space="preserve">20%</w:t>
            </w:r>
          </w:p>
        </w:tc>
        <w:tc>
          <w:p>
            <w:pPr>
              <w:pStyle w:val="Compact"/>
              <w:jc w:val="left"/>
            </w:pPr>
            <w:r>
              <w:t xml:space="preserve">Boids</w:t>
            </w:r>
          </w:p>
        </w:tc>
        <w:tc>
          <w:p>
            <w:pPr>
              <w:pStyle w:val="Compact"/>
              <w:jc w:val="left"/>
            </w:pPr>
            <w:r>
              <w:t xml:space="preserve">86.41</w:t>
            </w:r>
          </w:p>
        </w:tc>
        <w:tc>
          <w:p>
            <w:pPr>
              <w:pStyle w:val="Compact"/>
              <w:jc w:val="left"/>
            </w:pPr>
            <w:r>
              <w:t xml:space="preserve">[84.71, 88.06]</w:t>
            </w:r>
          </w:p>
        </w:tc>
        <w:tc>
          <w:p>
            <w:pPr>
              <w:pStyle w:val="Compact"/>
              <w:jc w:val="left"/>
            </w:pPr>
            <w:r>
              <w:t xml:space="preserve">87.15</w:t>
            </w:r>
          </w:p>
        </w:tc>
        <w:tc>
          <w:p>
            <w:pPr>
              <w:pStyle w:val="Compact"/>
              <w:jc w:val="left"/>
            </w:pPr>
            <w:r>
              <w:t xml:space="preserve">18/50</w:t>
            </w:r>
          </w:p>
        </w:tc>
      </w:tr>
      <w:tr>
        <w:tc>
          <w:p>
            <w:pPr>
              <w:pStyle w:val="Compact"/>
              <w:jc w:val="left"/>
            </w:pPr>
            <w:r>
              <w:t xml:space="preserve">20%</w:t>
            </w:r>
          </w:p>
        </w:tc>
        <w:tc>
          <w:p>
            <w:pPr>
              <w:pStyle w:val="Compact"/>
              <w:jc w:val="left"/>
            </w:pPr>
            <w:r>
              <w:t xml:space="preserve">APF</w:t>
            </w:r>
          </w:p>
        </w:tc>
        <w:tc>
          <w:p>
            <w:pPr>
              <w:pStyle w:val="Compact"/>
              <w:jc w:val="left"/>
            </w:pPr>
            <w:r>
              <w:t xml:space="preserve">93.52</w:t>
            </w:r>
          </w:p>
        </w:tc>
        <w:tc>
          <w:p>
            <w:pPr>
              <w:pStyle w:val="Compact"/>
              <w:jc w:val="left"/>
            </w:pPr>
            <w:r>
              <w:t xml:space="preserve">[92.47, 94.49]</w:t>
            </w:r>
          </w:p>
        </w:tc>
        <w:tc>
          <w:p>
            <w:pPr>
              <w:pStyle w:val="Compact"/>
              <w:jc w:val="left"/>
            </w:pPr>
            <w:r>
              <w:t xml:space="preserve">94.44</w:t>
            </w:r>
          </w:p>
        </w:tc>
        <w:tc>
          <w:p>
            <w:pPr>
              <w:pStyle w:val="Compact"/>
              <w:jc w:val="left"/>
            </w:pPr>
            <w:r>
              <w:t xml:space="preserve">40/50</w:t>
            </w:r>
          </w:p>
        </w:tc>
      </w:tr>
      <w:tr>
        <w:tc>
          <w:p>
            <w:pPr>
              <w:pStyle w:val="Compact"/>
              <w:jc w:val="left"/>
            </w:pPr>
            <w:r>
              <w:t xml:space="preserve">20%</w:t>
            </w:r>
          </w:p>
        </w:tc>
        <w:tc>
          <w:p>
            <w:pPr>
              <w:pStyle w:val="Compact"/>
              <w:jc w:val="left"/>
            </w:pPr>
            <w:r>
              <w:t xml:space="preserve">PPO</w:t>
            </w:r>
          </w:p>
        </w:tc>
        <w:tc>
          <w:p>
            <w:pPr>
              <w:pStyle w:val="Compact"/>
              <w:jc w:val="left"/>
            </w:pPr>
            <w:r>
              <w:t xml:space="preserve">83.80</w:t>
            </w:r>
          </w:p>
        </w:tc>
        <w:tc>
          <w:p>
            <w:pPr>
              <w:pStyle w:val="Compact"/>
              <w:jc w:val="left"/>
            </w:pPr>
            <w:r>
              <w:t xml:space="preserve">[81.94, 85.60]</w:t>
            </w:r>
          </w:p>
        </w:tc>
        <w:tc>
          <w:p>
            <w:pPr>
              <w:pStyle w:val="Compact"/>
              <w:jc w:val="left"/>
            </w:pPr>
            <w:r>
              <w:t xml:space="preserve">85.26</w:t>
            </w:r>
          </w:p>
        </w:tc>
        <w:tc>
          <w:p>
            <w:pPr>
              <w:pStyle w:val="Compact"/>
              <w:jc w:val="left"/>
            </w:pPr>
            <w:r>
              <w:t xml:space="preserve">8/50</w:t>
            </w:r>
          </w:p>
        </w:tc>
      </w:tr>
      <w:tr>
        <w:tc>
          <w:p>
            <w:pPr>
              <w:pStyle w:val="Compact"/>
              <w:jc w:val="left"/>
            </w:pPr>
            <w:r>
              <w:t xml:space="preserve">30%</w:t>
            </w:r>
          </w:p>
        </w:tc>
        <w:tc>
          <w:p>
            <w:pPr>
              <w:pStyle w:val="Compact"/>
              <w:jc w:val="left"/>
            </w:pPr>
            <w:r>
              <w:t xml:space="preserve">Boids</w:t>
            </w:r>
          </w:p>
        </w:tc>
        <w:tc>
          <w:p>
            <w:pPr>
              <w:pStyle w:val="Compact"/>
              <w:jc w:val="left"/>
            </w:pPr>
            <w:r>
              <w:t xml:space="preserve">83.16</w:t>
            </w:r>
          </w:p>
        </w:tc>
        <w:tc>
          <w:p>
            <w:pPr>
              <w:pStyle w:val="Compact"/>
              <w:jc w:val="left"/>
            </w:pPr>
            <w:r>
              <w:t xml:space="preserve">[81.20, 85.08]</w:t>
            </w:r>
          </w:p>
        </w:tc>
        <w:tc>
          <w:p>
            <w:pPr>
              <w:pStyle w:val="Compact"/>
              <w:jc w:val="left"/>
            </w:pPr>
            <w:r>
              <w:t xml:space="preserve">83.51</w:t>
            </w:r>
          </w:p>
        </w:tc>
        <w:tc>
          <w:p>
            <w:pPr>
              <w:pStyle w:val="Compact"/>
              <w:jc w:val="left"/>
            </w:pPr>
            <w:r>
              <w:t xml:space="preserve">9/50</w:t>
            </w:r>
          </w:p>
        </w:tc>
      </w:tr>
      <w:tr>
        <w:tc>
          <w:p>
            <w:pPr>
              <w:pStyle w:val="Compact"/>
              <w:jc w:val="left"/>
            </w:pPr>
            <w:r>
              <w:t xml:space="preserve">30%</w:t>
            </w:r>
          </w:p>
        </w:tc>
        <w:tc>
          <w:p>
            <w:pPr>
              <w:pStyle w:val="Compact"/>
              <w:jc w:val="left"/>
            </w:pPr>
            <w:r>
              <w:t xml:space="preserve">APF</w:t>
            </w:r>
          </w:p>
        </w:tc>
        <w:tc>
          <w:p>
            <w:pPr>
              <w:pStyle w:val="Compact"/>
              <w:jc w:val="left"/>
            </w:pPr>
            <w:r>
              <w:t xml:space="preserve">93.49</w:t>
            </w:r>
          </w:p>
        </w:tc>
        <w:tc>
          <w:p>
            <w:pPr>
              <w:pStyle w:val="Compact"/>
              <w:jc w:val="left"/>
            </w:pPr>
            <w:r>
              <w:t xml:space="preserve">[92.37, 94.51]</w:t>
            </w:r>
          </w:p>
        </w:tc>
        <w:tc>
          <w:p>
            <w:pPr>
              <w:pStyle w:val="Compact"/>
              <w:jc w:val="left"/>
            </w:pPr>
            <w:r>
              <w:t xml:space="preserve">94.48</w:t>
            </w:r>
          </w:p>
        </w:tc>
        <w:tc>
          <w:p>
            <w:pPr>
              <w:pStyle w:val="Compact"/>
              <w:jc w:val="left"/>
            </w:pPr>
            <w:r>
              <w:t xml:space="preserve">41/50</w:t>
            </w:r>
          </w:p>
        </w:tc>
      </w:tr>
      <w:tr>
        <w:tc>
          <w:p>
            <w:pPr>
              <w:pStyle w:val="Compact"/>
              <w:jc w:val="left"/>
            </w:pPr>
            <w:r>
              <w:t xml:space="preserve">30%</w:t>
            </w:r>
          </w:p>
        </w:tc>
        <w:tc>
          <w:p>
            <w:pPr>
              <w:pStyle w:val="Compact"/>
              <w:jc w:val="left"/>
            </w:pPr>
            <w:r>
              <w:t xml:space="preserve">PPO</w:t>
            </w:r>
          </w:p>
        </w:tc>
        <w:tc>
          <w:p>
            <w:pPr>
              <w:pStyle w:val="Compact"/>
              <w:jc w:val="left"/>
            </w:pPr>
            <w:r>
              <w:t xml:space="preserve">82.11</w:t>
            </w:r>
          </w:p>
        </w:tc>
        <w:tc>
          <w:p>
            <w:pPr>
              <w:pStyle w:val="Compact"/>
              <w:jc w:val="left"/>
            </w:pPr>
            <w:r>
              <w:t xml:space="preserve">[80.28, 83.92]</w:t>
            </w:r>
          </w:p>
        </w:tc>
        <w:tc>
          <w:p>
            <w:pPr>
              <w:pStyle w:val="Compact"/>
              <w:jc w:val="left"/>
            </w:pPr>
            <w:r>
              <w:t xml:space="preserve">83.17</w:t>
            </w:r>
          </w:p>
        </w:tc>
        <w:tc>
          <w:p>
            <w:pPr>
              <w:pStyle w:val="Compact"/>
              <w:jc w:val="left"/>
            </w:pPr>
            <w:r>
              <w:t xml:space="preserve">5/50</w:t>
            </w:r>
          </w:p>
        </w:tc>
      </w:tr>
    </w:tbl>
    <w:p>
      <w:pPr>
        <w:pStyle w:val="BodyText"/>
      </w:pPr>
      <w:r>
        <w:t xml:space="preserve">The equivalent table for Seed Set B is in</w:t>
      </w:r>
      <w:r>
        <w:t xml:space="preserve"> </w:t>
      </w:r>
      <w:r>
        <w:rPr>
          <w:rStyle w:val="VerbatimChar"/>
        </w:rPr>
        <w:t xml:space="preserve">stats_descriptive.csv</w:t>
      </w:r>
      <w:r>
        <w:t xml:space="preserve">. The pattern is the same; APF reaches 90% in 31 to 45 of 50 runs per cell, Boids in 10 to 14, PPO in 5 to 15.</w:t>
      </w:r>
    </w:p>
    <w:p>
      <w:r>
        <w:pict>
          <v:rect style="width:0;height:1.5pt" o:hralign="center" o:hrstd="t" o:hr="t"/>
        </w:pict>
      </w:r>
    </w:p>
    <w:p>
      <w:pPr>
        <w:pStyle w:val="Heading2"/>
      </w:pPr>
      <w:bookmarkStart w:id="75" w:name="pairwise-method-comparisons"/>
      <w:r>
        <w:t xml:space="preserve">4.3 Pairwise method comparisons</w:t>
      </w:r>
      <w:bookmarkEnd w:id="75"/>
    </w:p>
    <w:p>
      <w:pPr>
        <w:pStyle w:val="Heading3"/>
      </w:pPr>
      <w:bookmarkStart w:id="76" w:name="Xcaff94f19b8048901fc9f780e74ee9e65c20721"/>
      <w:r>
        <w:t xml:space="preserve">Table 4.4 — Mann-Whitney U tests, Seed Set A</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Density</w:t>
            </w:r>
          </w:p>
        </w:tc>
        <w:tc>
          <w:tcPr>
            <w:tcBorders>
              <w:bottom w:val="single"/>
            </w:tcBorders>
            <w:vAlign w:val="bottom"/>
          </w:tcPr>
          <w:p>
            <w:pPr>
              <w:pStyle w:val="Compact"/>
              <w:jc w:val="left"/>
            </w:pPr>
            <w:r>
              <w:t xml:space="preserve">Comparison</w:t>
            </w:r>
          </w:p>
        </w:tc>
        <w:tc>
          <w:tcPr>
            <w:tcBorders>
              <w:bottom w:val="single"/>
            </w:tcBorders>
            <w:vAlign w:val="bottom"/>
          </w:tcPr>
          <w:p>
            <w:pPr>
              <w:pStyle w:val="Compact"/>
              <w:jc w:val="left"/>
            </w:pPr>
            <w:r>
              <w:t xml:space="preserve">Difference (pp)</w:t>
            </w:r>
          </w:p>
        </w:tc>
        <w:tc>
          <w:tcPr>
            <w:tcBorders>
              <w:bottom w:val="single"/>
            </w:tcBorders>
            <w:vAlign w:val="bottom"/>
          </w:tcPr>
          <w:p>
            <w:pPr>
              <w:pStyle w:val="Compact"/>
              <w:jc w:val="left"/>
            </w:pPr>
            <w:r>
              <w:t xml:space="preserve">95% CI</w:t>
            </w:r>
          </w:p>
        </w:tc>
        <w:tc>
          <w:tcPr>
            <w:tcBorders>
              <w:bottom w:val="single"/>
            </w:tcBorders>
            <w:vAlign w:val="bottom"/>
          </w:tcPr>
          <w:p>
            <w:pPr>
              <w:pStyle w:val="Compact"/>
              <w:jc w:val="left"/>
            </w:pPr>
            <w:r>
              <w:t xml:space="preserve">U</w:t>
            </w:r>
          </w:p>
        </w:tc>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Holm p</w:t>
            </w:r>
          </w:p>
        </w:tc>
        <w:tc>
          <w:tcPr>
            <w:tcBorders>
              <w:bottom w:val="single"/>
            </w:tcBorders>
            <w:vAlign w:val="bottom"/>
          </w:tcPr>
          <w:p>
            <w:pPr>
              <w:pStyle w:val="Compact"/>
              <w:jc w:val="left"/>
            </w:pPr>
            <w:r>
              <w:t xml:space="preserve">Cliff’s δ</w:t>
            </w:r>
          </w:p>
        </w:tc>
        <w:tc>
          <w:tcPr>
            <w:tcBorders>
              <w:bottom w:val="single"/>
            </w:tcBorders>
            <w:vAlign w:val="bottom"/>
          </w:tcPr>
          <w:p>
            <w:pPr>
              <w:pStyle w:val="Compact"/>
              <w:jc w:val="left"/>
            </w:pPr>
            <w:r>
              <w:t xml:space="preserve">Magnitude</w:t>
            </w:r>
          </w:p>
        </w:tc>
      </w:tr>
      <w:tr>
        <w:tc>
          <w:p>
            <w:pPr>
              <w:pStyle w:val="Compact"/>
              <w:jc w:val="left"/>
            </w:pPr>
            <w:r>
              <w:t xml:space="preserve">0%</w:t>
            </w:r>
          </w:p>
        </w:tc>
        <w:tc>
          <w:p>
            <w:pPr>
              <w:pStyle w:val="Compact"/>
              <w:jc w:val="left"/>
            </w:pPr>
            <w:r>
              <w:t xml:space="preserve">APF vs Boids</w:t>
            </w:r>
          </w:p>
        </w:tc>
        <w:tc>
          <w:p>
            <w:pPr>
              <w:pStyle w:val="Compact"/>
              <w:jc w:val="left"/>
            </w:pPr>
            <w:r>
              <w:t xml:space="preserve">+3.86</w:t>
            </w:r>
          </w:p>
        </w:tc>
        <w:tc>
          <w:p>
            <w:pPr>
              <w:pStyle w:val="Compact"/>
              <w:jc w:val="left"/>
            </w:pPr>
            <w:r>
              <w:t xml:space="preserve">[1.90, 5.80]</w:t>
            </w:r>
          </w:p>
        </w:tc>
        <w:tc>
          <w:p>
            <w:pPr>
              <w:pStyle w:val="Compact"/>
              <w:jc w:val="left"/>
            </w:pPr>
            <w:r>
              <w:t xml:space="preserve">1818.5</w:t>
            </w:r>
          </w:p>
        </w:tc>
        <w:tc>
          <w:p>
            <w:pPr>
              <w:pStyle w:val="Compact"/>
              <w:jc w:val="left"/>
            </w:pPr>
            <w:r>
              <w:t xml:space="preserve">&lt;0.0001</w:t>
            </w:r>
          </w:p>
        </w:tc>
        <w:tc>
          <w:p>
            <w:pPr>
              <w:pStyle w:val="Compact"/>
              <w:jc w:val="left"/>
            </w:pPr>
            <w:r>
              <w:t xml:space="preserve">0.0005</w:t>
            </w:r>
          </w:p>
        </w:tc>
        <w:tc>
          <w:p>
            <w:pPr>
              <w:pStyle w:val="Compact"/>
              <w:jc w:val="left"/>
            </w:pPr>
            <w:r>
              <w:t xml:space="preserve">0.46</w:t>
            </w:r>
          </w:p>
        </w:tc>
        <w:tc>
          <w:p>
            <w:pPr>
              <w:pStyle w:val="Compact"/>
              <w:jc w:val="left"/>
            </w:pPr>
            <w:r>
              <w:t xml:space="preserve">medium</w:t>
            </w:r>
          </w:p>
        </w:tc>
      </w:tr>
      <w:tr>
        <w:tc>
          <w:p>
            <w:pPr>
              <w:pStyle w:val="Compact"/>
              <w:jc w:val="left"/>
            </w:pPr>
            <w:r>
              <w:t xml:space="preserve">0%</w:t>
            </w:r>
          </w:p>
        </w:tc>
        <w:tc>
          <w:p>
            <w:pPr>
              <w:pStyle w:val="Compact"/>
              <w:jc w:val="left"/>
            </w:pPr>
            <w:r>
              <w:t xml:space="preserve">PPO vs APF</w:t>
            </w:r>
          </w:p>
        </w:tc>
        <w:tc>
          <w:p>
            <w:pPr>
              <w:pStyle w:val="Compact"/>
              <w:jc w:val="left"/>
            </w:pPr>
            <w:r>
              <w:t xml:space="preserve">−5.09</w:t>
            </w:r>
          </w:p>
        </w:tc>
        <w:tc>
          <w:p>
            <w:pPr>
              <w:pStyle w:val="Compact"/>
              <w:jc w:val="left"/>
            </w:pPr>
            <w:r>
              <w:t xml:space="preserve">[−6.75, −3.42]</w:t>
            </w:r>
          </w:p>
        </w:tc>
        <w:tc>
          <w:p>
            <w:pPr>
              <w:pStyle w:val="Compact"/>
              <w:jc w:val="left"/>
            </w:pPr>
            <w:r>
              <w:t xml:space="preserve">491.5</w:t>
            </w:r>
          </w:p>
        </w:tc>
        <w:tc>
          <w:p>
            <w:pPr>
              <w:pStyle w:val="Compact"/>
              <w:jc w:val="left"/>
            </w:pPr>
            <w:r>
              <w:t xml:space="preserve">&lt;0.0001</w:t>
            </w:r>
          </w:p>
        </w:tc>
        <w:tc>
          <w:p>
            <w:pPr>
              <w:pStyle w:val="Compact"/>
              <w:jc w:val="left"/>
            </w:pPr>
            <w:r>
              <w:t xml:space="preserve">&lt;0.0001</w:t>
            </w:r>
          </w:p>
        </w:tc>
        <w:tc>
          <w:p>
            <w:pPr>
              <w:pStyle w:val="Compact"/>
              <w:jc w:val="left"/>
            </w:pPr>
            <w:r>
              <w:t xml:space="preserve">−0.61</w:t>
            </w:r>
          </w:p>
        </w:tc>
        <w:tc>
          <w:p>
            <w:pPr>
              <w:pStyle w:val="Compact"/>
              <w:jc w:val="left"/>
            </w:pPr>
            <w:r>
              <w:t xml:space="preserve">large</w:t>
            </w:r>
          </w:p>
        </w:tc>
      </w:tr>
      <w:tr>
        <w:tc>
          <w:p>
            <w:pPr>
              <w:pStyle w:val="Compact"/>
              <w:jc w:val="left"/>
            </w:pPr>
            <w:r>
              <w:t xml:space="preserve">0%</w:t>
            </w:r>
          </w:p>
        </w:tc>
        <w:tc>
          <w:p>
            <w:pPr>
              <w:pStyle w:val="Compact"/>
              <w:jc w:val="left"/>
            </w:pPr>
            <w:r>
              <w:t xml:space="preserve">PPO vs Boids</w:t>
            </w:r>
          </w:p>
        </w:tc>
        <w:tc>
          <w:p>
            <w:pPr>
              <w:pStyle w:val="Compact"/>
              <w:jc w:val="left"/>
            </w:pPr>
            <w:r>
              <w:t xml:space="preserve">−1.24</w:t>
            </w:r>
          </w:p>
        </w:tc>
        <w:tc>
          <w:p>
            <w:pPr>
              <w:pStyle w:val="Compact"/>
              <w:jc w:val="left"/>
            </w:pPr>
            <w:r>
              <w:t xml:space="preserve">[−3.18, 0.64]</w:t>
            </w:r>
          </w:p>
        </w:tc>
        <w:tc>
          <w:p>
            <w:pPr>
              <w:pStyle w:val="Compact"/>
              <w:jc w:val="left"/>
            </w:pPr>
            <w:r>
              <w:t xml:space="preserve">1033.5</w:t>
            </w:r>
          </w:p>
        </w:tc>
        <w:tc>
          <w:p>
            <w:pPr>
              <w:pStyle w:val="Compact"/>
              <w:jc w:val="left"/>
            </w:pPr>
            <w:r>
              <w:t xml:space="preserve">0.1365</w:t>
            </w:r>
          </w:p>
        </w:tc>
        <w:tc>
          <w:p>
            <w:pPr>
              <w:pStyle w:val="Compact"/>
              <w:jc w:val="left"/>
            </w:pPr>
            <w:r>
              <w:t xml:space="preserve">0.4094</w:t>
            </w:r>
          </w:p>
        </w:tc>
        <w:tc>
          <w:p>
            <w:pPr>
              <w:pStyle w:val="Compact"/>
              <w:jc w:val="left"/>
            </w:pPr>
            <w:r>
              <w:t xml:space="preserve">−0.17</w:t>
            </w:r>
          </w:p>
        </w:tc>
        <w:tc>
          <w:p>
            <w:pPr>
              <w:pStyle w:val="Compact"/>
              <w:jc w:val="left"/>
            </w:pPr>
            <w:r>
              <w:t xml:space="preserve">small</w:t>
            </w:r>
          </w:p>
        </w:tc>
      </w:tr>
      <w:tr>
        <w:tc>
          <w:p>
            <w:pPr>
              <w:pStyle w:val="Compact"/>
              <w:jc w:val="left"/>
            </w:pPr>
            <w:r>
              <w:t xml:space="preserve">10%</w:t>
            </w:r>
          </w:p>
        </w:tc>
        <w:tc>
          <w:p>
            <w:pPr>
              <w:pStyle w:val="Compact"/>
              <w:jc w:val="left"/>
            </w:pPr>
            <w:r>
              <w:t xml:space="preserve">APF vs Boids</w:t>
            </w:r>
          </w:p>
        </w:tc>
        <w:tc>
          <w:p>
            <w:pPr>
              <w:pStyle w:val="Compact"/>
              <w:jc w:val="left"/>
            </w:pPr>
            <w:r>
              <w:t xml:space="preserve">+6.54</w:t>
            </w:r>
          </w:p>
        </w:tc>
        <w:tc>
          <w:p>
            <w:pPr>
              <w:pStyle w:val="Compact"/>
              <w:jc w:val="left"/>
            </w:pPr>
            <w:r>
              <w:t xml:space="preserve">[4.82, 8.26]</w:t>
            </w:r>
          </w:p>
        </w:tc>
        <w:tc>
          <w:p>
            <w:pPr>
              <w:pStyle w:val="Compact"/>
              <w:jc w:val="left"/>
            </w:pPr>
            <w:r>
              <w:t xml:space="preserve">2106.0</w:t>
            </w:r>
          </w:p>
        </w:tc>
        <w:tc>
          <w:p>
            <w:pPr>
              <w:pStyle w:val="Compact"/>
              <w:jc w:val="left"/>
            </w:pPr>
            <w:r>
              <w:t xml:space="preserve">&lt;0.0001</w:t>
            </w:r>
          </w:p>
        </w:tc>
        <w:tc>
          <w:p>
            <w:pPr>
              <w:pStyle w:val="Compact"/>
              <w:jc w:val="left"/>
            </w:pPr>
            <w:r>
              <w:t xml:space="preserve">&lt;0.0001</w:t>
            </w:r>
          </w:p>
        </w:tc>
        <w:tc>
          <w:p>
            <w:pPr>
              <w:pStyle w:val="Compact"/>
              <w:jc w:val="left"/>
            </w:pPr>
            <w:r>
              <w:t xml:space="preserve">0.69</w:t>
            </w:r>
          </w:p>
        </w:tc>
        <w:tc>
          <w:p>
            <w:pPr>
              <w:pStyle w:val="Compact"/>
              <w:jc w:val="left"/>
            </w:pPr>
            <w:r>
              <w:t xml:space="preserve">large</w:t>
            </w:r>
          </w:p>
        </w:tc>
      </w:tr>
      <w:tr>
        <w:tc>
          <w:p>
            <w:pPr>
              <w:pStyle w:val="Compact"/>
              <w:jc w:val="left"/>
            </w:pPr>
            <w:r>
              <w:t xml:space="preserve">10%</w:t>
            </w:r>
          </w:p>
        </w:tc>
        <w:tc>
          <w:p>
            <w:pPr>
              <w:pStyle w:val="Compact"/>
              <w:jc w:val="left"/>
            </w:pPr>
            <w:r>
              <w:t xml:space="preserve">PPO vs APF</w:t>
            </w:r>
          </w:p>
        </w:tc>
        <w:tc>
          <w:p>
            <w:pPr>
              <w:pStyle w:val="Compact"/>
              <w:jc w:val="left"/>
            </w:pPr>
            <w:r>
              <w:t xml:space="preserve">−6.33</w:t>
            </w:r>
          </w:p>
        </w:tc>
        <w:tc>
          <w:p>
            <w:pPr>
              <w:pStyle w:val="Compact"/>
              <w:jc w:val="left"/>
            </w:pPr>
            <w:r>
              <w:t xml:space="preserve">[−8.21, −4.35]</w:t>
            </w:r>
          </w:p>
        </w:tc>
        <w:tc>
          <w:p>
            <w:pPr>
              <w:pStyle w:val="Compact"/>
              <w:jc w:val="left"/>
            </w:pPr>
            <w:r>
              <w:t xml:space="preserve">431.5</w:t>
            </w:r>
          </w:p>
        </w:tc>
        <w:tc>
          <w:p>
            <w:pPr>
              <w:pStyle w:val="Compact"/>
              <w:jc w:val="left"/>
            </w:pPr>
            <w:r>
              <w:t xml:space="preserve">&lt;0.0001</w:t>
            </w:r>
          </w:p>
        </w:tc>
        <w:tc>
          <w:p>
            <w:pPr>
              <w:pStyle w:val="Compact"/>
              <w:jc w:val="left"/>
            </w:pPr>
            <w:r>
              <w:t xml:space="preserve">&lt;0.0001</w:t>
            </w:r>
          </w:p>
        </w:tc>
        <w:tc>
          <w:p>
            <w:pPr>
              <w:pStyle w:val="Compact"/>
              <w:jc w:val="left"/>
            </w:pPr>
            <w:r>
              <w:t xml:space="preserve">−0.66</w:t>
            </w:r>
          </w:p>
        </w:tc>
        <w:tc>
          <w:p>
            <w:pPr>
              <w:pStyle w:val="Compact"/>
              <w:jc w:val="left"/>
            </w:pPr>
            <w:r>
              <w:t xml:space="preserve">large</w:t>
            </w:r>
          </w:p>
        </w:tc>
      </w:tr>
      <w:tr>
        <w:tc>
          <w:p>
            <w:pPr>
              <w:pStyle w:val="Compact"/>
              <w:jc w:val="left"/>
            </w:pPr>
            <w:r>
              <w:t xml:space="preserve">10%</w:t>
            </w:r>
          </w:p>
        </w:tc>
        <w:tc>
          <w:p>
            <w:pPr>
              <w:pStyle w:val="Compact"/>
              <w:jc w:val="left"/>
            </w:pPr>
            <w:r>
              <w:t xml:space="preserve">PPO vs Boids</w:t>
            </w:r>
          </w:p>
        </w:tc>
        <w:tc>
          <w:p>
            <w:pPr>
              <w:pStyle w:val="Compact"/>
              <w:jc w:val="left"/>
            </w:pPr>
            <w:r>
              <w:t xml:space="preserve">+0.21</w:t>
            </w:r>
          </w:p>
        </w:tc>
        <w:tc>
          <w:p>
            <w:pPr>
              <w:pStyle w:val="Compact"/>
              <w:jc w:val="left"/>
            </w:pPr>
            <w:r>
              <w:t xml:space="preserve">[−1.97, 2.36]</w:t>
            </w:r>
          </w:p>
        </w:tc>
        <w:tc>
          <w:p>
            <w:pPr>
              <w:pStyle w:val="Compact"/>
              <w:jc w:val="left"/>
            </w:pPr>
            <w:r>
              <w:t xml:space="preserve">1293.0</w:t>
            </w:r>
          </w:p>
        </w:tc>
        <w:tc>
          <w:p>
            <w:pPr>
              <w:pStyle w:val="Compact"/>
              <w:jc w:val="left"/>
            </w:pPr>
            <w:r>
              <w:t xml:space="preserve">0.7695</w:t>
            </w:r>
          </w:p>
        </w:tc>
        <w:tc>
          <w:p>
            <w:pPr>
              <w:pStyle w:val="Compact"/>
              <w:jc w:val="left"/>
            </w:pPr>
            <w:r>
              <w:t xml:space="preserve">0.8842</w:t>
            </w:r>
          </w:p>
        </w:tc>
        <w:tc>
          <w:p>
            <w:pPr>
              <w:pStyle w:val="Compact"/>
              <w:jc w:val="left"/>
            </w:pPr>
            <w:r>
              <w:t xml:space="preserve">0.03</w:t>
            </w:r>
          </w:p>
        </w:tc>
        <w:tc>
          <w:p>
            <w:pPr>
              <w:pStyle w:val="Compact"/>
              <w:jc w:val="left"/>
            </w:pPr>
            <w:r>
              <w:t xml:space="preserve">negligible</w:t>
            </w:r>
          </w:p>
        </w:tc>
      </w:tr>
      <w:tr>
        <w:tc>
          <w:p>
            <w:pPr>
              <w:pStyle w:val="Compact"/>
              <w:jc w:val="left"/>
            </w:pPr>
            <w:r>
              <w:t xml:space="preserve">20%</w:t>
            </w:r>
          </w:p>
        </w:tc>
        <w:tc>
          <w:p>
            <w:pPr>
              <w:pStyle w:val="Compact"/>
              <w:jc w:val="left"/>
            </w:pPr>
            <w:r>
              <w:t xml:space="preserve">APF vs Boids</w:t>
            </w:r>
          </w:p>
        </w:tc>
        <w:tc>
          <w:p>
            <w:pPr>
              <w:pStyle w:val="Compact"/>
              <w:jc w:val="left"/>
            </w:pPr>
            <w:r>
              <w:t xml:space="preserve">+7.11</w:t>
            </w:r>
          </w:p>
        </w:tc>
        <w:tc>
          <w:p>
            <w:pPr>
              <w:pStyle w:val="Compact"/>
              <w:jc w:val="left"/>
            </w:pPr>
            <w:r>
              <w:t xml:space="preserve">[5.20, 9.05]</w:t>
            </w:r>
          </w:p>
        </w:tc>
        <w:tc>
          <w:p>
            <w:pPr>
              <w:pStyle w:val="Compact"/>
              <w:jc w:val="left"/>
            </w:pPr>
            <w:r>
              <w:t xml:space="preserve">2129.0</w:t>
            </w:r>
          </w:p>
        </w:tc>
        <w:tc>
          <w:p>
            <w:pPr>
              <w:pStyle w:val="Compact"/>
              <w:jc w:val="left"/>
            </w:pPr>
            <w:r>
              <w:t xml:space="preserve">&lt;0.0001</w:t>
            </w:r>
          </w:p>
        </w:tc>
        <w:tc>
          <w:p>
            <w:pPr>
              <w:pStyle w:val="Compact"/>
              <w:jc w:val="left"/>
            </w:pPr>
            <w:r>
              <w:t xml:space="preserve">&lt;0.0001</w:t>
            </w:r>
          </w:p>
        </w:tc>
        <w:tc>
          <w:p>
            <w:pPr>
              <w:pStyle w:val="Compact"/>
              <w:jc w:val="left"/>
            </w:pPr>
            <w:r>
              <w:t xml:space="preserve">0.70</w:t>
            </w:r>
          </w:p>
        </w:tc>
        <w:tc>
          <w:p>
            <w:pPr>
              <w:pStyle w:val="Compact"/>
              <w:jc w:val="left"/>
            </w:pPr>
            <w:r>
              <w:t xml:space="preserve">large</w:t>
            </w:r>
          </w:p>
        </w:tc>
      </w:tr>
      <w:tr>
        <w:tc>
          <w:p>
            <w:pPr>
              <w:pStyle w:val="Compact"/>
              <w:jc w:val="left"/>
            </w:pPr>
            <w:r>
              <w:t xml:space="preserve">20%</w:t>
            </w:r>
          </w:p>
        </w:tc>
        <w:tc>
          <w:p>
            <w:pPr>
              <w:pStyle w:val="Compact"/>
              <w:jc w:val="left"/>
            </w:pPr>
            <w:r>
              <w:t xml:space="preserve">PPO vs APF</w:t>
            </w:r>
          </w:p>
        </w:tc>
        <w:tc>
          <w:p>
            <w:pPr>
              <w:pStyle w:val="Compact"/>
              <w:jc w:val="left"/>
            </w:pPr>
            <w:r>
              <w:t xml:space="preserve">−9.72</w:t>
            </w:r>
          </w:p>
        </w:tc>
        <w:tc>
          <w:p>
            <w:pPr>
              <w:pStyle w:val="Compact"/>
              <w:jc w:val="left"/>
            </w:pPr>
            <w:r>
              <w:t xml:space="preserve">[−11.71, −7.77]</w:t>
            </w:r>
          </w:p>
        </w:tc>
        <w:tc>
          <w:p>
            <w:pPr>
              <w:pStyle w:val="Compact"/>
              <w:jc w:val="left"/>
            </w:pPr>
            <w:r>
              <w:t xml:space="preserve">221.0</w:t>
            </w:r>
          </w:p>
        </w:tc>
        <w:tc>
          <w:p>
            <w:pPr>
              <w:pStyle w:val="Compact"/>
              <w:jc w:val="left"/>
            </w:pPr>
            <w:r>
              <w:t xml:space="preserve">&lt;0.0001</w:t>
            </w:r>
          </w:p>
        </w:tc>
        <w:tc>
          <w:p>
            <w:pPr>
              <w:pStyle w:val="Compact"/>
              <w:jc w:val="left"/>
            </w:pPr>
            <w:r>
              <w:t xml:space="preserve">&lt;0.0001</w:t>
            </w:r>
          </w:p>
        </w:tc>
        <w:tc>
          <w:p>
            <w:pPr>
              <w:pStyle w:val="Compact"/>
              <w:jc w:val="left"/>
            </w:pPr>
            <w:r>
              <w:t xml:space="preserve">−0.82</w:t>
            </w:r>
          </w:p>
        </w:tc>
        <w:tc>
          <w:p>
            <w:pPr>
              <w:pStyle w:val="Compact"/>
              <w:jc w:val="left"/>
            </w:pPr>
            <w:r>
              <w:t xml:space="preserve">large</w:t>
            </w:r>
          </w:p>
        </w:tc>
      </w:tr>
      <w:tr>
        <w:tc>
          <w:p>
            <w:pPr>
              <w:pStyle w:val="Compact"/>
              <w:jc w:val="left"/>
            </w:pPr>
            <w:r>
              <w:t xml:space="preserve">20%</w:t>
            </w:r>
          </w:p>
        </w:tc>
        <w:tc>
          <w:p>
            <w:pPr>
              <w:pStyle w:val="Compact"/>
              <w:jc w:val="left"/>
            </w:pPr>
            <w:r>
              <w:t xml:space="preserve">PPO vs Boids</w:t>
            </w:r>
          </w:p>
        </w:tc>
        <w:tc>
          <w:p>
            <w:pPr>
              <w:pStyle w:val="Compact"/>
              <w:jc w:val="left"/>
            </w:pPr>
            <w:r>
              <w:t xml:space="preserve">−2.60</w:t>
            </w:r>
          </w:p>
        </w:tc>
        <w:tc>
          <w:p>
            <w:pPr>
              <w:pStyle w:val="Compact"/>
              <w:jc w:val="left"/>
            </w:pPr>
            <w:r>
              <w:t xml:space="preserve">[−5.30, 0.05]</w:t>
            </w:r>
          </w:p>
        </w:tc>
        <w:tc>
          <w:p>
            <w:pPr>
              <w:pStyle w:val="Compact"/>
              <w:jc w:val="left"/>
            </w:pPr>
            <w:r>
              <w:t xml:space="preserve">991.0</w:t>
            </w:r>
          </w:p>
        </w:tc>
        <w:tc>
          <w:p>
            <w:pPr>
              <w:pStyle w:val="Compact"/>
              <w:jc w:val="left"/>
            </w:pPr>
            <w:r>
              <w:t xml:space="preserve">0.0747</w:t>
            </w:r>
          </w:p>
        </w:tc>
        <w:tc>
          <w:p>
            <w:pPr>
              <w:pStyle w:val="Compact"/>
              <w:jc w:val="left"/>
            </w:pPr>
            <w:r>
              <w:t xml:space="preserve">0.2990</w:t>
            </w:r>
          </w:p>
        </w:tc>
        <w:tc>
          <w:p>
            <w:pPr>
              <w:pStyle w:val="Compact"/>
              <w:jc w:val="left"/>
            </w:pPr>
            <w:r>
              <w:t xml:space="preserve">−0.21</w:t>
            </w:r>
          </w:p>
        </w:tc>
        <w:tc>
          <w:p>
            <w:pPr>
              <w:pStyle w:val="Compact"/>
              <w:jc w:val="left"/>
            </w:pPr>
            <w:r>
              <w:t xml:space="preserve">small</w:t>
            </w:r>
          </w:p>
        </w:tc>
      </w:tr>
      <w:tr>
        <w:tc>
          <w:p>
            <w:pPr>
              <w:pStyle w:val="Compact"/>
              <w:jc w:val="left"/>
            </w:pPr>
            <w:r>
              <w:t xml:space="preserve">30%</w:t>
            </w:r>
          </w:p>
        </w:tc>
        <w:tc>
          <w:p>
            <w:pPr>
              <w:pStyle w:val="Compact"/>
              <w:jc w:val="left"/>
            </w:pPr>
            <w:r>
              <w:t xml:space="preserve">APF vs Boids</w:t>
            </w:r>
          </w:p>
        </w:tc>
        <w:tc>
          <w:p>
            <w:pPr>
              <w:pStyle w:val="Compact"/>
              <w:jc w:val="left"/>
            </w:pPr>
            <w:r>
              <w:t xml:space="preserve">+10.33</w:t>
            </w:r>
          </w:p>
        </w:tc>
        <w:tc>
          <w:p>
            <w:pPr>
              <w:pStyle w:val="Compact"/>
              <w:jc w:val="left"/>
            </w:pPr>
            <w:r>
              <w:t xml:space="preserve">[8.12, 12.58]</w:t>
            </w:r>
          </w:p>
        </w:tc>
        <w:tc>
          <w:p>
            <w:pPr>
              <w:pStyle w:val="Compact"/>
              <w:jc w:val="left"/>
            </w:pPr>
            <w:r>
              <w:t xml:space="preserve">2268.0</w:t>
            </w:r>
          </w:p>
        </w:tc>
        <w:tc>
          <w:p>
            <w:pPr>
              <w:pStyle w:val="Compact"/>
              <w:jc w:val="left"/>
            </w:pPr>
            <w:r>
              <w:t xml:space="preserve">&lt;0.0001</w:t>
            </w:r>
          </w:p>
        </w:tc>
        <w:tc>
          <w:p>
            <w:pPr>
              <w:pStyle w:val="Compact"/>
              <w:jc w:val="left"/>
            </w:pPr>
            <w:r>
              <w:t xml:space="preserve">&lt;0.0001</w:t>
            </w:r>
          </w:p>
        </w:tc>
        <w:tc>
          <w:p>
            <w:pPr>
              <w:pStyle w:val="Compact"/>
              <w:jc w:val="left"/>
            </w:pPr>
            <w:r>
              <w:t xml:space="preserve">0.81</w:t>
            </w:r>
          </w:p>
        </w:tc>
        <w:tc>
          <w:p>
            <w:pPr>
              <w:pStyle w:val="Compact"/>
              <w:jc w:val="left"/>
            </w:pPr>
            <w:r>
              <w:t xml:space="preserve">large</w:t>
            </w:r>
          </w:p>
        </w:tc>
      </w:tr>
      <w:tr>
        <w:tc>
          <w:p>
            <w:pPr>
              <w:pStyle w:val="Compact"/>
              <w:jc w:val="left"/>
            </w:pPr>
            <w:r>
              <w:t xml:space="preserve">30%</w:t>
            </w:r>
          </w:p>
        </w:tc>
        <w:tc>
          <w:p>
            <w:pPr>
              <w:pStyle w:val="Compact"/>
              <w:jc w:val="left"/>
            </w:pPr>
            <w:r>
              <w:t xml:space="preserve">PPO vs APF</w:t>
            </w:r>
          </w:p>
        </w:tc>
        <w:tc>
          <w:p>
            <w:pPr>
              <w:pStyle w:val="Compact"/>
              <w:jc w:val="left"/>
            </w:pPr>
            <w:r>
              <w:t xml:space="preserve">−11.38</w:t>
            </w:r>
          </w:p>
        </w:tc>
        <w:tc>
          <w:p>
            <w:pPr>
              <w:pStyle w:val="Compact"/>
              <w:jc w:val="left"/>
            </w:pPr>
            <w:r>
              <w:t xml:space="preserve">[−13.42, −9.40]</w:t>
            </w:r>
          </w:p>
        </w:tc>
        <w:tc>
          <w:p>
            <w:pPr>
              <w:pStyle w:val="Compact"/>
              <w:jc w:val="left"/>
            </w:pPr>
            <w:r>
              <w:t xml:space="preserve">169.0</w:t>
            </w:r>
          </w:p>
        </w:tc>
        <w:tc>
          <w:p>
            <w:pPr>
              <w:pStyle w:val="Compact"/>
              <w:jc w:val="left"/>
            </w:pPr>
            <w:r>
              <w:t xml:space="preserve">&lt;0.0001</w:t>
            </w:r>
          </w:p>
        </w:tc>
        <w:tc>
          <w:p>
            <w:pPr>
              <w:pStyle w:val="Compact"/>
              <w:jc w:val="left"/>
            </w:pPr>
            <w:r>
              <w:t xml:space="preserve">&lt;0.0001</w:t>
            </w:r>
          </w:p>
        </w:tc>
        <w:tc>
          <w:p>
            <w:pPr>
              <w:pStyle w:val="Compact"/>
              <w:jc w:val="left"/>
            </w:pPr>
            <w:r>
              <w:t xml:space="preserve">−0.86</w:t>
            </w:r>
          </w:p>
        </w:tc>
        <w:tc>
          <w:p>
            <w:pPr>
              <w:pStyle w:val="Compact"/>
              <w:jc w:val="left"/>
            </w:pPr>
            <w:r>
              <w:t xml:space="preserve">large</w:t>
            </w:r>
          </w:p>
        </w:tc>
      </w:tr>
      <w:tr>
        <w:tc>
          <w:p>
            <w:pPr>
              <w:pStyle w:val="Compact"/>
              <w:jc w:val="left"/>
            </w:pPr>
            <w:r>
              <w:t xml:space="preserve">30%</w:t>
            </w:r>
          </w:p>
        </w:tc>
        <w:tc>
          <w:p>
            <w:pPr>
              <w:pStyle w:val="Compact"/>
              <w:jc w:val="left"/>
            </w:pPr>
            <w:r>
              <w:t xml:space="preserve">PPO vs Boids</w:t>
            </w:r>
          </w:p>
        </w:tc>
        <w:tc>
          <w:p>
            <w:pPr>
              <w:pStyle w:val="Compact"/>
              <w:jc w:val="left"/>
            </w:pPr>
            <w:r>
              <w:t xml:space="preserve">−1.05</w:t>
            </w:r>
          </w:p>
        </w:tc>
        <w:tc>
          <w:p>
            <w:pPr>
              <w:pStyle w:val="Compact"/>
              <w:jc w:val="left"/>
            </w:pPr>
            <w:r>
              <w:t xml:space="preserve">[−3.93, 1.84]</w:t>
            </w:r>
          </w:p>
        </w:tc>
        <w:tc>
          <w:p>
            <w:pPr>
              <w:pStyle w:val="Compact"/>
              <w:jc w:val="left"/>
            </w:pPr>
            <w:r>
              <w:t xml:space="preserve">1138.0</w:t>
            </w:r>
          </w:p>
        </w:tc>
        <w:tc>
          <w:p>
            <w:pPr>
              <w:pStyle w:val="Compact"/>
              <w:jc w:val="left"/>
            </w:pPr>
            <w:r>
              <w:t xml:space="preserve">0.4421</w:t>
            </w:r>
          </w:p>
        </w:tc>
        <w:tc>
          <w:p>
            <w:pPr>
              <w:pStyle w:val="Compact"/>
              <w:jc w:val="left"/>
            </w:pPr>
            <w:r>
              <w:t xml:space="preserve">0.8842</w:t>
            </w:r>
          </w:p>
        </w:tc>
        <w:tc>
          <w:p>
            <w:pPr>
              <w:pStyle w:val="Compact"/>
              <w:jc w:val="left"/>
            </w:pPr>
            <w:r>
              <w:t xml:space="preserve">−0.09</w:t>
            </w:r>
          </w:p>
        </w:tc>
        <w:tc>
          <w:p>
            <w:pPr>
              <w:pStyle w:val="Compact"/>
              <w:jc w:val="left"/>
            </w:pPr>
            <w:r>
              <w:t xml:space="preserve">negligible</w:t>
            </w:r>
          </w:p>
        </w:tc>
      </w:tr>
    </w:tbl>
    <w:p>
      <w:pPr>
        <w:pStyle w:val="Heading3"/>
      </w:pPr>
      <w:bookmarkStart w:id="77" w:name="X556c445cd8f7586dffd430c106e0c21635c32e4"/>
      <w:r>
        <w:t xml:space="preserve">Table 4.5 — Mann-Whitney U tests, Seed Set B</w:t>
      </w:r>
      <w:bookmarkEnd w:id="77"/>
    </w:p>
    <w:tbl>
      <w:tblPr>
        <w:tblStyle w:val="Table"/>
        <w:tblW w:type="pct" w:w="0.0"/>
        <w:tblLook w:firstRow="1"/>
      </w:tblPr>
      <w:tblGrid/>
      <w:tr>
        <w:trPr>
          <w:cnfStyle w:firstRow="1"/>
        </w:trPr>
        <w:tc>
          <w:tcPr>
            <w:tcBorders>
              <w:bottom w:val="single"/>
            </w:tcBorders>
            <w:vAlign w:val="bottom"/>
          </w:tcPr>
          <w:p>
            <w:pPr>
              <w:pStyle w:val="Compact"/>
              <w:jc w:val="left"/>
            </w:pPr>
            <w:r>
              <w:t xml:space="preserve">Density</w:t>
            </w:r>
          </w:p>
        </w:tc>
        <w:tc>
          <w:tcPr>
            <w:tcBorders>
              <w:bottom w:val="single"/>
            </w:tcBorders>
            <w:vAlign w:val="bottom"/>
          </w:tcPr>
          <w:p>
            <w:pPr>
              <w:pStyle w:val="Compact"/>
              <w:jc w:val="left"/>
            </w:pPr>
            <w:r>
              <w:t xml:space="preserve">Comparison</w:t>
            </w:r>
          </w:p>
        </w:tc>
        <w:tc>
          <w:tcPr>
            <w:tcBorders>
              <w:bottom w:val="single"/>
            </w:tcBorders>
            <w:vAlign w:val="bottom"/>
          </w:tcPr>
          <w:p>
            <w:pPr>
              <w:pStyle w:val="Compact"/>
              <w:jc w:val="left"/>
            </w:pPr>
            <w:r>
              <w:t xml:space="preserve">Difference (pp)</w:t>
            </w:r>
          </w:p>
        </w:tc>
        <w:tc>
          <w:tcPr>
            <w:tcBorders>
              <w:bottom w:val="single"/>
            </w:tcBorders>
            <w:vAlign w:val="bottom"/>
          </w:tcPr>
          <w:p>
            <w:pPr>
              <w:pStyle w:val="Compact"/>
              <w:jc w:val="left"/>
            </w:pPr>
            <w:r>
              <w:t xml:space="preserve">95% CI</w:t>
            </w:r>
          </w:p>
        </w:tc>
        <w:tc>
          <w:tcPr>
            <w:tcBorders>
              <w:bottom w:val="single"/>
            </w:tcBorders>
            <w:vAlign w:val="bottom"/>
          </w:tcPr>
          <w:p>
            <w:pPr>
              <w:pStyle w:val="Compact"/>
              <w:jc w:val="left"/>
            </w:pPr>
            <w:r>
              <w:t xml:space="preserve">U</w:t>
            </w:r>
          </w:p>
        </w:tc>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Holm p</w:t>
            </w:r>
          </w:p>
        </w:tc>
        <w:tc>
          <w:tcPr>
            <w:tcBorders>
              <w:bottom w:val="single"/>
            </w:tcBorders>
            <w:vAlign w:val="bottom"/>
          </w:tcPr>
          <w:p>
            <w:pPr>
              <w:pStyle w:val="Compact"/>
              <w:jc w:val="left"/>
            </w:pPr>
            <w:r>
              <w:t xml:space="preserve">Cliff’s δ</w:t>
            </w:r>
          </w:p>
        </w:tc>
        <w:tc>
          <w:tcPr>
            <w:tcBorders>
              <w:bottom w:val="single"/>
            </w:tcBorders>
            <w:vAlign w:val="bottom"/>
          </w:tcPr>
          <w:p>
            <w:pPr>
              <w:pStyle w:val="Compact"/>
              <w:jc w:val="left"/>
            </w:pPr>
            <w:r>
              <w:t xml:space="preserve">Magnitude</w:t>
            </w:r>
          </w:p>
        </w:tc>
      </w:tr>
      <w:tr>
        <w:tc>
          <w:p>
            <w:pPr>
              <w:pStyle w:val="Compact"/>
              <w:jc w:val="left"/>
            </w:pPr>
            <w:r>
              <w:t xml:space="preserve">0%</w:t>
            </w:r>
          </w:p>
        </w:tc>
        <w:tc>
          <w:p>
            <w:pPr>
              <w:pStyle w:val="Compact"/>
              <w:jc w:val="left"/>
            </w:pPr>
            <w:r>
              <w:t xml:space="preserve">APF vs Boids</w:t>
            </w:r>
          </w:p>
        </w:tc>
        <w:tc>
          <w:p>
            <w:pPr>
              <w:pStyle w:val="Compact"/>
              <w:jc w:val="left"/>
            </w:pPr>
            <w:r>
              <w:t xml:space="preserve">+3.11</w:t>
            </w:r>
          </w:p>
        </w:tc>
        <w:tc>
          <w:p>
            <w:pPr>
              <w:pStyle w:val="Compact"/>
              <w:jc w:val="left"/>
            </w:pPr>
            <w:r>
              <w:t xml:space="preserve">[1.50, 4.75]</w:t>
            </w:r>
          </w:p>
        </w:tc>
        <w:tc>
          <w:p>
            <w:pPr>
              <w:pStyle w:val="Compact"/>
              <w:jc w:val="left"/>
            </w:pPr>
            <w:r>
              <w:t xml:space="preserve">1807.0</w:t>
            </w:r>
          </w:p>
        </w:tc>
        <w:tc>
          <w:p>
            <w:pPr>
              <w:pStyle w:val="Compact"/>
              <w:jc w:val="left"/>
            </w:pPr>
            <w:r>
              <w:t xml:space="preserve">0.0001</w:t>
            </w:r>
          </w:p>
        </w:tc>
        <w:tc>
          <w:p>
            <w:pPr>
              <w:pStyle w:val="Compact"/>
              <w:jc w:val="left"/>
            </w:pPr>
            <w:r>
              <w:t xml:space="preserve">0.0006</w:t>
            </w:r>
          </w:p>
        </w:tc>
        <w:tc>
          <w:p>
            <w:pPr>
              <w:pStyle w:val="Compact"/>
              <w:jc w:val="left"/>
            </w:pPr>
            <w:r>
              <w:t xml:space="preserve">0.45</w:t>
            </w:r>
          </w:p>
        </w:tc>
        <w:tc>
          <w:p>
            <w:pPr>
              <w:pStyle w:val="Compact"/>
              <w:jc w:val="left"/>
            </w:pPr>
            <w:r>
              <w:t xml:space="preserve">medium</w:t>
            </w:r>
          </w:p>
        </w:tc>
      </w:tr>
      <w:tr>
        <w:tc>
          <w:p>
            <w:pPr>
              <w:pStyle w:val="Compact"/>
              <w:jc w:val="left"/>
            </w:pPr>
            <w:r>
              <w:t xml:space="preserve">0%</w:t>
            </w:r>
          </w:p>
        </w:tc>
        <w:tc>
          <w:p>
            <w:pPr>
              <w:pStyle w:val="Compact"/>
              <w:jc w:val="left"/>
            </w:pPr>
            <w:r>
              <w:t xml:space="preserve">PPO vs APF</w:t>
            </w:r>
          </w:p>
        </w:tc>
        <w:tc>
          <w:p>
            <w:pPr>
              <w:pStyle w:val="Compact"/>
              <w:jc w:val="left"/>
            </w:pPr>
            <w:r>
              <w:t xml:space="preserve">−4.51</w:t>
            </w:r>
          </w:p>
        </w:tc>
        <w:tc>
          <w:p>
            <w:pPr>
              <w:pStyle w:val="Compact"/>
              <w:jc w:val="left"/>
            </w:pPr>
            <w:r>
              <w:t xml:space="preserve">[−6.27, −2.76]</w:t>
            </w:r>
          </w:p>
        </w:tc>
        <w:tc>
          <w:p>
            <w:pPr>
              <w:pStyle w:val="Compact"/>
              <w:jc w:val="left"/>
            </w:pPr>
            <w:r>
              <w:t xml:space="preserve">587.5</w:t>
            </w:r>
          </w:p>
        </w:tc>
        <w:tc>
          <w:p>
            <w:pPr>
              <w:pStyle w:val="Compact"/>
              <w:jc w:val="left"/>
            </w:pPr>
            <w:r>
              <w:t xml:space="preserve">&lt;0.0001</w:t>
            </w:r>
          </w:p>
        </w:tc>
        <w:tc>
          <w:p>
            <w:pPr>
              <w:pStyle w:val="Compact"/>
              <w:jc w:val="left"/>
            </w:pPr>
            <w:r>
              <w:t xml:space="preserve">&lt;0.0001</w:t>
            </w:r>
          </w:p>
        </w:tc>
        <w:tc>
          <w:p>
            <w:pPr>
              <w:pStyle w:val="Compact"/>
              <w:jc w:val="left"/>
            </w:pPr>
            <w:r>
              <w:t xml:space="preserve">−0.53</w:t>
            </w:r>
          </w:p>
        </w:tc>
        <w:tc>
          <w:p>
            <w:pPr>
              <w:pStyle w:val="Compact"/>
              <w:jc w:val="left"/>
            </w:pPr>
            <w:r>
              <w:t xml:space="preserve">large</w:t>
            </w:r>
          </w:p>
        </w:tc>
      </w:tr>
      <w:tr>
        <w:tc>
          <w:p>
            <w:pPr>
              <w:pStyle w:val="Compact"/>
              <w:jc w:val="left"/>
            </w:pPr>
            <w:r>
              <w:t xml:space="preserve">0%</w:t>
            </w:r>
          </w:p>
        </w:tc>
        <w:tc>
          <w:p>
            <w:pPr>
              <w:pStyle w:val="Compact"/>
              <w:jc w:val="left"/>
            </w:pPr>
            <w:r>
              <w:t xml:space="preserve">PPO vs Boids</w:t>
            </w:r>
          </w:p>
        </w:tc>
        <w:tc>
          <w:p>
            <w:pPr>
              <w:pStyle w:val="Compact"/>
              <w:jc w:val="left"/>
            </w:pPr>
            <w:r>
              <w:t xml:space="preserve">−1.40</w:t>
            </w:r>
          </w:p>
        </w:tc>
        <w:tc>
          <w:p>
            <w:pPr>
              <w:pStyle w:val="Compact"/>
              <w:jc w:val="left"/>
            </w:pPr>
            <w:r>
              <w:t xml:space="preserve">[−3.14, 0.48]</w:t>
            </w:r>
          </w:p>
        </w:tc>
        <w:tc>
          <w:p>
            <w:pPr>
              <w:pStyle w:val="Compact"/>
              <w:jc w:val="left"/>
            </w:pPr>
            <w:r>
              <w:t xml:space="preserve">1102.0</w:t>
            </w:r>
          </w:p>
        </w:tc>
        <w:tc>
          <w:p>
            <w:pPr>
              <w:pStyle w:val="Compact"/>
              <w:jc w:val="left"/>
            </w:pPr>
            <w:r>
              <w:t xml:space="preserve">0.3092</w:t>
            </w:r>
          </w:p>
        </w:tc>
        <w:tc>
          <w:p>
            <w:pPr>
              <w:pStyle w:val="Compact"/>
              <w:jc w:val="left"/>
            </w:pPr>
            <w:r>
              <w:t xml:space="preserve">0.9276</w:t>
            </w:r>
          </w:p>
        </w:tc>
        <w:tc>
          <w:p>
            <w:pPr>
              <w:pStyle w:val="Compact"/>
              <w:jc w:val="left"/>
            </w:pPr>
            <w:r>
              <w:t xml:space="preserve">−0.12</w:t>
            </w:r>
          </w:p>
        </w:tc>
        <w:tc>
          <w:p>
            <w:pPr>
              <w:pStyle w:val="Compact"/>
              <w:jc w:val="left"/>
            </w:pPr>
            <w:r>
              <w:t xml:space="preserve">negligible</w:t>
            </w:r>
          </w:p>
        </w:tc>
      </w:tr>
      <w:tr>
        <w:tc>
          <w:p>
            <w:pPr>
              <w:pStyle w:val="Compact"/>
              <w:jc w:val="left"/>
            </w:pPr>
            <w:r>
              <w:t xml:space="preserve">10%</w:t>
            </w:r>
          </w:p>
        </w:tc>
        <w:tc>
          <w:p>
            <w:pPr>
              <w:pStyle w:val="Compact"/>
              <w:jc w:val="left"/>
            </w:pPr>
            <w:r>
              <w:t xml:space="preserve">APF vs Boids</w:t>
            </w:r>
          </w:p>
        </w:tc>
        <w:tc>
          <w:p>
            <w:pPr>
              <w:pStyle w:val="Compact"/>
              <w:jc w:val="left"/>
            </w:pPr>
            <w:r>
              <w:t xml:space="preserve">+7.63</w:t>
            </w:r>
          </w:p>
        </w:tc>
        <w:tc>
          <w:p>
            <w:pPr>
              <w:pStyle w:val="Compact"/>
              <w:jc w:val="left"/>
            </w:pPr>
            <w:r>
              <w:t xml:space="preserve">[5.95, 9.36]</w:t>
            </w:r>
          </w:p>
        </w:tc>
        <w:tc>
          <w:p>
            <w:pPr>
              <w:pStyle w:val="Compact"/>
              <w:jc w:val="left"/>
            </w:pPr>
            <w:r>
              <w:t xml:space="preserve">2278.0</w:t>
            </w:r>
          </w:p>
        </w:tc>
        <w:tc>
          <w:p>
            <w:pPr>
              <w:pStyle w:val="Compact"/>
              <w:jc w:val="left"/>
            </w:pPr>
            <w:r>
              <w:t xml:space="preserve">&lt;0.0001</w:t>
            </w:r>
          </w:p>
        </w:tc>
        <w:tc>
          <w:p>
            <w:pPr>
              <w:pStyle w:val="Compact"/>
              <w:jc w:val="left"/>
            </w:pPr>
            <w:r>
              <w:t xml:space="preserve">&lt;0.0001</w:t>
            </w:r>
          </w:p>
        </w:tc>
        <w:tc>
          <w:p>
            <w:pPr>
              <w:pStyle w:val="Compact"/>
              <w:jc w:val="left"/>
            </w:pPr>
            <w:r>
              <w:t xml:space="preserve">0.82</w:t>
            </w:r>
          </w:p>
        </w:tc>
        <w:tc>
          <w:p>
            <w:pPr>
              <w:pStyle w:val="Compact"/>
              <w:jc w:val="left"/>
            </w:pPr>
            <w:r>
              <w:t xml:space="preserve">large</w:t>
            </w:r>
          </w:p>
        </w:tc>
      </w:tr>
      <w:tr>
        <w:tc>
          <w:p>
            <w:pPr>
              <w:pStyle w:val="Compact"/>
              <w:jc w:val="left"/>
            </w:pPr>
            <w:r>
              <w:t xml:space="preserve">10%</w:t>
            </w:r>
          </w:p>
        </w:tc>
        <w:tc>
          <w:p>
            <w:pPr>
              <w:pStyle w:val="Compact"/>
              <w:jc w:val="left"/>
            </w:pPr>
            <w:r>
              <w:t xml:space="preserve">PPO vs APF</w:t>
            </w:r>
          </w:p>
        </w:tc>
        <w:tc>
          <w:p>
            <w:pPr>
              <w:pStyle w:val="Compact"/>
              <w:jc w:val="left"/>
            </w:pPr>
            <w:r>
              <w:t xml:space="preserve">−7.87</w:t>
            </w:r>
          </w:p>
        </w:tc>
        <w:tc>
          <w:p>
            <w:pPr>
              <w:pStyle w:val="Compact"/>
              <w:jc w:val="left"/>
            </w:pPr>
            <w:r>
              <w:t xml:space="preserve">[−9.71, −6.17]</w:t>
            </w:r>
          </w:p>
        </w:tc>
        <w:tc>
          <w:p>
            <w:pPr>
              <w:pStyle w:val="Compact"/>
              <w:jc w:val="left"/>
            </w:pPr>
            <w:r>
              <w:t xml:space="preserve">191.0</w:t>
            </w:r>
          </w:p>
        </w:tc>
        <w:tc>
          <w:p>
            <w:pPr>
              <w:pStyle w:val="Compact"/>
              <w:jc w:val="left"/>
            </w:pPr>
            <w:r>
              <w:t xml:space="preserve">&lt;0.0001</w:t>
            </w:r>
          </w:p>
        </w:tc>
        <w:tc>
          <w:p>
            <w:pPr>
              <w:pStyle w:val="Compact"/>
              <w:jc w:val="left"/>
            </w:pPr>
            <w:r>
              <w:t xml:space="preserve">&lt;0.0001</w:t>
            </w:r>
          </w:p>
        </w:tc>
        <w:tc>
          <w:p>
            <w:pPr>
              <w:pStyle w:val="Compact"/>
              <w:jc w:val="left"/>
            </w:pPr>
            <w:r>
              <w:t xml:space="preserve">−0.85</w:t>
            </w:r>
          </w:p>
        </w:tc>
        <w:tc>
          <w:p>
            <w:pPr>
              <w:pStyle w:val="Compact"/>
              <w:jc w:val="left"/>
            </w:pPr>
            <w:r>
              <w:t xml:space="preserve">large</w:t>
            </w:r>
          </w:p>
        </w:tc>
      </w:tr>
      <w:tr>
        <w:tc>
          <w:p>
            <w:pPr>
              <w:pStyle w:val="Compact"/>
              <w:jc w:val="left"/>
            </w:pPr>
            <w:r>
              <w:t xml:space="preserve">10%</w:t>
            </w:r>
          </w:p>
        </w:tc>
        <w:tc>
          <w:p>
            <w:pPr>
              <w:pStyle w:val="Compact"/>
              <w:jc w:val="left"/>
            </w:pPr>
            <w:r>
              <w:t xml:space="preserve">PPO vs Boids</w:t>
            </w:r>
          </w:p>
        </w:tc>
        <w:tc>
          <w:p>
            <w:pPr>
              <w:pStyle w:val="Compact"/>
              <w:jc w:val="left"/>
            </w:pPr>
            <w:r>
              <w:t xml:space="preserve">−0.24</w:t>
            </w:r>
          </w:p>
        </w:tc>
        <w:tc>
          <w:p>
            <w:pPr>
              <w:pStyle w:val="Compact"/>
              <w:jc w:val="left"/>
            </w:pPr>
            <w:r>
              <w:t xml:space="preserve">[−2.43, 1.86]</w:t>
            </w:r>
          </w:p>
        </w:tc>
        <w:tc>
          <w:p>
            <w:pPr>
              <w:pStyle w:val="Compact"/>
              <w:jc w:val="left"/>
            </w:pPr>
            <w:r>
              <w:t xml:space="preserve">1232.0</w:t>
            </w:r>
          </w:p>
        </w:tc>
        <w:tc>
          <w:p>
            <w:pPr>
              <w:pStyle w:val="Compact"/>
              <w:jc w:val="left"/>
            </w:pPr>
            <w:r>
              <w:t xml:space="preserve">0.9040</w:t>
            </w:r>
          </w:p>
        </w:tc>
        <w:tc>
          <w:p>
            <w:pPr>
              <w:pStyle w:val="Compact"/>
              <w:jc w:val="left"/>
            </w:pPr>
            <w:r>
              <w:t xml:space="preserve">1.0000</w:t>
            </w:r>
          </w:p>
        </w:tc>
        <w:tc>
          <w:p>
            <w:pPr>
              <w:pStyle w:val="Compact"/>
              <w:jc w:val="left"/>
            </w:pPr>
            <w:r>
              <w:t xml:space="preserve">−0.01</w:t>
            </w:r>
          </w:p>
        </w:tc>
        <w:tc>
          <w:p>
            <w:pPr>
              <w:pStyle w:val="Compact"/>
              <w:jc w:val="left"/>
            </w:pPr>
            <w:r>
              <w:t xml:space="preserve">negligible</w:t>
            </w:r>
          </w:p>
        </w:tc>
      </w:tr>
      <w:tr>
        <w:tc>
          <w:p>
            <w:pPr>
              <w:pStyle w:val="Compact"/>
              <w:jc w:val="left"/>
            </w:pPr>
            <w:r>
              <w:t xml:space="preserve">20%</w:t>
            </w:r>
          </w:p>
        </w:tc>
        <w:tc>
          <w:p>
            <w:pPr>
              <w:pStyle w:val="Compact"/>
              <w:jc w:val="left"/>
            </w:pPr>
            <w:r>
              <w:t xml:space="preserve">APF vs Boids</w:t>
            </w:r>
          </w:p>
        </w:tc>
        <w:tc>
          <w:p>
            <w:pPr>
              <w:pStyle w:val="Compact"/>
              <w:jc w:val="left"/>
            </w:pPr>
            <w:r>
              <w:t xml:space="preserve">+7.56</w:t>
            </w:r>
          </w:p>
        </w:tc>
        <w:tc>
          <w:p>
            <w:pPr>
              <w:pStyle w:val="Compact"/>
              <w:jc w:val="left"/>
            </w:pPr>
            <w:r>
              <w:t xml:space="preserve">[5.70, 9.51]</w:t>
            </w:r>
          </w:p>
        </w:tc>
        <w:tc>
          <w:p>
            <w:pPr>
              <w:pStyle w:val="Compact"/>
              <w:jc w:val="left"/>
            </w:pPr>
            <w:r>
              <w:t xml:space="preserve">2271.0</w:t>
            </w:r>
          </w:p>
        </w:tc>
        <w:tc>
          <w:p>
            <w:pPr>
              <w:pStyle w:val="Compact"/>
              <w:jc w:val="left"/>
            </w:pPr>
            <w:r>
              <w:t xml:space="preserve">&lt;0.0001</w:t>
            </w:r>
          </w:p>
        </w:tc>
        <w:tc>
          <w:p>
            <w:pPr>
              <w:pStyle w:val="Compact"/>
              <w:jc w:val="left"/>
            </w:pPr>
            <w:r>
              <w:t xml:space="preserve">&lt;0.0001</w:t>
            </w:r>
          </w:p>
        </w:tc>
        <w:tc>
          <w:p>
            <w:pPr>
              <w:pStyle w:val="Compact"/>
              <w:jc w:val="left"/>
            </w:pPr>
            <w:r>
              <w:t xml:space="preserve">0.82</w:t>
            </w:r>
          </w:p>
        </w:tc>
        <w:tc>
          <w:p>
            <w:pPr>
              <w:pStyle w:val="Compact"/>
              <w:jc w:val="left"/>
            </w:pPr>
            <w:r>
              <w:t xml:space="preserve">large</w:t>
            </w:r>
          </w:p>
        </w:tc>
      </w:tr>
      <w:tr>
        <w:tc>
          <w:p>
            <w:pPr>
              <w:pStyle w:val="Compact"/>
              <w:jc w:val="left"/>
            </w:pPr>
            <w:r>
              <w:t xml:space="preserve">20%</w:t>
            </w:r>
          </w:p>
        </w:tc>
        <w:tc>
          <w:p>
            <w:pPr>
              <w:pStyle w:val="Compact"/>
              <w:jc w:val="left"/>
            </w:pPr>
            <w:r>
              <w:t xml:space="preserve">PPO vs APF</w:t>
            </w:r>
          </w:p>
        </w:tc>
        <w:tc>
          <w:p>
            <w:pPr>
              <w:pStyle w:val="Compact"/>
              <w:jc w:val="left"/>
            </w:pPr>
            <w:r>
              <w:t xml:space="preserve">−8.33</w:t>
            </w:r>
          </w:p>
        </w:tc>
        <w:tc>
          <w:p>
            <w:pPr>
              <w:pStyle w:val="Compact"/>
              <w:jc w:val="left"/>
            </w:pPr>
            <w:r>
              <w:t xml:space="preserve">[−10.37, −6.42]</w:t>
            </w:r>
          </w:p>
        </w:tc>
        <w:tc>
          <w:p>
            <w:pPr>
              <w:pStyle w:val="Compact"/>
              <w:jc w:val="left"/>
            </w:pPr>
            <w:r>
              <w:t xml:space="preserve">214.0</w:t>
            </w:r>
          </w:p>
        </w:tc>
        <w:tc>
          <w:p>
            <w:pPr>
              <w:pStyle w:val="Compact"/>
              <w:jc w:val="left"/>
            </w:pPr>
            <w:r>
              <w:t xml:space="preserve">&lt;0.0001</w:t>
            </w:r>
          </w:p>
        </w:tc>
        <w:tc>
          <w:p>
            <w:pPr>
              <w:pStyle w:val="Compact"/>
              <w:jc w:val="left"/>
            </w:pPr>
            <w:r>
              <w:t xml:space="preserve">&lt;0.0001</w:t>
            </w:r>
          </w:p>
        </w:tc>
        <w:tc>
          <w:p>
            <w:pPr>
              <w:pStyle w:val="Compact"/>
              <w:jc w:val="left"/>
            </w:pPr>
            <w:r>
              <w:t xml:space="preserve">−0.83</w:t>
            </w:r>
          </w:p>
        </w:tc>
        <w:tc>
          <w:p>
            <w:pPr>
              <w:pStyle w:val="Compact"/>
              <w:jc w:val="left"/>
            </w:pPr>
            <w:r>
              <w:t xml:space="preserve">large</w:t>
            </w:r>
          </w:p>
        </w:tc>
      </w:tr>
      <w:tr>
        <w:tc>
          <w:p>
            <w:pPr>
              <w:pStyle w:val="Compact"/>
              <w:jc w:val="left"/>
            </w:pPr>
            <w:r>
              <w:t xml:space="preserve">20%</w:t>
            </w:r>
          </w:p>
        </w:tc>
        <w:tc>
          <w:p>
            <w:pPr>
              <w:pStyle w:val="Compact"/>
              <w:jc w:val="left"/>
            </w:pPr>
            <w:r>
              <w:t xml:space="preserve">PPO vs Boids</w:t>
            </w:r>
          </w:p>
        </w:tc>
        <w:tc>
          <w:p>
            <w:pPr>
              <w:pStyle w:val="Compact"/>
              <w:jc w:val="left"/>
            </w:pPr>
            <w:r>
              <w:t xml:space="preserve">−0.77</w:t>
            </w:r>
          </w:p>
        </w:tc>
        <w:tc>
          <w:p>
            <w:pPr>
              <w:pStyle w:val="Compact"/>
              <w:jc w:val="left"/>
            </w:pPr>
            <w:r>
              <w:t xml:space="preserve">[−3.42, 1.96]</w:t>
            </w:r>
          </w:p>
        </w:tc>
        <w:tc>
          <w:p>
            <w:pPr>
              <w:pStyle w:val="Compact"/>
              <w:jc w:val="left"/>
            </w:pPr>
            <w:r>
              <w:t xml:space="preserve">1169.5</w:t>
            </w:r>
          </w:p>
        </w:tc>
        <w:tc>
          <w:p>
            <w:pPr>
              <w:pStyle w:val="Compact"/>
              <w:jc w:val="left"/>
            </w:pPr>
            <w:r>
              <w:t xml:space="preserve">0.5813</w:t>
            </w:r>
          </w:p>
        </w:tc>
        <w:tc>
          <w:p>
            <w:pPr>
              <w:pStyle w:val="Compact"/>
              <w:jc w:val="left"/>
            </w:pPr>
            <w:r>
              <w:t xml:space="preserve">1.0000</w:t>
            </w:r>
          </w:p>
        </w:tc>
        <w:tc>
          <w:p>
            <w:pPr>
              <w:pStyle w:val="Compact"/>
              <w:jc w:val="left"/>
            </w:pPr>
            <w:r>
              <w:t xml:space="preserve">−0.06</w:t>
            </w:r>
          </w:p>
        </w:tc>
        <w:tc>
          <w:p>
            <w:pPr>
              <w:pStyle w:val="Compact"/>
              <w:jc w:val="left"/>
            </w:pPr>
            <w:r>
              <w:t xml:space="preserve">negligible</w:t>
            </w:r>
          </w:p>
        </w:tc>
      </w:tr>
      <w:tr>
        <w:tc>
          <w:p>
            <w:pPr>
              <w:pStyle w:val="Compact"/>
              <w:jc w:val="left"/>
            </w:pPr>
            <w:r>
              <w:t xml:space="preserve">30%</w:t>
            </w:r>
          </w:p>
        </w:tc>
        <w:tc>
          <w:p>
            <w:pPr>
              <w:pStyle w:val="Compact"/>
              <w:jc w:val="left"/>
            </w:pPr>
            <w:r>
              <w:t xml:space="preserve">APF vs Boids</w:t>
            </w:r>
          </w:p>
        </w:tc>
        <w:tc>
          <w:p>
            <w:pPr>
              <w:pStyle w:val="Compact"/>
              <w:jc w:val="left"/>
            </w:pPr>
            <w:r>
              <w:t xml:space="preserve">+10.00</w:t>
            </w:r>
          </w:p>
        </w:tc>
        <w:tc>
          <w:p>
            <w:pPr>
              <w:pStyle w:val="Compact"/>
              <w:jc w:val="left"/>
            </w:pPr>
            <w:r>
              <w:t xml:space="preserve">[7.77, 12.29]</w:t>
            </w:r>
          </w:p>
        </w:tc>
        <w:tc>
          <w:p>
            <w:pPr>
              <w:pStyle w:val="Compact"/>
              <w:jc w:val="left"/>
            </w:pPr>
            <w:r>
              <w:t xml:space="preserve">2298.0</w:t>
            </w:r>
          </w:p>
        </w:tc>
        <w:tc>
          <w:p>
            <w:pPr>
              <w:pStyle w:val="Compact"/>
              <w:jc w:val="left"/>
            </w:pPr>
            <w:r>
              <w:t xml:space="preserve">&lt;0.0001</w:t>
            </w:r>
          </w:p>
        </w:tc>
        <w:tc>
          <w:p>
            <w:pPr>
              <w:pStyle w:val="Compact"/>
              <w:jc w:val="left"/>
            </w:pPr>
            <w:r>
              <w:t xml:space="preserve">&lt;0.0001</w:t>
            </w:r>
          </w:p>
        </w:tc>
        <w:tc>
          <w:p>
            <w:pPr>
              <w:pStyle w:val="Compact"/>
              <w:jc w:val="left"/>
            </w:pPr>
            <w:r>
              <w:t xml:space="preserve">0.84</w:t>
            </w:r>
          </w:p>
        </w:tc>
        <w:tc>
          <w:p>
            <w:pPr>
              <w:pStyle w:val="Compact"/>
              <w:jc w:val="left"/>
            </w:pPr>
            <w:r>
              <w:t xml:space="preserve">large</w:t>
            </w:r>
          </w:p>
        </w:tc>
      </w:tr>
      <w:tr>
        <w:tc>
          <w:p>
            <w:pPr>
              <w:pStyle w:val="Compact"/>
              <w:jc w:val="left"/>
            </w:pPr>
            <w:r>
              <w:t xml:space="preserve">30%</w:t>
            </w:r>
          </w:p>
        </w:tc>
        <w:tc>
          <w:p>
            <w:pPr>
              <w:pStyle w:val="Compact"/>
              <w:jc w:val="left"/>
            </w:pPr>
            <w:r>
              <w:t xml:space="preserve">PPO vs APF</w:t>
            </w:r>
          </w:p>
        </w:tc>
        <w:tc>
          <w:p>
            <w:pPr>
              <w:pStyle w:val="Compact"/>
              <w:jc w:val="left"/>
            </w:pPr>
            <w:r>
              <w:t xml:space="preserve">−11.17</w:t>
            </w:r>
          </w:p>
        </w:tc>
        <w:tc>
          <w:p>
            <w:pPr>
              <w:pStyle w:val="Compact"/>
              <w:jc w:val="left"/>
            </w:pPr>
            <w:r>
              <w:t xml:space="preserve">[−13.14, −9.16]</w:t>
            </w:r>
          </w:p>
        </w:tc>
        <w:tc>
          <w:p>
            <w:pPr>
              <w:pStyle w:val="Compact"/>
              <w:jc w:val="left"/>
            </w:pPr>
            <w:r>
              <w:t xml:space="preserve">163.0</w:t>
            </w:r>
          </w:p>
        </w:tc>
        <w:tc>
          <w:p>
            <w:pPr>
              <w:pStyle w:val="Compact"/>
              <w:jc w:val="left"/>
            </w:pPr>
            <w:r>
              <w:t xml:space="preserve">&lt;0.0001</w:t>
            </w:r>
          </w:p>
        </w:tc>
        <w:tc>
          <w:p>
            <w:pPr>
              <w:pStyle w:val="Compact"/>
              <w:jc w:val="left"/>
            </w:pPr>
            <w:r>
              <w:t xml:space="preserve">&lt;0.0001</w:t>
            </w:r>
          </w:p>
        </w:tc>
        <w:tc>
          <w:p>
            <w:pPr>
              <w:pStyle w:val="Compact"/>
              <w:jc w:val="left"/>
            </w:pPr>
            <w:r>
              <w:t xml:space="preserve">−0.87</w:t>
            </w:r>
          </w:p>
        </w:tc>
        <w:tc>
          <w:p>
            <w:pPr>
              <w:pStyle w:val="Compact"/>
              <w:jc w:val="left"/>
            </w:pPr>
            <w:r>
              <w:t xml:space="preserve">large</w:t>
            </w:r>
          </w:p>
        </w:tc>
      </w:tr>
      <w:tr>
        <w:tc>
          <w:p>
            <w:pPr>
              <w:pStyle w:val="Compact"/>
              <w:jc w:val="left"/>
            </w:pPr>
            <w:r>
              <w:t xml:space="preserve">30%</w:t>
            </w:r>
          </w:p>
        </w:tc>
        <w:tc>
          <w:p>
            <w:pPr>
              <w:pStyle w:val="Compact"/>
              <w:jc w:val="left"/>
            </w:pPr>
            <w:r>
              <w:t xml:space="preserve">PPO vs Boids</w:t>
            </w:r>
          </w:p>
        </w:tc>
        <w:tc>
          <w:p>
            <w:pPr>
              <w:pStyle w:val="Compact"/>
              <w:jc w:val="left"/>
            </w:pPr>
            <w:r>
              <w:t xml:space="preserve">−1.17</w:t>
            </w:r>
          </w:p>
        </w:tc>
        <w:tc>
          <w:p>
            <w:pPr>
              <w:pStyle w:val="Compact"/>
              <w:jc w:val="left"/>
            </w:pPr>
            <w:r>
              <w:t xml:space="preserve">[−3.54, 1.22]</w:t>
            </w:r>
          </w:p>
        </w:tc>
        <w:tc>
          <w:p>
            <w:pPr>
              <w:pStyle w:val="Compact"/>
              <w:jc w:val="left"/>
            </w:pPr>
            <w:r>
              <w:t xml:space="preserve">1055.0</w:t>
            </w:r>
          </w:p>
        </w:tc>
        <w:tc>
          <w:p>
            <w:pPr>
              <w:pStyle w:val="Compact"/>
              <w:jc w:val="left"/>
            </w:pPr>
            <w:r>
              <w:t xml:space="preserve">0.1800</w:t>
            </w:r>
          </w:p>
        </w:tc>
        <w:tc>
          <w:p>
            <w:pPr>
              <w:pStyle w:val="Compact"/>
              <w:jc w:val="left"/>
            </w:pPr>
            <w:r>
              <w:t xml:space="preserve">0.7199</w:t>
            </w:r>
          </w:p>
        </w:tc>
        <w:tc>
          <w:p>
            <w:pPr>
              <w:pStyle w:val="Compact"/>
              <w:jc w:val="left"/>
            </w:pPr>
            <w:r>
              <w:t xml:space="preserve">−0.16</w:t>
            </w:r>
          </w:p>
        </w:tc>
        <w:tc>
          <w:p>
            <w:pPr>
              <w:pStyle w:val="Compact"/>
              <w:jc w:val="left"/>
            </w:pPr>
            <w:r>
              <w:t xml:space="preserve">small</w:t>
            </w:r>
          </w:p>
        </w:tc>
      </w:tr>
    </w:tbl>
    <w:p>
      <w:pPr>
        <w:pStyle w:val="Heading3"/>
      </w:pPr>
      <w:bookmarkStart w:id="78" w:name="summary-of-the-pairwise-findings"/>
      <w:r>
        <w:t xml:space="preserve">4.3.1 Summary of the pairwise findings</w:t>
      </w:r>
      <w:bookmarkEnd w:id="78"/>
    </w:p>
    <w:p>
      <w:pPr>
        <w:numPr>
          <w:ilvl w:val="0"/>
          <w:numId w:val="1011"/>
        </w:numPr>
        <w:pStyle w:val="Compact"/>
      </w:pPr>
      <w:r>
        <w:rPr>
          <w:b/>
        </w:rPr>
        <w:t xml:space="preserve">APF exceeds Boids at all four densities on both seed sets.</w:t>
      </w:r>
      <w:r>
        <w:t xml:space="preserve"> </w:t>
      </w:r>
      <w:r>
        <w:t xml:space="preserve">All eight comparisons are significant after Holm correction (Holm p ≤ 0.0006). Effect sizes are medium at 0% density and large at 10–30%. The margin widens monotonically with obstacle density, from +3.1 to +3.9 pp at 0% to +10.0 to +10.3 pp at 30%.</w:t>
      </w:r>
    </w:p>
    <w:p>
      <w:pPr>
        <w:numPr>
          <w:ilvl w:val="0"/>
          <w:numId w:val="1011"/>
        </w:numPr>
        <w:pStyle w:val="Compact"/>
      </w:pPr>
      <w:r>
        <w:rPr>
          <w:b/>
        </w:rPr>
        <w:t xml:space="preserve">PPO is below APF at all four densities on both seed sets.</w:t>
      </w:r>
      <w:r>
        <w:t xml:space="preserve"> </w:t>
      </w:r>
      <w:r>
        <w:t xml:space="preserve">All eight comparisons are significant after Holm correction (Holm p &lt; 0.0001). All eight effect sizes are large (Cliff’s δ from −0.53 to −0.87). The deficit widens with density, from −4.5 to −5.1 pp at 0% to −11.2 to −11.4 pp at 30%.</w:t>
      </w:r>
    </w:p>
    <w:p>
      <w:pPr>
        <w:numPr>
          <w:ilvl w:val="0"/>
          <w:numId w:val="1011"/>
        </w:numPr>
        <w:pStyle w:val="Compact"/>
      </w:pPr>
      <w:r>
        <w:rPr>
          <w:b/>
        </w:rPr>
        <w:t xml:space="preserve">PPO is not distinguishable from Boids at any density on either seed set.</w:t>
      </w:r>
      <w:r>
        <w:t xml:space="preserve"> </w:t>
      </w:r>
      <w:r>
        <w:t xml:space="preserve">None of the eight comparisons is significant after Holm correction; the smallest Holm-adjusted p is 0.299. Five of the eight effect sizes are negligible and three are small; the largest absolute Cliff’s δ is 0.21. Differences range from −2.60 to +0.21 pp.</w:t>
      </w:r>
    </w:p>
    <w:p>
      <w:pPr>
        <w:pStyle w:val="Heading3"/>
      </w:pPr>
      <w:bookmarkStart w:id="79" w:name="robustness-of-the-test-choice"/>
      <w:r>
        <w:t xml:space="preserve">4.3.2 Robustness of the test choice</w:t>
      </w:r>
      <w:bookmarkEnd w:id="79"/>
    </w:p>
    <w:p>
      <w:pPr>
        <w:pStyle w:val="FirstParagraph"/>
      </w:pPr>
      <w:r>
        <w:t xml:space="preserve">The paired Wilcoxon signed-rank test and the Mann-Whitney U test reach the same significant/non-significant verdict on 24 of 24 comparisons at Holm-corrected α = 0.05. Welch’s t-test agrees with the rank tests on 24 of 24 comparisons at uncorrected α = 0.05. The conclusions in Section 4.3.1 do not depend on the choice of test family.</w:t>
      </w:r>
    </w:p>
    <w:p>
      <w:r>
        <w:pict>
          <v:rect style="width:0;height:1.5pt" o:hralign="center" o:hrstd="t" o:hr="t"/>
        </w:pict>
      </w:r>
    </w:p>
    <w:p>
      <w:pPr>
        <w:pStyle w:val="Heading2"/>
      </w:pPr>
      <w:bookmarkStart w:id="80" w:name="comparison-against-the-90-criterion"/>
      <w:r>
        <w:t xml:space="preserve">4.4 Comparison against the 90% criterion</w:t>
      </w:r>
      <w:bookmarkEnd w:id="80"/>
    </w:p>
    <w:p>
      <w:pPr>
        <w:pStyle w:val="FirstParagraph"/>
      </w:pPr>
      <w:r>
        <w:t xml:space="preserve">One-sided Wilcoxon signed-rank tests of coverage against the 90% threshold, Holm-corrected across all 24 cells.</w:t>
      </w:r>
    </w:p>
    <w:p>
      <w:pPr>
        <w:pStyle w:val="Heading3"/>
      </w:pPr>
      <w:bookmarkStart w:id="81" w:name="X815e94633be6983d058107616234a5a3f55b9e2"/>
      <w:r>
        <w:t xml:space="preserve">Table 4.6 — Verdict against the 90% criterion</w:t>
      </w:r>
      <w:bookmarkEnd w:id="8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0%</w:t>
            </w:r>
          </w:p>
        </w:tc>
        <w:tc>
          <w:tcPr>
            <w:tcBorders>
              <w:bottom w:val="single"/>
            </w:tcBorders>
            <w:vAlign w:val="bottom"/>
          </w:tcPr>
          <w:p>
            <w:pPr>
              <w:pStyle w:val="Compact"/>
              <w:jc w:val="left"/>
            </w:pPr>
            <w:r>
              <w:t xml:space="preserve">10%</w:t>
            </w:r>
          </w:p>
        </w:tc>
        <w:tc>
          <w:tcPr>
            <w:tcBorders>
              <w:bottom w:val="single"/>
            </w:tcBorders>
            <w:vAlign w:val="bottom"/>
          </w:tcPr>
          <w:p>
            <w:pPr>
              <w:pStyle w:val="Compact"/>
              <w:jc w:val="left"/>
            </w:pPr>
            <w:r>
              <w:t xml:space="preserve">20%</w:t>
            </w:r>
          </w:p>
        </w:tc>
        <w:tc>
          <w:tcPr>
            <w:tcBorders>
              <w:bottom w:val="single"/>
            </w:tcBorders>
            <w:vAlign w:val="bottom"/>
          </w:tcPr>
          <w:p>
            <w:pPr>
              <w:pStyle w:val="Compact"/>
              <w:jc w:val="left"/>
            </w:pPr>
            <w:r>
              <w:t xml:space="preserve">30%</w:t>
            </w:r>
          </w:p>
        </w:tc>
      </w:tr>
      <w:tr>
        <w:tc>
          <w:p>
            <w:pPr>
              <w:pStyle w:val="Compact"/>
              <w:jc w:val="left"/>
            </w:pPr>
            <w:r>
              <w:rPr>
                <w:b/>
              </w:rPr>
              <w:t xml:space="preserve">Seed Set A</w:t>
            </w:r>
          </w:p>
        </w:tc>
        <w:tc>
          <w:p/>
        </w:tc>
        <w:tc>
          <w:p/>
        </w:tc>
        <w:tc>
          <w:p/>
        </w:tc>
        <w:tc>
          <w:p/>
        </w:tc>
      </w:tr>
      <w:tr>
        <w:tc>
          <w:p>
            <w:pPr>
              <w:pStyle w:val="Compact"/>
              <w:jc w:val="left"/>
            </w:pPr>
            <w:r>
              <w:t xml:space="preserve">Boids</w:t>
            </w:r>
          </w:p>
        </w:tc>
        <w:tc>
          <w:p>
            <w:pPr>
              <w:pStyle w:val="Compact"/>
              <w:jc w:val="left"/>
            </w:pPr>
            <w:r>
              <w:t xml:space="preserve">falls short</w:t>
            </w:r>
          </w:p>
        </w:tc>
        <w:tc>
          <w:p>
            <w:pPr>
              <w:pStyle w:val="Compact"/>
              <w:jc w:val="left"/>
            </w:pPr>
            <w:r>
              <w:t xml:space="preserve">falls short</w:t>
            </w:r>
          </w:p>
        </w:tc>
        <w:tc>
          <w:p>
            <w:pPr>
              <w:pStyle w:val="Compact"/>
              <w:jc w:val="left"/>
            </w:pPr>
            <w:r>
              <w:t xml:space="preserve">falls short</w:t>
            </w:r>
          </w:p>
        </w:tc>
        <w:tc>
          <w:p>
            <w:pPr>
              <w:pStyle w:val="Compact"/>
              <w:jc w:val="left"/>
            </w:pPr>
            <w:r>
              <w:t xml:space="preserve">falls short</w:t>
            </w:r>
          </w:p>
        </w:tc>
      </w:tr>
      <w:tr>
        <w:tc>
          <w:p>
            <w:pPr>
              <w:pStyle w:val="Compact"/>
              <w:jc w:val="left"/>
            </w:pPr>
            <w:r>
              <w:t xml:space="preserve">APF</w:t>
            </w:r>
          </w:p>
        </w:tc>
        <w:tc>
          <w:p>
            <w:pPr>
              <w:pStyle w:val="Compact"/>
              <w:jc w:val="left"/>
            </w:pPr>
            <w:r>
              <w:t xml:space="preserve">indistinguishable (p = 0.063)</w:t>
            </w:r>
          </w:p>
        </w:tc>
        <w:tc>
          <w:p>
            <w:pPr>
              <w:pStyle w:val="Compact"/>
              <w:jc w:val="left"/>
            </w:pPr>
            <w:r>
              <w:rPr>
                <w:b/>
              </w:rPr>
              <w:t xml:space="preserve">exceeds</w:t>
            </w:r>
            <w:r>
              <w:t xml:space="preserve"> </w:t>
            </w:r>
            <w:r>
              <w:t xml:space="preserve">(Holm p = 0.021)</w:t>
            </w:r>
          </w:p>
        </w:tc>
        <w:tc>
          <w:p>
            <w:pPr>
              <w:pStyle w:val="Compact"/>
              <w:jc w:val="left"/>
            </w:pPr>
            <w:r>
              <w:rPr>
                <w:b/>
              </w:rPr>
              <w:t xml:space="preserve">exceeds</w:t>
            </w:r>
            <w:r>
              <w:t xml:space="preserve"> </w:t>
            </w:r>
            <w:r>
              <w:t xml:space="preserve">(Holm p &lt; 0.0001)</w:t>
            </w:r>
          </w:p>
        </w:tc>
        <w:tc>
          <w:p>
            <w:pPr>
              <w:pStyle w:val="Compact"/>
              <w:jc w:val="left"/>
            </w:pPr>
            <w:r>
              <w:rPr>
                <w:b/>
              </w:rPr>
              <w:t xml:space="preserve">exceeds</w:t>
            </w:r>
            <w:r>
              <w:t xml:space="preserve"> </w:t>
            </w:r>
            <w:r>
              <w:t xml:space="preserve">(Holm p &lt; 0.0001)</w:t>
            </w:r>
          </w:p>
        </w:tc>
      </w:tr>
      <w:tr>
        <w:tc>
          <w:p>
            <w:pPr>
              <w:pStyle w:val="Compact"/>
              <w:jc w:val="left"/>
            </w:pPr>
            <w:r>
              <w:t xml:space="preserve">PPO</w:t>
            </w:r>
          </w:p>
        </w:tc>
        <w:tc>
          <w:p>
            <w:pPr>
              <w:pStyle w:val="Compact"/>
              <w:jc w:val="left"/>
            </w:pPr>
            <w:r>
              <w:t xml:space="preserve">falls short</w:t>
            </w:r>
          </w:p>
        </w:tc>
        <w:tc>
          <w:p>
            <w:pPr>
              <w:pStyle w:val="Compact"/>
              <w:jc w:val="left"/>
            </w:pPr>
            <w:r>
              <w:t xml:space="preserve">falls short</w:t>
            </w:r>
          </w:p>
        </w:tc>
        <w:tc>
          <w:p>
            <w:pPr>
              <w:pStyle w:val="Compact"/>
              <w:jc w:val="left"/>
            </w:pPr>
            <w:r>
              <w:t xml:space="preserve">falls short</w:t>
            </w:r>
          </w:p>
        </w:tc>
        <w:tc>
          <w:p>
            <w:pPr>
              <w:pStyle w:val="Compact"/>
              <w:jc w:val="left"/>
            </w:pPr>
            <w:r>
              <w:t xml:space="preserve">falls short</w:t>
            </w:r>
          </w:p>
        </w:tc>
      </w:tr>
      <w:tr>
        <w:tc>
          <w:p>
            <w:pPr>
              <w:pStyle w:val="Compact"/>
              <w:jc w:val="left"/>
            </w:pPr>
            <w:r>
              <w:rPr>
                <w:b/>
              </w:rPr>
              <w:t xml:space="preserve">Seed Set B</w:t>
            </w:r>
          </w:p>
        </w:tc>
        <w:tc>
          <w:p/>
        </w:tc>
        <w:tc>
          <w:p/>
        </w:tc>
        <w:tc>
          <w:p/>
        </w:tc>
        <w:tc>
          <w:p/>
        </w:tc>
      </w:tr>
      <w:tr>
        <w:tc>
          <w:p>
            <w:pPr>
              <w:pStyle w:val="Compact"/>
              <w:jc w:val="left"/>
            </w:pPr>
            <w:r>
              <w:t xml:space="preserve">Boids</w:t>
            </w:r>
          </w:p>
        </w:tc>
        <w:tc>
          <w:p>
            <w:pPr>
              <w:pStyle w:val="Compact"/>
              <w:jc w:val="left"/>
            </w:pPr>
            <w:r>
              <w:t xml:space="preserve">falls short</w:t>
            </w:r>
          </w:p>
        </w:tc>
        <w:tc>
          <w:p>
            <w:pPr>
              <w:pStyle w:val="Compact"/>
              <w:jc w:val="left"/>
            </w:pPr>
            <w:r>
              <w:t xml:space="preserve">falls short</w:t>
            </w:r>
          </w:p>
        </w:tc>
        <w:tc>
          <w:p>
            <w:pPr>
              <w:pStyle w:val="Compact"/>
              <w:jc w:val="left"/>
            </w:pPr>
            <w:r>
              <w:t xml:space="preserve">falls short</w:t>
            </w:r>
          </w:p>
        </w:tc>
        <w:tc>
          <w:p>
            <w:pPr>
              <w:pStyle w:val="Compact"/>
              <w:jc w:val="left"/>
            </w:pPr>
            <w:r>
              <w:t xml:space="preserve">falls short</w:t>
            </w:r>
          </w:p>
        </w:tc>
      </w:tr>
      <w:tr>
        <w:tc>
          <w:p>
            <w:pPr>
              <w:pStyle w:val="Compact"/>
              <w:jc w:val="left"/>
            </w:pPr>
            <w:r>
              <w:t xml:space="preserve">APF</w:t>
            </w:r>
          </w:p>
        </w:tc>
        <w:tc>
          <w:p>
            <w:pPr>
              <w:pStyle w:val="Compact"/>
              <w:jc w:val="left"/>
            </w:pPr>
            <w:r>
              <w:t xml:space="preserve">indistinguishable (p = 0.154)</w:t>
            </w:r>
          </w:p>
        </w:tc>
        <w:tc>
          <w:p>
            <w:pPr>
              <w:pStyle w:val="Compact"/>
              <w:jc w:val="left"/>
            </w:pPr>
            <w:r>
              <w:rPr>
                <w:b/>
              </w:rPr>
              <w:t xml:space="preserve">exceeds</w:t>
            </w:r>
            <w:r>
              <w:t xml:space="preserve"> </w:t>
            </w:r>
            <w:r>
              <w:t xml:space="preserve">(Holm p &lt; 0.0001)</w:t>
            </w:r>
          </w:p>
        </w:tc>
        <w:tc>
          <w:p>
            <w:pPr>
              <w:pStyle w:val="Compact"/>
              <w:jc w:val="left"/>
            </w:pPr>
            <w:r>
              <w:rPr>
                <w:b/>
              </w:rPr>
              <w:t xml:space="preserve">exceeds</w:t>
            </w:r>
            <w:r>
              <w:t xml:space="preserve"> </w:t>
            </w:r>
            <w:r>
              <w:t xml:space="preserve">(Holm p &lt; 0.0001)</w:t>
            </w:r>
          </w:p>
        </w:tc>
        <w:tc>
          <w:p>
            <w:pPr>
              <w:pStyle w:val="Compact"/>
              <w:jc w:val="left"/>
            </w:pPr>
            <w:r>
              <w:rPr>
                <w:b/>
              </w:rPr>
              <w:t xml:space="preserve">exceeds</w:t>
            </w:r>
            <w:r>
              <w:t xml:space="preserve"> </w:t>
            </w:r>
            <w:r>
              <w:t xml:space="preserve">(Holm p &lt; 0.0001)</w:t>
            </w:r>
          </w:p>
        </w:tc>
      </w:tr>
      <w:tr>
        <w:tc>
          <w:p>
            <w:pPr>
              <w:pStyle w:val="Compact"/>
              <w:jc w:val="left"/>
            </w:pPr>
            <w:r>
              <w:t xml:space="preserve">PPO</w:t>
            </w:r>
          </w:p>
        </w:tc>
        <w:tc>
          <w:p>
            <w:pPr>
              <w:pStyle w:val="Compact"/>
              <w:jc w:val="left"/>
            </w:pPr>
            <w:r>
              <w:t xml:space="preserve">falls short</w:t>
            </w:r>
          </w:p>
        </w:tc>
        <w:tc>
          <w:p>
            <w:pPr>
              <w:pStyle w:val="Compact"/>
              <w:jc w:val="left"/>
            </w:pPr>
            <w:r>
              <w:t xml:space="preserve">falls short</w:t>
            </w:r>
          </w:p>
        </w:tc>
        <w:tc>
          <w:p>
            <w:pPr>
              <w:pStyle w:val="Compact"/>
              <w:jc w:val="left"/>
            </w:pPr>
            <w:r>
              <w:t xml:space="preserve">falls short</w:t>
            </w:r>
          </w:p>
        </w:tc>
        <w:tc>
          <w:p>
            <w:pPr>
              <w:pStyle w:val="Compact"/>
              <w:jc w:val="left"/>
            </w:pPr>
            <w:r>
              <w:t xml:space="preserve">falls short</w:t>
            </w:r>
          </w:p>
        </w:tc>
      </w:tr>
    </w:tbl>
    <w:p>
      <w:pPr>
        <w:pStyle w:val="BodyText"/>
      </w:pPr>
      <w:r>
        <w:t xml:space="preserve">APF is the only method that meets the criterion. It exceeds 90% significantly at 10%, 20% and 30% obstacle density on both seed sets, and is statistically indistinguishable from 90% at 0% density. Boids and PPO fall significantly short in all sixteen of their cells.</w:t>
      </w:r>
    </w:p>
    <w:p>
      <w:r>
        <w:pict>
          <v:rect style="width:0;height:1.5pt" o:hralign="center" o:hrstd="t" o:hr="t"/>
        </w:pict>
      </w:r>
    </w:p>
    <w:p>
      <w:pPr>
        <w:pStyle w:val="Heading2"/>
      </w:pPr>
      <w:bookmarkStart w:id="82" w:name="seed-set-a-versus-seed-set-b"/>
      <w:r>
        <w:t xml:space="preserve">4.5 Seed Set A versus Seed Set B</w:t>
      </w:r>
      <w:bookmarkEnd w:id="82"/>
    </w:p>
    <w:p>
      <w:pPr>
        <w:pStyle w:val="Heading3"/>
      </w:pPr>
      <w:bookmarkStart w:id="83" w:name="X95c3e341752af9d7c92d3fa715c71f713514652"/>
      <w:r>
        <w:t xml:space="preserve">Table 4.7 — Difference between seed sets (pp), Mann-Whitney U, Holm-corrected</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Density</w:t>
            </w:r>
          </w:p>
        </w:tc>
        <w:tc>
          <w:tcPr>
            <w:tcBorders>
              <w:bottom w:val="single"/>
            </w:tcBorders>
            <w:vAlign w:val="bottom"/>
          </w:tcPr>
          <w:p>
            <w:pPr>
              <w:pStyle w:val="Compact"/>
              <w:jc w:val="left"/>
            </w:pPr>
            <w:r>
              <w:t xml:space="preserve">Mean A</w:t>
            </w:r>
          </w:p>
        </w:tc>
        <w:tc>
          <w:tcPr>
            <w:tcBorders>
              <w:bottom w:val="single"/>
            </w:tcBorders>
            <w:vAlign w:val="bottom"/>
          </w:tcPr>
          <w:p>
            <w:pPr>
              <w:pStyle w:val="Compact"/>
              <w:jc w:val="left"/>
            </w:pPr>
            <w:r>
              <w:t xml:space="preserve">Mean B</w:t>
            </w:r>
          </w:p>
        </w:tc>
        <w:tc>
          <w:tcPr>
            <w:tcBorders>
              <w:bottom w:val="single"/>
            </w:tcBorders>
            <w:vAlign w:val="bottom"/>
          </w:tcPr>
          <w:p>
            <w:pPr>
              <w:pStyle w:val="Compact"/>
              <w:jc w:val="left"/>
            </w:pPr>
            <w:r>
              <w:t xml:space="preserve">A − B</w:t>
            </w:r>
          </w:p>
        </w:tc>
        <w:tc>
          <w:tcPr>
            <w:tcBorders>
              <w:bottom w:val="single"/>
            </w:tcBorders>
            <w:vAlign w:val="bottom"/>
          </w:tcPr>
          <w:p>
            <w:pPr>
              <w:pStyle w:val="Compact"/>
              <w:jc w:val="left"/>
            </w:pPr>
            <w:r>
              <w:t xml:space="preserve">95% CI</w:t>
            </w:r>
          </w:p>
        </w:tc>
        <w:tc>
          <w:tcPr>
            <w:tcBorders>
              <w:bottom w:val="single"/>
            </w:tcBorders>
            <w:vAlign w:val="bottom"/>
          </w:tcPr>
          <w:p>
            <w:pPr>
              <w:pStyle w:val="Compact"/>
              <w:jc w:val="left"/>
            </w:pPr>
            <w:r>
              <w:t xml:space="preserve">Holm p</w:t>
            </w:r>
          </w:p>
        </w:tc>
      </w:tr>
      <w:tr>
        <w:tc>
          <w:p>
            <w:pPr>
              <w:pStyle w:val="Compact"/>
              <w:jc w:val="left"/>
            </w:pPr>
            <w:r>
              <w:t xml:space="preserve">Boids</w:t>
            </w:r>
          </w:p>
        </w:tc>
        <w:tc>
          <w:p>
            <w:pPr>
              <w:pStyle w:val="Compact"/>
              <w:jc w:val="left"/>
            </w:pPr>
            <w:r>
              <w:t xml:space="preserve">0%</w:t>
            </w:r>
          </w:p>
        </w:tc>
        <w:tc>
          <w:p>
            <w:pPr>
              <w:pStyle w:val="Compact"/>
              <w:jc w:val="left"/>
            </w:pPr>
            <w:r>
              <w:t xml:space="preserve">86.69</w:t>
            </w:r>
          </w:p>
        </w:tc>
        <w:tc>
          <w:p>
            <w:pPr>
              <w:pStyle w:val="Compact"/>
              <w:jc w:val="left"/>
            </w:pPr>
            <w:r>
              <w:t xml:space="preserve">87.08</w:t>
            </w:r>
          </w:p>
        </w:tc>
        <w:tc>
          <w:p>
            <w:pPr>
              <w:pStyle w:val="Compact"/>
              <w:jc w:val="left"/>
            </w:pPr>
            <w:r>
              <w:t xml:space="preserve">−0.39</w:t>
            </w:r>
          </w:p>
        </w:tc>
        <w:tc>
          <w:p>
            <w:pPr>
              <w:pStyle w:val="Compact"/>
              <w:jc w:val="left"/>
            </w:pPr>
            <w:r>
              <w:t xml:space="preserve">[−2.28, 1.50]</w:t>
            </w:r>
          </w:p>
        </w:tc>
        <w:tc>
          <w:p>
            <w:pPr>
              <w:pStyle w:val="Compact"/>
              <w:jc w:val="left"/>
            </w:pPr>
            <w:r>
              <w:t xml:space="preserve">1.0000</w:t>
            </w:r>
          </w:p>
        </w:tc>
      </w:tr>
      <w:tr>
        <w:tc>
          <w:p>
            <w:pPr>
              <w:pStyle w:val="Compact"/>
              <w:jc w:val="left"/>
            </w:pPr>
            <w:r>
              <w:t xml:space="preserve">Boids</w:t>
            </w:r>
          </w:p>
        </w:tc>
        <w:tc>
          <w:p>
            <w:pPr>
              <w:pStyle w:val="Compact"/>
              <w:jc w:val="left"/>
            </w:pPr>
            <w:r>
              <w:t xml:space="preserve">10%</w:t>
            </w:r>
          </w:p>
        </w:tc>
        <w:tc>
          <w:p>
            <w:pPr>
              <w:pStyle w:val="Compact"/>
              <w:jc w:val="left"/>
            </w:pPr>
            <w:r>
              <w:t xml:space="preserve">85.48</w:t>
            </w:r>
          </w:p>
        </w:tc>
        <w:tc>
          <w:p>
            <w:pPr>
              <w:pStyle w:val="Compact"/>
              <w:jc w:val="left"/>
            </w:pPr>
            <w:r>
              <w:t xml:space="preserve">86.22</w:t>
            </w:r>
          </w:p>
        </w:tc>
        <w:tc>
          <w:p>
            <w:pPr>
              <w:pStyle w:val="Compact"/>
              <w:jc w:val="left"/>
            </w:pPr>
            <w:r>
              <w:t xml:space="preserve">−0.75</w:t>
            </w:r>
          </w:p>
        </w:tc>
        <w:tc>
          <w:p>
            <w:pPr>
              <w:pStyle w:val="Compact"/>
              <w:jc w:val="left"/>
            </w:pPr>
            <w:r>
              <w:t xml:space="preserve">[−2.81, 1.32]</w:t>
            </w:r>
          </w:p>
        </w:tc>
        <w:tc>
          <w:p>
            <w:pPr>
              <w:pStyle w:val="Compact"/>
              <w:jc w:val="left"/>
            </w:pPr>
            <w:r>
              <w:t xml:space="preserve">1.0000</w:t>
            </w:r>
          </w:p>
        </w:tc>
      </w:tr>
      <w:tr>
        <w:tc>
          <w:p>
            <w:pPr>
              <w:pStyle w:val="Compact"/>
              <w:jc w:val="left"/>
            </w:pPr>
            <w:r>
              <w:t xml:space="preserve">Boids</w:t>
            </w:r>
          </w:p>
        </w:tc>
        <w:tc>
          <w:p>
            <w:pPr>
              <w:pStyle w:val="Compact"/>
              <w:jc w:val="left"/>
            </w:pPr>
            <w:r>
              <w:t xml:space="preserve">20%</w:t>
            </w:r>
          </w:p>
        </w:tc>
        <w:tc>
          <w:p>
            <w:pPr>
              <w:pStyle w:val="Compact"/>
              <w:jc w:val="left"/>
            </w:pPr>
            <w:r>
              <w:t xml:space="preserve">86.41</w:t>
            </w:r>
          </w:p>
        </w:tc>
        <w:tc>
          <w:p>
            <w:pPr>
              <w:pStyle w:val="Compact"/>
              <w:jc w:val="left"/>
            </w:pPr>
            <w:r>
              <w:t xml:space="preserve">86.62</w:t>
            </w:r>
          </w:p>
        </w:tc>
        <w:tc>
          <w:p>
            <w:pPr>
              <w:pStyle w:val="Compact"/>
              <w:jc w:val="left"/>
            </w:pPr>
            <w:r>
              <w:t xml:space="preserve">−0.21</w:t>
            </w:r>
          </w:p>
        </w:tc>
        <w:tc>
          <w:p>
            <w:pPr>
              <w:pStyle w:val="Compact"/>
              <w:jc w:val="left"/>
            </w:pPr>
            <w:r>
              <w:t xml:space="preserve">[−2.52, 2.17]</w:t>
            </w:r>
          </w:p>
        </w:tc>
        <w:tc>
          <w:p>
            <w:pPr>
              <w:pStyle w:val="Compact"/>
              <w:jc w:val="left"/>
            </w:pPr>
            <w:r>
              <w:t xml:space="preserve">1.0000</w:t>
            </w:r>
          </w:p>
        </w:tc>
      </w:tr>
      <w:tr>
        <w:tc>
          <w:p>
            <w:pPr>
              <w:pStyle w:val="Compact"/>
              <w:jc w:val="left"/>
            </w:pPr>
            <w:r>
              <w:t xml:space="preserve">Boids</w:t>
            </w:r>
          </w:p>
        </w:tc>
        <w:tc>
          <w:p>
            <w:pPr>
              <w:pStyle w:val="Compact"/>
              <w:jc w:val="left"/>
            </w:pPr>
            <w:r>
              <w:t xml:space="preserve">30%</w:t>
            </w:r>
          </w:p>
        </w:tc>
        <w:tc>
          <w:p>
            <w:pPr>
              <w:pStyle w:val="Compact"/>
              <w:jc w:val="left"/>
            </w:pPr>
            <w:r>
              <w:t xml:space="preserve">83.16</w:t>
            </w:r>
          </w:p>
        </w:tc>
        <w:tc>
          <w:p>
            <w:pPr>
              <w:pStyle w:val="Compact"/>
              <w:jc w:val="left"/>
            </w:pPr>
            <w:r>
              <w:t xml:space="preserve">83.97</w:t>
            </w:r>
          </w:p>
        </w:tc>
        <w:tc>
          <w:p>
            <w:pPr>
              <w:pStyle w:val="Compact"/>
              <w:jc w:val="left"/>
            </w:pPr>
            <w:r>
              <w:t xml:space="preserve">−0.81</w:t>
            </w:r>
          </w:p>
        </w:tc>
        <w:tc>
          <w:p>
            <w:pPr>
              <w:pStyle w:val="Compact"/>
              <w:jc w:val="left"/>
            </w:pPr>
            <w:r>
              <w:t xml:space="preserve">[−3.52, 1.84]</w:t>
            </w:r>
          </w:p>
        </w:tc>
        <w:tc>
          <w:p>
            <w:pPr>
              <w:pStyle w:val="Compact"/>
              <w:jc w:val="left"/>
            </w:pPr>
            <w:r>
              <w:t xml:space="preserve">1.0000</w:t>
            </w:r>
          </w:p>
        </w:tc>
      </w:tr>
      <w:tr>
        <w:tc>
          <w:p>
            <w:pPr>
              <w:pStyle w:val="Compact"/>
              <w:jc w:val="left"/>
            </w:pPr>
            <w:r>
              <w:t xml:space="preserve">APF</w:t>
            </w:r>
          </w:p>
        </w:tc>
        <w:tc>
          <w:p>
            <w:pPr>
              <w:pStyle w:val="Compact"/>
              <w:jc w:val="left"/>
            </w:pPr>
            <w:r>
              <w:t xml:space="preserve">0%</w:t>
            </w:r>
          </w:p>
        </w:tc>
        <w:tc>
          <w:p>
            <w:pPr>
              <w:pStyle w:val="Compact"/>
              <w:jc w:val="left"/>
            </w:pPr>
            <w:r>
              <w:t xml:space="preserve">90.55</w:t>
            </w:r>
          </w:p>
        </w:tc>
        <w:tc>
          <w:p>
            <w:pPr>
              <w:pStyle w:val="Compact"/>
              <w:jc w:val="left"/>
            </w:pPr>
            <w:r>
              <w:t xml:space="preserve">90.19</w:t>
            </w:r>
          </w:p>
        </w:tc>
        <w:tc>
          <w:p>
            <w:pPr>
              <w:pStyle w:val="Compact"/>
              <w:jc w:val="left"/>
            </w:pPr>
            <w:r>
              <w:t xml:space="preserve">+0.35</w:t>
            </w:r>
          </w:p>
        </w:tc>
        <w:tc>
          <w:p>
            <w:pPr>
              <w:pStyle w:val="Compact"/>
              <w:jc w:val="left"/>
            </w:pPr>
            <w:r>
              <w:t xml:space="preserve">[−1.31, 2.04]</w:t>
            </w:r>
          </w:p>
        </w:tc>
        <w:tc>
          <w:p>
            <w:pPr>
              <w:pStyle w:val="Compact"/>
              <w:jc w:val="left"/>
            </w:pPr>
            <w:r>
              <w:t xml:space="preserve">1.0000</w:t>
            </w:r>
          </w:p>
        </w:tc>
      </w:tr>
      <w:tr>
        <w:tc>
          <w:p>
            <w:pPr>
              <w:pStyle w:val="Compact"/>
              <w:jc w:val="left"/>
            </w:pPr>
            <w:r>
              <w:t xml:space="preserve">APF</w:t>
            </w:r>
          </w:p>
        </w:tc>
        <w:tc>
          <w:p>
            <w:pPr>
              <w:pStyle w:val="Compact"/>
              <w:jc w:val="left"/>
            </w:pPr>
            <w:r>
              <w:t xml:space="preserve">10%</w:t>
            </w:r>
          </w:p>
        </w:tc>
        <w:tc>
          <w:p>
            <w:pPr>
              <w:pStyle w:val="Compact"/>
              <w:jc w:val="left"/>
            </w:pPr>
            <w:r>
              <w:t xml:space="preserve">92.02</w:t>
            </w:r>
          </w:p>
        </w:tc>
        <w:tc>
          <w:p>
            <w:pPr>
              <w:pStyle w:val="Compact"/>
              <w:jc w:val="left"/>
            </w:pPr>
            <w:r>
              <w:t xml:space="preserve">93.85</w:t>
            </w:r>
          </w:p>
        </w:tc>
        <w:tc>
          <w:p>
            <w:pPr>
              <w:pStyle w:val="Compact"/>
              <w:jc w:val="left"/>
            </w:pPr>
            <w:r>
              <w:t xml:space="preserve">−1.84</w:t>
            </w:r>
          </w:p>
        </w:tc>
        <w:tc>
          <w:p>
            <w:pPr>
              <w:pStyle w:val="Compact"/>
              <w:jc w:val="left"/>
            </w:pPr>
            <w:r>
              <w:t xml:space="preserve">[−3.34, −0.33]</w:t>
            </w:r>
          </w:p>
        </w:tc>
        <w:tc>
          <w:p>
            <w:pPr>
              <w:pStyle w:val="Compact"/>
              <w:jc w:val="left"/>
            </w:pPr>
            <w:r>
              <w:t xml:space="preserve">0.4520</w:t>
            </w:r>
          </w:p>
        </w:tc>
      </w:tr>
      <w:tr>
        <w:tc>
          <w:p>
            <w:pPr>
              <w:pStyle w:val="Compact"/>
              <w:jc w:val="left"/>
            </w:pPr>
            <w:r>
              <w:t xml:space="preserve">APF</w:t>
            </w:r>
          </w:p>
        </w:tc>
        <w:tc>
          <w:p>
            <w:pPr>
              <w:pStyle w:val="Compact"/>
              <w:jc w:val="left"/>
            </w:pPr>
            <w:r>
              <w:t xml:space="preserve">20%</w:t>
            </w:r>
          </w:p>
        </w:tc>
        <w:tc>
          <w:p>
            <w:pPr>
              <w:pStyle w:val="Compact"/>
              <w:jc w:val="left"/>
            </w:pPr>
            <w:r>
              <w:t xml:space="preserve">93.52</w:t>
            </w:r>
          </w:p>
        </w:tc>
        <w:tc>
          <w:p>
            <w:pPr>
              <w:pStyle w:val="Compact"/>
              <w:jc w:val="left"/>
            </w:pPr>
            <w:r>
              <w:t xml:space="preserve">94.18</w:t>
            </w:r>
          </w:p>
        </w:tc>
        <w:tc>
          <w:p>
            <w:pPr>
              <w:pStyle w:val="Compact"/>
              <w:jc w:val="left"/>
            </w:pPr>
            <w:r>
              <w:t xml:space="preserve">−0.66</w:t>
            </w:r>
          </w:p>
        </w:tc>
        <w:tc>
          <w:p>
            <w:pPr>
              <w:pStyle w:val="Compact"/>
              <w:jc w:val="left"/>
            </w:pPr>
            <w:r>
              <w:t xml:space="preserve">[−2.17, 1.00]</w:t>
            </w:r>
          </w:p>
        </w:tc>
        <w:tc>
          <w:p>
            <w:pPr>
              <w:pStyle w:val="Compact"/>
              <w:jc w:val="left"/>
            </w:pPr>
            <w:r>
              <w:t xml:space="preserve">1.0000</w:t>
            </w:r>
          </w:p>
        </w:tc>
      </w:tr>
      <w:tr>
        <w:tc>
          <w:p>
            <w:pPr>
              <w:pStyle w:val="Compact"/>
              <w:jc w:val="left"/>
            </w:pPr>
            <w:r>
              <w:t xml:space="preserve">APF</w:t>
            </w:r>
          </w:p>
        </w:tc>
        <w:tc>
          <w:p>
            <w:pPr>
              <w:pStyle w:val="Compact"/>
              <w:jc w:val="left"/>
            </w:pPr>
            <w:r>
              <w:t xml:space="preserve">30%</w:t>
            </w:r>
          </w:p>
        </w:tc>
        <w:tc>
          <w:p>
            <w:pPr>
              <w:pStyle w:val="Compact"/>
              <w:jc w:val="left"/>
            </w:pPr>
            <w:r>
              <w:t xml:space="preserve">93.49</w:t>
            </w:r>
          </w:p>
        </w:tc>
        <w:tc>
          <w:p>
            <w:pPr>
              <w:pStyle w:val="Compact"/>
              <w:jc w:val="left"/>
            </w:pPr>
            <w:r>
              <w:t xml:space="preserve">93.97</w:t>
            </w:r>
          </w:p>
        </w:tc>
        <w:tc>
          <w:p>
            <w:pPr>
              <w:pStyle w:val="Compact"/>
              <w:jc w:val="left"/>
            </w:pPr>
            <w:r>
              <w:t xml:space="preserve">−0.48</w:t>
            </w:r>
          </w:p>
        </w:tc>
        <w:tc>
          <w:p>
            <w:pPr>
              <w:pStyle w:val="Compact"/>
              <w:jc w:val="left"/>
            </w:pPr>
            <w:r>
              <w:t xml:space="preserve">[−2.06, 1.17]</w:t>
            </w:r>
          </w:p>
        </w:tc>
        <w:tc>
          <w:p>
            <w:pPr>
              <w:pStyle w:val="Compact"/>
              <w:jc w:val="left"/>
            </w:pPr>
            <w:r>
              <w:t xml:space="preserve">1.0000</w:t>
            </w:r>
          </w:p>
        </w:tc>
      </w:tr>
      <w:tr>
        <w:tc>
          <w:p>
            <w:pPr>
              <w:pStyle w:val="Compact"/>
              <w:jc w:val="left"/>
            </w:pPr>
            <w:r>
              <w:t xml:space="preserve">PPO</w:t>
            </w:r>
          </w:p>
        </w:tc>
        <w:tc>
          <w:p>
            <w:pPr>
              <w:pStyle w:val="Compact"/>
              <w:jc w:val="left"/>
            </w:pPr>
            <w:r>
              <w:t xml:space="preserve">0%</w:t>
            </w:r>
          </w:p>
        </w:tc>
        <w:tc>
          <w:p>
            <w:pPr>
              <w:pStyle w:val="Compact"/>
              <w:jc w:val="left"/>
            </w:pPr>
            <w:r>
              <w:t xml:space="preserve">85.46</w:t>
            </w:r>
          </w:p>
        </w:tc>
        <w:tc>
          <w:p>
            <w:pPr>
              <w:pStyle w:val="Compact"/>
              <w:jc w:val="left"/>
            </w:pPr>
            <w:r>
              <w:t xml:space="preserve">85.68</w:t>
            </w:r>
          </w:p>
        </w:tc>
        <w:tc>
          <w:p>
            <w:pPr>
              <w:pStyle w:val="Compact"/>
              <w:jc w:val="left"/>
            </w:pPr>
            <w:r>
              <w:t xml:space="preserve">−0.23</w:t>
            </w:r>
          </w:p>
        </w:tc>
        <w:tc>
          <w:p>
            <w:pPr>
              <w:pStyle w:val="Compact"/>
              <w:jc w:val="left"/>
            </w:pPr>
            <w:r>
              <w:t xml:space="preserve">[−2.17, 1.75]</w:t>
            </w:r>
          </w:p>
        </w:tc>
        <w:tc>
          <w:p>
            <w:pPr>
              <w:pStyle w:val="Compact"/>
              <w:jc w:val="left"/>
            </w:pPr>
            <w:r>
              <w:t xml:space="preserve">1.0000</w:t>
            </w:r>
          </w:p>
        </w:tc>
      </w:tr>
      <w:tr>
        <w:tc>
          <w:p>
            <w:pPr>
              <w:pStyle w:val="Compact"/>
              <w:jc w:val="left"/>
            </w:pPr>
            <w:r>
              <w:t xml:space="preserve">PPO</w:t>
            </w:r>
          </w:p>
        </w:tc>
        <w:tc>
          <w:p>
            <w:pPr>
              <w:pStyle w:val="Compact"/>
              <w:jc w:val="left"/>
            </w:pPr>
            <w:r>
              <w:t xml:space="preserve">10%</w:t>
            </w:r>
          </w:p>
        </w:tc>
        <w:tc>
          <w:p>
            <w:pPr>
              <w:pStyle w:val="Compact"/>
              <w:jc w:val="left"/>
            </w:pPr>
            <w:r>
              <w:t xml:space="preserve">85.68</w:t>
            </w:r>
          </w:p>
        </w:tc>
        <w:tc>
          <w:p>
            <w:pPr>
              <w:pStyle w:val="Compact"/>
              <w:jc w:val="left"/>
            </w:pPr>
            <w:r>
              <w:t xml:space="preserve">85.98</w:t>
            </w:r>
          </w:p>
        </w:tc>
        <w:tc>
          <w:p>
            <w:pPr>
              <w:pStyle w:val="Compact"/>
              <w:jc w:val="left"/>
            </w:pPr>
            <w:r>
              <w:t xml:space="preserve">−0.30</w:t>
            </w:r>
          </w:p>
        </w:tc>
        <w:tc>
          <w:p>
            <w:pPr>
              <w:pStyle w:val="Compact"/>
              <w:jc w:val="left"/>
            </w:pPr>
            <w:r>
              <w:t xml:space="preserve">[−2.51, 1.94]</w:t>
            </w:r>
          </w:p>
        </w:tc>
        <w:tc>
          <w:p>
            <w:pPr>
              <w:pStyle w:val="Compact"/>
              <w:jc w:val="left"/>
            </w:pPr>
            <w:r>
              <w:t xml:space="preserve">1.0000</w:t>
            </w:r>
          </w:p>
        </w:tc>
      </w:tr>
      <w:tr>
        <w:tc>
          <w:p>
            <w:pPr>
              <w:pStyle w:val="Compact"/>
              <w:jc w:val="left"/>
            </w:pPr>
            <w:r>
              <w:t xml:space="preserve">PPO</w:t>
            </w:r>
          </w:p>
        </w:tc>
        <w:tc>
          <w:p>
            <w:pPr>
              <w:pStyle w:val="Compact"/>
              <w:jc w:val="left"/>
            </w:pPr>
            <w:r>
              <w:t xml:space="preserve">20%</w:t>
            </w:r>
          </w:p>
        </w:tc>
        <w:tc>
          <w:p>
            <w:pPr>
              <w:pStyle w:val="Compact"/>
              <w:jc w:val="left"/>
            </w:pPr>
            <w:r>
              <w:t xml:space="preserve">83.80</w:t>
            </w:r>
          </w:p>
        </w:tc>
        <w:tc>
          <w:p>
            <w:pPr>
              <w:pStyle w:val="Compact"/>
              <w:jc w:val="left"/>
            </w:pPr>
            <w:r>
              <w:t xml:space="preserve">85.85</w:t>
            </w:r>
          </w:p>
        </w:tc>
        <w:tc>
          <w:p>
            <w:pPr>
              <w:pStyle w:val="Compact"/>
              <w:jc w:val="left"/>
            </w:pPr>
            <w:r>
              <w:t xml:space="preserve">−2.04</w:t>
            </w:r>
          </w:p>
        </w:tc>
        <w:tc>
          <w:p>
            <w:pPr>
              <w:pStyle w:val="Compact"/>
              <w:jc w:val="left"/>
            </w:pPr>
            <w:r>
              <w:t xml:space="preserve">[−4.50, 0.40]</w:t>
            </w:r>
          </w:p>
        </w:tc>
        <w:tc>
          <w:p>
            <w:pPr>
              <w:pStyle w:val="Compact"/>
              <w:jc w:val="left"/>
            </w:pPr>
            <w:r>
              <w:t xml:space="preserve">1.0000</w:t>
            </w:r>
          </w:p>
        </w:tc>
      </w:tr>
      <w:tr>
        <w:tc>
          <w:p>
            <w:pPr>
              <w:pStyle w:val="Compact"/>
              <w:jc w:val="left"/>
            </w:pPr>
            <w:r>
              <w:t xml:space="preserve">PPO</w:t>
            </w:r>
          </w:p>
        </w:tc>
        <w:tc>
          <w:p>
            <w:pPr>
              <w:pStyle w:val="Compact"/>
              <w:jc w:val="left"/>
            </w:pPr>
            <w:r>
              <w:t xml:space="preserve">30%</w:t>
            </w:r>
          </w:p>
        </w:tc>
        <w:tc>
          <w:p>
            <w:pPr>
              <w:pStyle w:val="Compact"/>
              <w:jc w:val="left"/>
            </w:pPr>
            <w:r>
              <w:t xml:space="preserve">82.11</w:t>
            </w:r>
          </w:p>
        </w:tc>
        <w:tc>
          <w:p>
            <w:pPr>
              <w:pStyle w:val="Compact"/>
              <w:jc w:val="left"/>
            </w:pPr>
            <w:r>
              <w:t xml:space="preserve">82.80</w:t>
            </w:r>
          </w:p>
        </w:tc>
        <w:tc>
          <w:p>
            <w:pPr>
              <w:pStyle w:val="Compact"/>
              <w:jc w:val="left"/>
            </w:pPr>
            <w:r>
              <w:t xml:space="preserve">−0.69</w:t>
            </w:r>
          </w:p>
        </w:tc>
        <w:tc>
          <w:p>
            <w:pPr>
              <w:pStyle w:val="Compact"/>
              <w:jc w:val="left"/>
            </w:pPr>
            <w:r>
              <w:t xml:space="preserve">[−3.07, 1.67]</w:t>
            </w:r>
          </w:p>
        </w:tc>
        <w:tc>
          <w:p>
            <w:pPr>
              <w:pStyle w:val="Compact"/>
              <w:jc w:val="left"/>
            </w:pPr>
            <w:r>
              <w:t xml:space="preserve">1.0000</w:t>
            </w:r>
          </w:p>
        </w:tc>
      </w:tr>
    </w:tbl>
    <w:p>
      <w:pPr>
        <w:pStyle w:val="BodyText"/>
      </w:pPr>
      <w:r>
        <w:t xml:space="preserve">No difference between the two seed sets is significant after Holm correction for any method at any density. All twelve differences are under 2.1 percentage points in magnitude, and all twelve confidence intervals include zero.</w:t>
      </w:r>
    </w:p>
    <w:p>
      <w:pPr>
        <w:pStyle w:val="BodyText"/>
      </w:pPr>
      <w:r>
        <w:rPr>
          <w:b/>
        </w:rPr>
        <w:t xml:space="preserve">These numbers must not be read as evidence of generalisation.</w:t>
      </w:r>
      <w:r>
        <w:t xml:space="preserve"> </w:t>
      </w:r>
      <w:r>
        <w:t xml:space="preserve">Section 4.7 establishes that Seed Set B does not consist of layouts unseen during training. The correct reading is stated in Section 4.7.2.</w:t>
      </w:r>
    </w:p>
    <w:p>
      <w:r>
        <w:pict>
          <v:rect style="width:0;height:1.5pt" o:hralign="center" o:hrstd="t" o:hr="t"/>
        </w:pict>
      </w:r>
    </w:p>
    <w:p>
      <w:pPr>
        <w:pStyle w:val="Heading2"/>
      </w:pPr>
      <w:bookmarkStart w:id="84" w:name="secondary-measures"/>
      <w:r>
        <w:t xml:space="preserve">4.6 Secondary measures</w:t>
      </w:r>
      <w:bookmarkEnd w:id="84"/>
    </w:p>
    <w:p>
      <w:pPr>
        <w:pStyle w:val="FirstParagraph"/>
      </w:pPr>
      <w:r>
        <w:t xml:space="preserve">The measures below were collected on 20 seeds per condition rather than 50 and are reported as supporting observations, not as tested hypotheses.</w:t>
      </w:r>
    </w:p>
    <w:p>
      <w:pPr>
        <w:pStyle w:val="Heading3"/>
      </w:pPr>
      <w:bookmarkStart w:id="85" w:name="X83ff03872c965a4b3c46cef625bb2ccde4508f3"/>
      <w:r>
        <w:t xml:space="preserve">Table 4.8 — Secondary metrics at 700 steps, 6 UAVs, 20 seeds</w:t>
      </w:r>
      <w:bookmarkEnd w:id="85"/>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Density</w:t>
            </w:r>
          </w:p>
        </w:tc>
        <w:tc>
          <w:tcPr>
            <w:tcBorders>
              <w:bottom w:val="single"/>
            </w:tcBorders>
            <w:vAlign w:val="bottom"/>
          </w:tcPr>
          <w:p>
            <w:pPr>
              <w:pStyle w:val="Compact"/>
              <w:jc w:val="left"/>
            </w:pPr>
            <w:r>
              <w:t xml:space="preserve">Coverage (%)</w:t>
            </w:r>
          </w:p>
        </w:tc>
        <w:tc>
          <w:tcPr>
            <w:tcBorders>
              <w:bottom w:val="single"/>
            </w:tcBorders>
            <w:vAlign w:val="bottom"/>
          </w:tcPr>
          <w:p>
            <w:pPr>
              <w:pStyle w:val="Compact"/>
              <w:jc w:val="left"/>
            </w:pPr>
            <w:r>
              <w:t xml:space="preserve">Total path length</w:t>
            </w:r>
          </w:p>
        </w:tc>
        <w:tc>
          <w:tcPr>
            <w:tcBorders>
              <w:bottom w:val="single"/>
            </w:tcBorders>
            <w:vAlign w:val="bottom"/>
          </w:tcPr>
          <w:p>
            <w:pPr>
              <w:pStyle w:val="Compact"/>
              <w:jc w:val="left"/>
            </w:pPr>
            <w:r>
              <w:t xml:space="preserve">Near-collision events</w:t>
            </w:r>
          </w:p>
        </w:tc>
        <w:tc>
          <w:tcPr>
            <w:tcBorders>
              <w:bottom w:val="single"/>
            </w:tcBorders>
            <w:vAlign w:val="bottom"/>
          </w:tcPr>
          <w:p>
            <w:pPr>
              <w:pStyle w:val="Compact"/>
              <w:jc w:val="left"/>
            </w:pPr>
            <w:r>
              <w:t xml:space="preserve">Load imbalance (CV)</w:t>
            </w:r>
          </w:p>
        </w:tc>
        <w:tc>
          <w:tcPr>
            <w:tcBorders>
              <w:bottom w:val="single"/>
            </w:tcBorders>
            <w:vAlign w:val="bottom"/>
          </w:tcPr>
          <w:p>
            <w:pPr>
              <w:pStyle w:val="Compact"/>
              <w:jc w:val="left"/>
            </w:pPr>
            <w:r>
              <w:t xml:space="preserve">Step time (ms)</w:t>
            </w:r>
          </w:p>
        </w:tc>
      </w:tr>
      <w:tr>
        <w:tc>
          <w:p>
            <w:pPr>
              <w:pStyle w:val="Compact"/>
              <w:jc w:val="left"/>
            </w:pPr>
            <w:r>
              <w:t xml:space="preserve">Boids</w:t>
            </w:r>
          </w:p>
        </w:tc>
        <w:tc>
          <w:p>
            <w:pPr>
              <w:pStyle w:val="Compact"/>
              <w:jc w:val="left"/>
            </w:pPr>
            <w:r>
              <w:t xml:space="preserve">0%</w:t>
            </w:r>
          </w:p>
        </w:tc>
        <w:tc>
          <w:p>
            <w:pPr>
              <w:pStyle w:val="Compact"/>
              <w:jc w:val="left"/>
            </w:pPr>
            <w:r>
              <w:t xml:space="preserve">89.27</w:t>
            </w:r>
          </w:p>
        </w:tc>
        <w:tc>
          <w:p>
            <w:pPr>
              <w:pStyle w:val="Compact"/>
              <w:jc w:val="left"/>
            </w:pPr>
            <w:r>
              <w:t xml:space="preserve">14,906</w:t>
            </w:r>
          </w:p>
        </w:tc>
        <w:tc>
          <w:p>
            <w:pPr>
              <w:pStyle w:val="Compact"/>
              <w:jc w:val="left"/>
            </w:pPr>
            <w:r>
              <w:t xml:space="preserve">1,243.0</w:t>
            </w:r>
          </w:p>
        </w:tc>
        <w:tc>
          <w:p>
            <w:pPr>
              <w:pStyle w:val="Compact"/>
              <w:jc w:val="left"/>
            </w:pPr>
            <w:r>
              <w:t xml:space="preserve">0.109</w:t>
            </w:r>
          </w:p>
        </w:tc>
        <w:tc>
          <w:p>
            <w:pPr>
              <w:pStyle w:val="Compact"/>
              <w:jc w:val="left"/>
            </w:pPr>
            <w:r>
              <w:t xml:space="preserve">0.075</w:t>
            </w:r>
          </w:p>
        </w:tc>
      </w:tr>
      <w:tr>
        <w:tc>
          <w:p>
            <w:pPr>
              <w:pStyle w:val="Compact"/>
              <w:jc w:val="left"/>
            </w:pPr>
            <w:r>
              <w:t xml:space="preserve">Boids</w:t>
            </w:r>
          </w:p>
        </w:tc>
        <w:tc>
          <w:p>
            <w:pPr>
              <w:pStyle w:val="Compact"/>
              <w:jc w:val="left"/>
            </w:pPr>
            <w:r>
              <w:t xml:space="preserve">10%</w:t>
            </w:r>
          </w:p>
        </w:tc>
        <w:tc>
          <w:p>
            <w:pPr>
              <w:pStyle w:val="Compact"/>
              <w:jc w:val="left"/>
            </w:pPr>
            <w:r>
              <w:t xml:space="preserve">86.50</w:t>
            </w:r>
          </w:p>
        </w:tc>
        <w:tc>
          <w:p>
            <w:pPr>
              <w:pStyle w:val="Compact"/>
              <w:jc w:val="left"/>
            </w:pPr>
            <w:r>
              <w:t xml:space="preserve">14,857</w:t>
            </w:r>
          </w:p>
        </w:tc>
        <w:tc>
          <w:p>
            <w:pPr>
              <w:pStyle w:val="Compact"/>
              <w:jc w:val="left"/>
            </w:pPr>
            <w:r>
              <w:t xml:space="preserve">1,126.3</w:t>
            </w:r>
          </w:p>
        </w:tc>
        <w:tc>
          <w:p>
            <w:pPr>
              <w:pStyle w:val="Compact"/>
              <w:jc w:val="left"/>
            </w:pPr>
            <w:r>
              <w:t xml:space="preserve">0.141</w:t>
            </w:r>
          </w:p>
        </w:tc>
        <w:tc>
          <w:p>
            <w:pPr>
              <w:pStyle w:val="Compact"/>
              <w:jc w:val="left"/>
            </w:pPr>
            <w:r>
              <w:t xml:space="preserve">0.154</w:t>
            </w:r>
          </w:p>
        </w:tc>
      </w:tr>
      <w:tr>
        <w:tc>
          <w:p>
            <w:pPr>
              <w:pStyle w:val="Compact"/>
              <w:jc w:val="left"/>
            </w:pPr>
            <w:r>
              <w:t xml:space="preserve">Boids</w:t>
            </w:r>
          </w:p>
        </w:tc>
        <w:tc>
          <w:p>
            <w:pPr>
              <w:pStyle w:val="Compact"/>
              <w:jc w:val="left"/>
            </w:pPr>
            <w:r>
              <w:t xml:space="preserve">20%</w:t>
            </w:r>
          </w:p>
        </w:tc>
        <w:tc>
          <w:p>
            <w:pPr>
              <w:pStyle w:val="Compact"/>
              <w:jc w:val="left"/>
            </w:pPr>
            <w:r>
              <w:t xml:space="preserve">86.60</w:t>
            </w:r>
          </w:p>
        </w:tc>
        <w:tc>
          <w:p>
            <w:pPr>
              <w:pStyle w:val="Compact"/>
              <w:jc w:val="left"/>
            </w:pPr>
            <w:r>
              <w:t xml:space="preserve">14,812</w:t>
            </w:r>
          </w:p>
        </w:tc>
        <w:tc>
          <w:p>
            <w:pPr>
              <w:pStyle w:val="Compact"/>
              <w:jc w:val="left"/>
            </w:pPr>
            <w:r>
              <w:t xml:space="preserve">840.2</w:t>
            </w:r>
          </w:p>
        </w:tc>
        <w:tc>
          <w:p>
            <w:pPr>
              <w:pStyle w:val="Compact"/>
              <w:jc w:val="left"/>
            </w:pPr>
            <w:r>
              <w:t xml:space="preserve">0.163</w:t>
            </w:r>
          </w:p>
        </w:tc>
        <w:tc>
          <w:p>
            <w:pPr>
              <w:pStyle w:val="Compact"/>
              <w:jc w:val="left"/>
            </w:pPr>
            <w:r>
              <w:t xml:space="preserve">0.224</w:t>
            </w:r>
          </w:p>
        </w:tc>
      </w:tr>
      <w:tr>
        <w:tc>
          <w:p>
            <w:pPr>
              <w:pStyle w:val="Compact"/>
              <w:jc w:val="left"/>
            </w:pPr>
            <w:r>
              <w:t xml:space="preserve">Boids</w:t>
            </w:r>
          </w:p>
        </w:tc>
        <w:tc>
          <w:p>
            <w:pPr>
              <w:pStyle w:val="Compact"/>
              <w:jc w:val="left"/>
            </w:pPr>
            <w:r>
              <w:t xml:space="preserve">30%</w:t>
            </w:r>
          </w:p>
        </w:tc>
        <w:tc>
          <w:p>
            <w:pPr>
              <w:pStyle w:val="Compact"/>
              <w:jc w:val="left"/>
            </w:pPr>
            <w:r>
              <w:t xml:space="preserve">86.20</w:t>
            </w:r>
          </w:p>
        </w:tc>
        <w:tc>
          <w:p>
            <w:pPr>
              <w:pStyle w:val="Compact"/>
              <w:jc w:val="left"/>
            </w:pPr>
            <w:r>
              <w:t xml:space="preserve">14,759</w:t>
            </w:r>
          </w:p>
        </w:tc>
        <w:tc>
          <w:p>
            <w:pPr>
              <w:pStyle w:val="Compact"/>
              <w:jc w:val="left"/>
            </w:pPr>
            <w:r>
              <w:t xml:space="preserve">613.8</w:t>
            </w:r>
          </w:p>
        </w:tc>
        <w:tc>
          <w:p>
            <w:pPr>
              <w:pStyle w:val="Compact"/>
              <w:jc w:val="left"/>
            </w:pPr>
            <w:r>
              <w:t xml:space="preserve">0.186</w:t>
            </w:r>
          </w:p>
        </w:tc>
        <w:tc>
          <w:p>
            <w:pPr>
              <w:pStyle w:val="Compact"/>
              <w:jc w:val="left"/>
            </w:pPr>
            <w:r>
              <w:t xml:space="preserve">0.279</w:t>
            </w:r>
          </w:p>
        </w:tc>
      </w:tr>
      <w:tr>
        <w:tc>
          <w:p>
            <w:pPr>
              <w:pStyle w:val="Compact"/>
              <w:jc w:val="left"/>
            </w:pPr>
            <w:r>
              <w:t xml:space="preserve">APF</w:t>
            </w:r>
          </w:p>
        </w:tc>
        <w:tc>
          <w:p>
            <w:pPr>
              <w:pStyle w:val="Compact"/>
              <w:jc w:val="left"/>
            </w:pPr>
            <w:r>
              <w:t xml:space="preserve">0%</w:t>
            </w:r>
          </w:p>
        </w:tc>
        <w:tc>
          <w:p>
            <w:pPr>
              <w:pStyle w:val="Compact"/>
              <w:jc w:val="left"/>
            </w:pPr>
            <w:r>
              <w:t xml:space="preserve">90.19</w:t>
            </w:r>
          </w:p>
        </w:tc>
        <w:tc>
          <w:p>
            <w:pPr>
              <w:pStyle w:val="Compact"/>
              <w:jc w:val="left"/>
            </w:pPr>
            <w:r>
              <w:t xml:space="preserve">14,965</w:t>
            </w:r>
          </w:p>
        </w:tc>
        <w:tc>
          <w:p>
            <w:pPr>
              <w:pStyle w:val="Compact"/>
              <w:jc w:val="left"/>
            </w:pPr>
            <w:r>
              <w:t xml:space="preserve">1,235.5</w:t>
            </w:r>
          </w:p>
        </w:tc>
        <w:tc>
          <w:p>
            <w:pPr>
              <w:pStyle w:val="Compact"/>
              <w:jc w:val="left"/>
            </w:pPr>
            <w:r>
              <w:t xml:space="preserve">0.057</w:t>
            </w:r>
          </w:p>
        </w:tc>
        <w:tc>
          <w:p>
            <w:pPr>
              <w:pStyle w:val="Compact"/>
              <w:jc w:val="left"/>
            </w:pPr>
            <w:r>
              <w:t xml:space="preserve">0.267</w:t>
            </w:r>
          </w:p>
        </w:tc>
      </w:tr>
      <w:tr>
        <w:tc>
          <w:p>
            <w:pPr>
              <w:pStyle w:val="Compact"/>
              <w:jc w:val="left"/>
            </w:pPr>
            <w:r>
              <w:t xml:space="preserve">APF</w:t>
            </w:r>
          </w:p>
        </w:tc>
        <w:tc>
          <w:p>
            <w:pPr>
              <w:pStyle w:val="Compact"/>
              <w:jc w:val="left"/>
            </w:pPr>
            <w:r>
              <w:t xml:space="preserve">10%</w:t>
            </w:r>
          </w:p>
        </w:tc>
        <w:tc>
          <w:p>
            <w:pPr>
              <w:pStyle w:val="Compact"/>
              <w:jc w:val="left"/>
            </w:pPr>
            <w:r>
              <w:t xml:space="preserve">92.36</w:t>
            </w:r>
          </w:p>
        </w:tc>
        <w:tc>
          <w:p>
            <w:pPr>
              <w:pStyle w:val="Compact"/>
              <w:jc w:val="left"/>
            </w:pPr>
            <w:r>
              <w:t xml:space="preserve">14,842</w:t>
            </w:r>
          </w:p>
        </w:tc>
        <w:tc>
          <w:p>
            <w:pPr>
              <w:pStyle w:val="Compact"/>
              <w:jc w:val="left"/>
            </w:pPr>
            <w:r>
              <w:t xml:space="preserve">1,072.7</w:t>
            </w:r>
          </w:p>
        </w:tc>
        <w:tc>
          <w:p>
            <w:pPr>
              <w:pStyle w:val="Compact"/>
              <w:jc w:val="left"/>
            </w:pPr>
            <w:r>
              <w:t xml:space="preserve">0.074</w:t>
            </w:r>
          </w:p>
        </w:tc>
        <w:tc>
          <w:p>
            <w:pPr>
              <w:pStyle w:val="Compact"/>
              <w:jc w:val="left"/>
            </w:pPr>
            <w:r>
              <w:t xml:space="preserve">0.374</w:t>
            </w:r>
          </w:p>
        </w:tc>
      </w:tr>
      <w:tr>
        <w:tc>
          <w:p>
            <w:pPr>
              <w:pStyle w:val="Compact"/>
              <w:jc w:val="left"/>
            </w:pPr>
            <w:r>
              <w:t xml:space="preserve">APF</w:t>
            </w:r>
          </w:p>
        </w:tc>
        <w:tc>
          <w:p>
            <w:pPr>
              <w:pStyle w:val="Compact"/>
              <w:jc w:val="left"/>
            </w:pPr>
            <w:r>
              <w:t xml:space="preserve">20%</w:t>
            </w:r>
          </w:p>
        </w:tc>
        <w:tc>
          <w:p>
            <w:pPr>
              <w:pStyle w:val="Compact"/>
              <w:jc w:val="left"/>
            </w:pPr>
            <w:r>
              <w:t xml:space="preserve">94.40</w:t>
            </w:r>
          </w:p>
        </w:tc>
        <w:tc>
          <w:p>
            <w:pPr>
              <w:pStyle w:val="Compact"/>
              <w:jc w:val="left"/>
            </w:pPr>
            <w:r>
              <w:t xml:space="preserve">14,714</w:t>
            </w:r>
          </w:p>
        </w:tc>
        <w:tc>
          <w:p>
            <w:pPr>
              <w:pStyle w:val="Compact"/>
              <w:jc w:val="left"/>
            </w:pPr>
            <w:r>
              <w:t xml:space="preserve">857.3</w:t>
            </w:r>
          </w:p>
        </w:tc>
        <w:tc>
          <w:p>
            <w:pPr>
              <w:pStyle w:val="Compact"/>
              <w:jc w:val="left"/>
            </w:pPr>
            <w:r>
              <w:t xml:space="preserve">0.101</w:t>
            </w:r>
          </w:p>
        </w:tc>
        <w:tc>
          <w:p>
            <w:pPr>
              <w:pStyle w:val="Compact"/>
              <w:jc w:val="left"/>
            </w:pPr>
            <w:r>
              <w:t xml:space="preserve">0.454</w:t>
            </w:r>
          </w:p>
        </w:tc>
      </w:tr>
      <w:tr>
        <w:tc>
          <w:p>
            <w:pPr>
              <w:pStyle w:val="Compact"/>
              <w:jc w:val="left"/>
            </w:pPr>
            <w:r>
              <w:t xml:space="preserve">APF</w:t>
            </w:r>
          </w:p>
        </w:tc>
        <w:tc>
          <w:p>
            <w:pPr>
              <w:pStyle w:val="Compact"/>
              <w:jc w:val="left"/>
            </w:pPr>
            <w:r>
              <w:t xml:space="preserve">30%</w:t>
            </w:r>
          </w:p>
        </w:tc>
        <w:tc>
          <w:p>
            <w:pPr>
              <w:pStyle w:val="Compact"/>
              <w:jc w:val="left"/>
            </w:pPr>
            <w:r>
              <w:t xml:space="preserve">94.26</w:t>
            </w:r>
          </w:p>
        </w:tc>
        <w:tc>
          <w:p>
            <w:pPr>
              <w:pStyle w:val="Compact"/>
              <w:jc w:val="left"/>
            </w:pPr>
            <w:r>
              <w:t xml:space="preserve">14,568</w:t>
            </w:r>
          </w:p>
        </w:tc>
        <w:tc>
          <w:p>
            <w:pPr>
              <w:pStyle w:val="Compact"/>
              <w:jc w:val="left"/>
            </w:pPr>
            <w:r>
              <w:t xml:space="preserve">574.0</w:t>
            </w:r>
          </w:p>
        </w:tc>
        <w:tc>
          <w:p>
            <w:pPr>
              <w:pStyle w:val="Compact"/>
              <w:jc w:val="left"/>
            </w:pPr>
            <w:r>
              <w:t xml:space="preserve">0.166</w:t>
            </w:r>
          </w:p>
        </w:tc>
        <w:tc>
          <w:p>
            <w:pPr>
              <w:pStyle w:val="Compact"/>
              <w:jc w:val="left"/>
            </w:pPr>
            <w:r>
              <w:t xml:space="preserve">0.638</w:t>
            </w:r>
          </w:p>
        </w:tc>
      </w:tr>
      <w:tr>
        <w:tc>
          <w:p>
            <w:pPr>
              <w:pStyle w:val="Compact"/>
              <w:jc w:val="left"/>
            </w:pPr>
            <w:r>
              <w:t xml:space="preserve">PPO</w:t>
            </w:r>
          </w:p>
        </w:tc>
        <w:tc>
          <w:p>
            <w:pPr>
              <w:pStyle w:val="Compact"/>
              <w:jc w:val="left"/>
            </w:pPr>
            <w:r>
              <w:t xml:space="preserve">0%</w:t>
            </w:r>
          </w:p>
        </w:tc>
        <w:tc>
          <w:p>
            <w:pPr>
              <w:pStyle w:val="Compact"/>
              <w:jc w:val="left"/>
            </w:pPr>
            <w:r>
              <w:t xml:space="preserve">83.46</w:t>
            </w:r>
          </w:p>
        </w:tc>
        <w:tc>
          <w:p>
            <w:pPr>
              <w:pStyle w:val="Compact"/>
              <w:jc w:val="left"/>
            </w:pPr>
            <w:r>
              <w:t xml:space="preserve">13,465</w:t>
            </w:r>
          </w:p>
        </w:tc>
        <w:tc>
          <w:p>
            <w:pPr>
              <w:pStyle w:val="Compact"/>
              <w:jc w:val="left"/>
            </w:pPr>
            <w:r>
              <w:t xml:space="preserve">0.8</w:t>
            </w:r>
          </w:p>
        </w:tc>
        <w:tc>
          <w:p>
            <w:pPr>
              <w:pStyle w:val="Compact"/>
              <w:jc w:val="left"/>
            </w:pPr>
            <w:r>
              <w:t xml:space="preserve">0.417</w:t>
            </w:r>
          </w:p>
        </w:tc>
        <w:tc>
          <w:p>
            <w:pPr>
              <w:pStyle w:val="Compact"/>
              <w:jc w:val="left"/>
            </w:pPr>
            <w:r>
              <w:t xml:space="preserve">0.192</w:t>
            </w:r>
          </w:p>
        </w:tc>
      </w:tr>
      <w:tr>
        <w:tc>
          <w:p>
            <w:pPr>
              <w:pStyle w:val="Compact"/>
              <w:jc w:val="left"/>
            </w:pPr>
            <w:r>
              <w:t xml:space="preserve">PPO</w:t>
            </w:r>
          </w:p>
        </w:tc>
        <w:tc>
          <w:p>
            <w:pPr>
              <w:pStyle w:val="Compact"/>
              <w:jc w:val="left"/>
            </w:pPr>
            <w:r>
              <w:t xml:space="preserve">10%</w:t>
            </w:r>
          </w:p>
        </w:tc>
        <w:tc>
          <w:p>
            <w:pPr>
              <w:pStyle w:val="Compact"/>
              <w:jc w:val="left"/>
            </w:pPr>
            <w:r>
              <w:t xml:space="preserve">86.68</w:t>
            </w:r>
          </w:p>
        </w:tc>
        <w:tc>
          <w:p>
            <w:pPr>
              <w:pStyle w:val="Compact"/>
              <w:jc w:val="left"/>
            </w:pPr>
            <w:r>
              <w:t xml:space="preserve">12,696</w:t>
            </w:r>
          </w:p>
        </w:tc>
        <w:tc>
          <w:p>
            <w:pPr>
              <w:pStyle w:val="Compact"/>
              <w:jc w:val="left"/>
            </w:pPr>
            <w:r>
              <w:t xml:space="preserve">1.1</w:t>
            </w:r>
          </w:p>
        </w:tc>
        <w:tc>
          <w:p>
            <w:pPr>
              <w:pStyle w:val="Compact"/>
              <w:jc w:val="left"/>
            </w:pPr>
            <w:r>
              <w:t xml:space="preserve">0.463</w:t>
            </w:r>
          </w:p>
        </w:tc>
        <w:tc>
          <w:p>
            <w:pPr>
              <w:pStyle w:val="Compact"/>
              <w:jc w:val="left"/>
            </w:pPr>
            <w:r>
              <w:t xml:space="preserve">0.189</w:t>
            </w:r>
          </w:p>
        </w:tc>
      </w:tr>
      <w:tr>
        <w:tc>
          <w:p>
            <w:pPr>
              <w:pStyle w:val="Compact"/>
              <w:jc w:val="left"/>
            </w:pPr>
            <w:r>
              <w:t xml:space="preserve">PPO</w:t>
            </w:r>
          </w:p>
        </w:tc>
        <w:tc>
          <w:p>
            <w:pPr>
              <w:pStyle w:val="Compact"/>
              <w:jc w:val="left"/>
            </w:pPr>
            <w:r>
              <w:t xml:space="preserve">20%</w:t>
            </w:r>
          </w:p>
        </w:tc>
        <w:tc>
          <w:p>
            <w:pPr>
              <w:pStyle w:val="Compact"/>
              <w:jc w:val="left"/>
            </w:pPr>
            <w:r>
              <w:t xml:space="preserve">86.40</w:t>
            </w:r>
          </w:p>
        </w:tc>
        <w:tc>
          <w:p>
            <w:pPr>
              <w:pStyle w:val="Compact"/>
              <w:jc w:val="left"/>
            </w:pPr>
            <w:r>
              <w:t xml:space="preserve">12,702</w:t>
            </w:r>
          </w:p>
        </w:tc>
        <w:tc>
          <w:p>
            <w:pPr>
              <w:pStyle w:val="Compact"/>
              <w:jc w:val="left"/>
            </w:pPr>
            <w:r>
              <w:t xml:space="preserve">1.1</w:t>
            </w:r>
          </w:p>
        </w:tc>
        <w:tc>
          <w:p>
            <w:pPr>
              <w:pStyle w:val="Compact"/>
              <w:jc w:val="left"/>
            </w:pPr>
            <w:r>
              <w:t xml:space="preserve">0.482</w:t>
            </w:r>
          </w:p>
        </w:tc>
        <w:tc>
          <w:p>
            <w:pPr>
              <w:pStyle w:val="Compact"/>
              <w:jc w:val="left"/>
            </w:pPr>
            <w:r>
              <w:t xml:space="preserve">0.186</w:t>
            </w:r>
          </w:p>
        </w:tc>
      </w:tr>
      <w:tr>
        <w:tc>
          <w:p>
            <w:pPr>
              <w:pStyle w:val="Compact"/>
              <w:jc w:val="left"/>
            </w:pPr>
            <w:r>
              <w:t xml:space="preserve">PPO</w:t>
            </w:r>
          </w:p>
        </w:tc>
        <w:tc>
          <w:p>
            <w:pPr>
              <w:pStyle w:val="Compact"/>
              <w:jc w:val="left"/>
            </w:pPr>
            <w:r>
              <w:t xml:space="preserve">30%</w:t>
            </w:r>
          </w:p>
        </w:tc>
        <w:tc>
          <w:p>
            <w:pPr>
              <w:pStyle w:val="Compact"/>
              <w:jc w:val="left"/>
            </w:pPr>
            <w:r>
              <w:t xml:space="preserve">85.16</w:t>
            </w:r>
          </w:p>
        </w:tc>
        <w:tc>
          <w:p>
            <w:pPr>
              <w:pStyle w:val="Compact"/>
              <w:jc w:val="left"/>
            </w:pPr>
            <w:r>
              <w:t xml:space="preserve">13,369</w:t>
            </w:r>
          </w:p>
        </w:tc>
        <w:tc>
          <w:p>
            <w:pPr>
              <w:pStyle w:val="Compact"/>
              <w:jc w:val="left"/>
            </w:pPr>
            <w:r>
              <w:t xml:space="preserve">0.8</w:t>
            </w:r>
          </w:p>
        </w:tc>
        <w:tc>
          <w:p>
            <w:pPr>
              <w:pStyle w:val="Compact"/>
              <w:jc w:val="left"/>
            </w:pPr>
            <w:r>
              <w:t xml:space="preserve">0.477</w:t>
            </w:r>
          </w:p>
        </w:tc>
        <w:tc>
          <w:p>
            <w:pPr>
              <w:pStyle w:val="Compact"/>
              <w:jc w:val="left"/>
            </w:pPr>
            <w:r>
              <w:t xml:space="preserve">0.192</w:t>
            </w:r>
          </w:p>
        </w:tc>
      </w:tr>
    </w:tbl>
    <w:p>
      <w:pPr>
        <w:pStyle w:val="BodyText"/>
      </w:pPr>
      <w:r>
        <w:rPr>
          <w:i/>
        </w:rPr>
        <w:t xml:space="preserve">Load imbalance is the coefficient of variation of cells covered per UAV; lower is more evenly shared. Near-collision events count timesteps at which two UAVs were within one cell of each other.</w:t>
      </w:r>
    </w:p>
    <w:p>
      <w:pPr>
        <w:pStyle w:val="BodyText"/>
      </w:pPr>
      <w:r>
        <w:t xml:space="preserve">Three observations, stated without interpretation:</w:t>
      </w:r>
    </w:p>
    <w:p>
      <w:pPr>
        <w:numPr>
          <w:ilvl w:val="0"/>
          <w:numId w:val="1012"/>
        </w:numPr>
        <w:pStyle w:val="Compact"/>
      </w:pPr>
      <w:r>
        <w:rPr>
          <w:b/>
        </w:rPr>
        <w:t xml:space="preserve">Collisions.</w:t>
      </w:r>
      <w:r>
        <w:t xml:space="preserve"> </w:t>
      </w:r>
      <w:r>
        <w:t xml:space="preserve">PPO records 0.8 to 1.1 near-collision events per run. Boids and APF record 574 to 1,243.</w:t>
      </w:r>
    </w:p>
    <w:p>
      <w:pPr>
        <w:numPr>
          <w:ilvl w:val="0"/>
          <w:numId w:val="1012"/>
        </w:numPr>
        <w:pStyle w:val="Compact"/>
      </w:pPr>
      <w:r>
        <w:rPr>
          <w:b/>
        </w:rPr>
        <w:t xml:space="preserve">Load balance.</w:t>
      </w:r>
      <w:r>
        <w:t xml:space="preserve"> </w:t>
      </w:r>
      <w:r>
        <w:t xml:space="preserve">APF distributes work most evenly (CV 0.057–0.166), Boids is intermediate (0.109–0.186), PPO is least even (CV 0.417–0.482).</w:t>
      </w:r>
    </w:p>
    <w:p>
      <w:pPr>
        <w:numPr>
          <w:ilvl w:val="0"/>
          <w:numId w:val="1012"/>
        </w:numPr>
        <w:pStyle w:val="Compact"/>
      </w:pPr>
      <w:r>
        <w:rPr>
          <w:b/>
        </w:rPr>
        <w:t xml:space="preserve">Path length.</w:t>
      </w:r>
      <w:r>
        <w:t xml:space="preserve"> </w:t>
      </w:r>
      <w:r>
        <w:t xml:space="preserve">PPO travels 8–15% less total distance than the two classical controllers.</w:t>
      </w:r>
    </w:p>
    <w:p>
      <w:pPr>
        <w:numPr>
          <w:ilvl w:val="0"/>
          <w:numId w:val="1012"/>
        </w:numPr>
        <w:pStyle w:val="Compact"/>
      </w:pPr>
      <w:r>
        <w:rPr>
          <w:b/>
        </w:rPr>
        <w:t xml:space="preserve">Step time.</w:t>
      </w:r>
      <w:r>
        <w:t xml:space="preserve"> </w:t>
      </w:r>
      <w:r>
        <w:t xml:space="preserve">PPO’s per-step cost is flat across densities (0.186–0.192 ms). Boids and APF costs rise with density, Boids from 0.075 to 0.279 ms and APF from 0.267 to 0.638 ms.</w:t>
      </w:r>
    </w:p>
    <w:p>
      <w:pPr>
        <w:pStyle w:val="FirstParagraph"/>
      </w:pPr>
      <w:r>
        <w:t xml:space="preserve">The coverage figures in Table 4.8 are consistent with the main experiment in Tables 4.1 and 4.2 to within the sampling error expected at n = 20, which supports the exclusion of the May result files described in Section 4.7.</w:t>
      </w:r>
    </w:p>
    <w:p>
      <w:pPr>
        <w:pStyle w:val="Heading3"/>
      </w:pPr>
      <w:bookmarkStart w:id="86" w:name="X02a3e102663d0a64e84effdf010b4f53ec6d5ad"/>
      <w:r>
        <w:t xml:space="preserve">Table 4.9 — Sensitivity to swarm size (15 seeds, 20% density)</w:t>
      </w:r>
      <w:bookmarkEnd w:id="86"/>
    </w:p>
    <w:tbl>
      <w:tblPr>
        <w:tblStyle w:val="Table"/>
        <w:tblW w:type="pct" w:w="0.0"/>
        <w:tblLook w:firstRow="1"/>
      </w:tblPr>
      <w:tblGrid/>
      <w:tr>
        <w:trPr>
          <w:cnfStyle w:firstRow="1"/>
        </w:trPr>
        <w:tc>
          <w:tcPr>
            <w:tcBorders>
              <w:bottom w:val="single"/>
            </w:tcBorders>
            <w:vAlign w:val="bottom"/>
          </w:tcPr>
          <w:p>
            <w:pPr>
              <w:pStyle w:val="Compact"/>
              <w:jc w:val="left"/>
            </w:pPr>
            <w:r>
              <w:t xml:space="preserve">UAVs</w:t>
            </w:r>
          </w:p>
        </w:tc>
        <w:tc>
          <w:tcPr>
            <w:tcBorders>
              <w:bottom w:val="single"/>
            </w:tcBorders>
            <w:vAlign w:val="bottom"/>
          </w:tcPr>
          <w:p>
            <w:pPr>
              <w:pStyle w:val="Compact"/>
              <w:jc w:val="left"/>
            </w:pPr>
            <w:r>
              <w:t xml:space="preserve">Boids</w:t>
            </w:r>
          </w:p>
        </w:tc>
        <w:tc>
          <w:tcPr>
            <w:tcBorders>
              <w:bottom w:val="single"/>
            </w:tcBorders>
            <w:vAlign w:val="bottom"/>
          </w:tcPr>
          <w:p>
            <w:pPr>
              <w:pStyle w:val="Compact"/>
              <w:jc w:val="left"/>
            </w:pPr>
            <w:r>
              <w:t xml:space="preserve">APF</w:t>
            </w:r>
          </w:p>
        </w:tc>
        <w:tc>
          <w:tcPr>
            <w:tcBorders>
              <w:bottom w:val="single"/>
            </w:tcBorders>
            <w:vAlign w:val="bottom"/>
          </w:tcPr>
          <w:p>
            <w:pPr>
              <w:pStyle w:val="Compact"/>
              <w:jc w:val="left"/>
            </w:pPr>
            <w:r>
              <w:t xml:space="preserve">PPO</w:t>
            </w:r>
          </w:p>
        </w:tc>
      </w:tr>
      <w:tr>
        <w:tc>
          <w:p>
            <w:pPr>
              <w:pStyle w:val="Compact"/>
              <w:jc w:val="left"/>
            </w:pPr>
            <w:r>
              <w:t xml:space="preserve">3</w:t>
            </w:r>
          </w:p>
        </w:tc>
        <w:tc>
          <w:p>
            <w:pPr>
              <w:pStyle w:val="Compact"/>
              <w:jc w:val="left"/>
            </w:pPr>
            <w:r>
              <w:t xml:space="preserve">64.42</w:t>
            </w:r>
          </w:p>
        </w:tc>
        <w:tc>
          <w:p>
            <w:pPr>
              <w:pStyle w:val="Compact"/>
              <w:jc w:val="left"/>
            </w:pPr>
            <w:r>
              <w:t xml:space="preserve">70.52</w:t>
            </w:r>
          </w:p>
        </w:tc>
        <w:tc>
          <w:p>
            <w:pPr>
              <w:pStyle w:val="Compact"/>
              <w:jc w:val="left"/>
            </w:pPr>
            <w:r>
              <w:t xml:space="preserve">51.65</w:t>
            </w:r>
          </w:p>
        </w:tc>
      </w:tr>
      <w:tr>
        <w:tc>
          <w:p>
            <w:pPr>
              <w:pStyle w:val="Compact"/>
              <w:jc w:val="left"/>
            </w:pPr>
            <w:r>
              <w:t xml:space="preserve">6</w:t>
            </w:r>
          </w:p>
        </w:tc>
        <w:tc>
          <w:p>
            <w:pPr>
              <w:pStyle w:val="Compact"/>
              <w:jc w:val="left"/>
            </w:pPr>
            <w:r>
              <w:t xml:space="preserve">85.96</w:t>
            </w:r>
          </w:p>
        </w:tc>
        <w:tc>
          <w:p>
            <w:pPr>
              <w:pStyle w:val="Compact"/>
              <w:jc w:val="left"/>
            </w:pPr>
            <w:r>
              <w:t xml:space="preserve">94.15</w:t>
            </w:r>
          </w:p>
        </w:tc>
        <w:tc>
          <w:p>
            <w:pPr>
              <w:pStyle w:val="Compact"/>
              <w:jc w:val="left"/>
            </w:pPr>
            <w:r>
              <w:t xml:space="preserve">85.27</w:t>
            </w:r>
          </w:p>
        </w:tc>
      </w:tr>
      <w:tr>
        <w:tc>
          <w:p>
            <w:pPr>
              <w:pStyle w:val="Compact"/>
              <w:jc w:val="left"/>
            </w:pPr>
            <w:r>
              <w:t xml:space="preserve">9</w:t>
            </w:r>
          </w:p>
        </w:tc>
        <w:tc>
          <w:p>
            <w:pPr>
              <w:pStyle w:val="Compact"/>
              <w:jc w:val="left"/>
            </w:pPr>
            <w:r>
              <w:t xml:space="preserve">95.62</w:t>
            </w:r>
          </w:p>
        </w:tc>
        <w:tc>
          <w:p>
            <w:pPr>
              <w:pStyle w:val="Compact"/>
              <w:jc w:val="left"/>
            </w:pPr>
            <w:r>
              <w:t xml:space="preserve">98.80</w:t>
            </w:r>
          </w:p>
        </w:tc>
        <w:tc>
          <w:p>
            <w:pPr>
              <w:pStyle w:val="Compact"/>
              <w:jc w:val="left"/>
            </w:pPr>
            <w:r>
              <w:t xml:space="preserve">94.87</w:t>
            </w:r>
          </w:p>
        </w:tc>
      </w:tr>
      <w:tr>
        <w:tc>
          <w:p>
            <w:pPr>
              <w:pStyle w:val="Compact"/>
              <w:jc w:val="left"/>
            </w:pPr>
            <w:r>
              <w:t xml:space="preserve">12</w:t>
            </w:r>
          </w:p>
        </w:tc>
        <w:tc>
          <w:p>
            <w:pPr>
              <w:pStyle w:val="Compact"/>
              <w:jc w:val="left"/>
            </w:pPr>
            <w:r>
              <w:t xml:space="preserve">96.65</w:t>
            </w:r>
          </w:p>
        </w:tc>
        <w:tc>
          <w:p>
            <w:pPr>
              <w:pStyle w:val="Compact"/>
              <w:jc w:val="left"/>
            </w:pPr>
            <w:r>
              <w:t xml:space="preserve">99.71</w:t>
            </w:r>
          </w:p>
        </w:tc>
        <w:tc>
          <w:p>
            <w:pPr>
              <w:pStyle w:val="Compact"/>
              <w:jc w:val="left"/>
            </w:pPr>
            <w:r>
              <w:t xml:space="preserve">97.13</w:t>
            </w:r>
          </w:p>
        </w:tc>
      </w:tr>
    </w:tbl>
    <w:p>
      <w:pPr>
        <w:pStyle w:val="BodyText"/>
      </w:pPr>
      <w:r>
        <w:t xml:space="preserve">All three methods reach the 90% criterion at 9 UAVs and above. APF leads at every swarm size.</w:t>
      </w:r>
    </w:p>
    <w:p>
      <w:pPr>
        <w:pStyle w:val="Heading3"/>
      </w:pPr>
      <w:bookmarkStart w:id="87" w:name="Xac82c8f9add902ecfffd1403447e0b45881c5cf"/>
      <w:r>
        <w:t xml:space="preserve">Table 4.10 — Coverage under sensor noise (20 seeds)</w:t>
      </w:r>
      <w:bookmarkEnd w:id="87"/>
    </w:p>
    <w:tbl>
      <w:tblPr>
        <w:tblStyle w:val="Table"/>
        <w:tblW w:type="pct" w:w="0.0"/>
        <w:tblLook w:firstRow="1"/>
      </w:tblPr>
      <w:tblGrid/>
      <w:tr>
        <w:trPr>
          <w:cnfStyle w:firstRow="1"/>
        </w:trPr>
        <w:tc>
          <w:tcPr>
            <w:tcBorders>
              <w:bottom w:val="single"/>
            </w:tcBorders>
            <w:vAlign w:val="bottom"/>
          </w:tcPr>
          <w:p>
            <w:pPr>
              <w:pStyle w:val="Compact"/>
              <w:jc w:val="left"/>
            </w:pPr>
            <w:r>
              <w:t xml:space="preserve">Noise level</w:t>
            </w:r>
          </w:p>
        </w:tc>
        <w:tc>
          <w:tcPr>
            <w:tcBorders>
              <w:bottom w:val="single"/>
            </w:tcBorders>
            <w:vAlign w:val="bottom"/>
          </w:tcPr>
          <w:p>
            <w:pPr>
              <w:pStyle w:val="Compact"/>
              <w:jc w:val="left"/>
            </w:pPr>
            <w:r>
              <w:t xml:space="preserve">Boids</w:t>
            </w:r>
          </w:p>
        </w:tc>
        <w:tc>
          <w:tcPr>
            <w:tcBorders>
              <w:bottom w:val="single"/>
            </w:tcBorders>
            <w:vAlign w:val="bottom"/>
          </w:tcPr>
          <w:p>
            <w:pPr>
              <w:pStyle w:val="Compact"/>
              <w:jc w:val="left"/>
            </w:pPr>
            <w:r>
              <w:t xml:space="preserve">APF</w:t>
            </w:r>
          </w:p>
        </w:tc>
        <w:tc>
          <w:tcPr>
            <w:tcBorders>
              <w:bottom w:val="single"/>
            </w:tcBorders>
            <w:vAlign w:val="bottom"/>
          </w:tcPr>
          <w:p>
            <w:pPr>
              <w:pStyle w:val="Compact"/>
              <w:jc w:val="left"/>
            </w:pPr>
            <w:r>
              <w:t xml:space="preserve">PPO</w:t>
            </w:r>
          </w:p>
        </w:tc>
      </w:tr>
      <w:tr>
        <w:tc>
          <w:p>
            <w:pPr>
              <w:pStyle w:val="Compact"/>
              <w:jc w:val="left"/>
            </w:pPr>
            <w:r>
              <w:t xml:space="preserve">0.00</w:t>
            </w:r>
          </w:p>
        </w:tc>
        <w:tc>
          <w:p>
            <w:pPr>
              <w:pStyle w:val="Compact"/>
              <w:jc w:val="left"/>
            </w:pPr>
            <w:r>
              <w:t xml:space="preserve">83.79</w:t>
            </w:r>
          </w:p>
        </w:tc>
        <w:tc>
          <w:p>
            <w:pPr>
              <w:pStyle w:val="Compact"/>
              <w:jc w:val="left"/>
            </w:pPr>
            <w:r>
              <w:t xml:space="preserve">94.25</w:t>
            </w:r>
          </w:p>
        </w:tc>
        <w:tc>
          <w:p>
            <w:pPr>
              <w:pStyle w:val="Compact"/>
              <w:jc w:val="left"/>
            </w:pPr>
            <w:r>
              <w:t xml:space="preserve">85.63</w:t>
            </w:r>
          </w:p>
        </w:tc>
      </w:tr>
      <w:tr>
        <w:tc>
          <w:p>
            <w:pPr>
              <w:pStyle w:val="Compact"/>
              <w:jc w:val="left"/>
            </w:pPr>
            <w:r>
              <w:t xml:space="preserve">0.05</w:t>
            </w:r>
          </w:p>
        </w:tc>
        <w:tc>
          <w:p>
            <w:pPr>
              <w:pStyle w:val="Compact"/>
              <w:jc w:val="left"/>
            </w:pPr>
            <w:r>
              <w:t xml:space="preserve">81.90</w:t>
            </w:r>
          </w:p>
        </w:tc>
        <w:tc>
          <w:p>
            <w:pPr>
              <w:pStyle w:val="Compact"/>
              <w:jc w:val="left"/>
            </w:pPr>
            <w:r>
              <w:t xml:space="preserve">88.29</w:t>
            </w:r>
          </w:p>
        </w:tc>
        <w:tc>
          <w:p>
            <w:pPr>
              <w:pStyle w:val="Compact"/>
              <w:jc w:val="left"/>
            </w:pPr>
            <w:r>
              <w:t xml:space="preserve">81.18</w:t>
            </w:r>
          </w:p>
        </w:tc>
      </w:tr>
      <w:tr>
        <w:tc>
          <w:p>
            <w:pPr>
              <w:pStyle w:val="Compact"/>
              <w:jc w:val="left"/>
            </w:pPr>
            <w:r>
              <w:t xml:space="preserve">0.10</w:t>
            </w:r>
          </w:p>
        </w:tc>
        <w:tc>
          <w:p>
            <w:pPr>
              <w:pStyle w:val="Compact"/>
              <w:jc w:val="left"/>
            </w:pPr>
            <w:r>
              <w:t xml:space="preserve">77.01</w:t>
            </w:r>
          </w:p>
        </w:tc>
        <w:tc>
          <w:p>
            <w:pPr>
              <w:pStyle w:val="Compact"/>
              <w:jc w:val="left"/>
            </w:pPr>
            <w:r>
              <w:t xml:space="preserve">82.61</w:t>
            </w:r>
          </w:p>
        </w:tc>
        <w:tc>
          <w:p>
            <w:pPr>
              <w:pStyle w:val="Compact"/>
              <w:jc w:val="left"/>
            </w:pPr>
            <w:r>
              <w:t xml:space="preserve">83.96</w:t>
            </w:r>
          </w:p>
        </w:tc>
      </w:tr>
      <w:tr>
        <w:tc>
          <w:p>
            <w:pPr>
              <w:pStyle w:val="Compact"/>
              <w:jc w:val="left"/>
            </w:pPr>
            <w:r>
              <w:t xml:space="preserve">0.20</w:t>
            </w:r>
          </w:p>
        </w:tc>
        <w:tc>
          <w:p>
            <w:pPr>
              <w:pStyle w:val="Compact"/>
              <w:jc w:val="left"/>
            </w:pPr>
            <w:r>
              <w:t xml:space="preserve">66.28</w:t>
            </w:r>
          </w:p>
        </w:tc>
        <w:tc>
          <w:p>
            <w:pPr>
              <w:pStyle w:val="Compact"/>
              <w:jc w:val="left"/>
            </w:pPr>
            <w:r>
              <w:t xml:space="preserve">57.99</w:t>
            </w:r>
          </w:p>
        </w:tc>
        <w:tc>
          <w:p>
            <w:pPr>
              <w:pStyle w:val="Compact"/>
              <w:jc w:val="left"/>
            </w:pPr>
            <w:r>
              <w:t xml:space="preserve">87.09</w:t>
            </w:r>
          </w:p>
        </w:tc>
      </w:tr>
    </w:tbl>
    <w:p>
      <w:pPr>
        <w:pStyle w:val="BodyText"/>
      </w:pPr>
      <w:r>
        <w:t xml:space="preserve">APF degrades most steeply under noise, losing 36.3 pp between 0.00 and 0.20. Boids loses 17.5 pp. PPO’s measured coverage does not decrease monotonically with noise and is higher at noise 0.20 than at noise 0.00. This non-monotonic result is flagged as anomalous in Section 4.7.3 and is not interpreted.</w:t>
      </w:r>
    </w:p>
    <w:p>
      <w:r>
        <w:pict>
          <v:rect style="width:0;height:1.5pt" o:hralign="center" o:hrstd="t" o:hr="t"/>
        </w:pict>
      </w:r>
    </w:p>
    <w:p>
      <w:pPr>
        <w:pStyle w:val="Heading2"/>
      </w:pPr>
      <w:bookmarkStart w:id="88" w:name="Xbf74fe8e1fe900431af9cc435f4998292168acf"/>
      <w:r>
        <w:t xml:space="preserve">4.7 Data-integrity findings affecting the interpretation of this chapter</w:t>
      </w:r>
      <w:bookmarkEnd w:id="88"/>
    </w:p>
    <w:p>
      <w:pPr>
        <w:pStyle w:val="FirstParagraph"/>
      </w:pPr>
      <w:r>
        <w:t xml:space="preserve">Four properties of the experiment code constrain what the results above can support. They are stated here so that Chapter 5 can be read against them. Full evidence and remediation steps are in the accompanying reproducibility audit.</w:t>
      </w:r>
    </w:p>
    <w:p>
      <w:pPr>
        <w:pStyle w:val="Heading3"/>
      </w:pPr>
      <w:bookmarkStart w:id="89" w:name="two-result-generations"/>
      <w:r>
        <w:t xml:space="preserve">4.7.1 Two result generations</w:t>
      </w:r>
      <w:bookmarkEnd w:id="89"/>
    </w:p>
    <w:p>
      <w:pPr>
        <w:pStyle w:val="FirstParagraph"/>
      </w:pPr>
      <w:r>
        <w:t xml:space="preserve">The results directory contained two versions of the Boids and APF experiments: one written 23 May 2026 with a 500-step episode budget, one written 23 June 2026 matching the current scripts. The two disagree about the ranking of the methods. Under the May data, PPO leads and APF trails; under the June data, APF leads and PPO trails. The June generation was used throughout this chapter because it is the generation the current code produces, and because its coverage values are reproduced independently by the secondary-metrics run in Table 4.8. The May files should be deleted before submission.</w:t>
      </w:r>
    </w:p>
    <w:p>
      <w:pPr>
        <w:pStyle w:val="Heading3"/>
      </w:pPr>
      <w:bookmarkStart w:id="90" w:name="seed-set-b-is-not-a-held-out-test-set"/>
      <w:r>
        <w:t xml:space="preserve">4.7.2 Seed Set B is not a held-out test set</w:t>
      </w:r>
      <w:bookmarkEnd w:id="90"/>
    </w:p>
    <w:p>
      <w:pPr>
        <w:pStyle w:val="FirstParagraph"/>
      </w:pPr>
      <w:r>
        <w:t xml:space="preserve">For the PPO experiments,</w:t>
      </w:r>
      <w:r>
        <w:t xml:space="preserve"> </w:t>
      </w:r>
      <w:r>
        <w:rPr>
          <w:rStyle w:val="VerbatimChar"/>
        </w:rPr>
        <w:t xml:space="preserve">uav_coverage_env.py</w:t>
      </w:r>
      <w:r>
        <w:t xml:space="preserve"> </w:t>
      </w:r>
      <w:r>
        <w:t xml:space="preserve">maps the episode seed to a layout index using</w:t>
      </w:r>
      <w:r>
        <w:t xml:space="preserve"> </w:t>
      </w:r>
      <w:r>
        <w:rPr>
          <w:rStyle w:val="VerbatimChar"/>
        </w:rPr>
        <w:t xml:space="preserve">s = self._ep_seed % 50</w:t>
      </w:r>
      <w:r>
        <w:t xml:space="preserve">. Seed Set A uses seeds 0–49 and Seed Set B uses seeds 50–99, so both map to layout indices 0–49. Direct comparison of the generated obstacle maps confirms they are byte-identical for 50 of 50 seeds at every density tested.</w:t>
      </w:r>
    </w:p>
    <w:p>
      <w:pPr>
        <w:pStyle w:val="BodyText"/>
      </w:pPr>
      <w:r>
        <w:t xml:space="preserve">The correct reading of Table 4.7 for PPO is therefore:</w:t>
      </w:r>
      <w:r>
        <w:t xml:space="preserve"> </w:t>
      </w:r>
      <w:r>
        <w:rPr>
          <w:b/>
        </w:rPr>
        <w:t xml:space="preserve">repeated evaluation of the same policy on the same fifty layouts produces coverage differences of under 2.1 pp</w:t>
      </w:r>
      <w:r>
        <w:t xml:space="preserve">, which measures policy stochasticity, not generalisation. Success criterion 4 cannot be assessed from the present data.</w:t>
      </w:r>
    </w:p>
    <w:p>
      <w:pPr>
        <w:pStyle w:val="BodyText"/>
      </w:pPr>
      <w:r>
        <w:t xml:space="preserve">For Boids and APF the situation is different but no better: the obstacle seed is drawn from an unseeded internal generator (Section 4.7.4), so Seed Sets A and B are two independent random draws from the same layout distribution rather than a train/test split.</w:t>
      </w:r>
    </w:p>
    <w:p>
      <w:pPr>
        <w:pStyle w:val="Heading3"/>
      </w:pPr>
      <w:bookmarkStart w:id="91" w:name="anomalous-metrics"/>
      <w:r>
        <w:t xml:space="preserve">4.7.3 Anomalous metrics</w:t>
      </w:r>
      <w:bookmarkEnd w:id="91"/>
    </w:p>
    <w:p>
      <w:pPr>
        <w:pStyle w:val="FirstParagraph"/>
      </w:pPr>
      <w:r>
        <w:t xml:space="preserve">Two measurements are not usable as reported.</w:t>
      </w:r>
    </w:p>
    <w:p>
      <w:pPr>
        <w:numPr>
          <w:ilvl w:val="0"/>
          <w:numId w:val="1013"/>
        </w:numPr>
        <w:pStyle w:val="Compact"/>
      </w:pPr>
      <w:r>
        <w:rPr>
          <w:b/>
        </w:rPr>
        <w:t xml:space="preserve">PPO coverage-over-time curves</w:t>
      </w:r>
      <w:r>
        <w:t xml:space="preserve"> </w:t>
      </w:r>
      <w:r>
        <w:t xml:space="preserve">are generated by</w:t>
      </w:r>
      <w:r>
        <w:t xml:space="preserve"> </w:t>
      </w:r>
      <w:r>
        <w:rPr>
          <w:rStyle w:val="VerbatimChar"/>
        </w:rPr>
        <w:t xml:space="preserve">np.linspace(0, mean, 700)</w:t>
      </w:r>
      <w:r>
        <w:t xml:space="preserve"> </w:t>
      </w:r>
      <w:r>
        <w:t xml:space="preserve">rather than recorded during the rollout. Every saved PPO curve is a perfect straight line. No figure plotting PPO coverage against time should be included until the curves are recorded from real rollouts.</w:t>
      </w:r>
    </w:p>
    <w:p>
      <w:pPr>
        <w:numPr>
          <w:ilvl w:val="0"/>
          <w:numId w:val="1013"/>
        </w:numPr>
        <w:pStyle w:val="Compact"/>
      </w:pPr>
      <w:r>
        <w:rPr>
          <w:b/>
        </w:rPr>
        <w:t xml:space="preserve">PPO redundancy</w:t>
      </w:r>
      <w:r>
        <w:t xml:space="preserve"> </w:t>
      </w:r>
      <w:r>
        <w:t xml:space="preserve">is returned by a stub function that always yields 0.0. All 400 PPO runs report redundancy 0.000. The metric is not measured.</w:t>
      </w:r>
    </w:p>
    <w:p>
      <w:pPr>
        <w:pStyle w:val="FirstParagraph"/>
      </w:pPr>
      <w:r>
        <w:t xml:space="preserve">The non-monotonic PPO result in Table 4.10 is a third anomaly whose cause has not been established.</w:t>
      </w:r>
    </w:p>
    <w:p>
      <w:pPr>
        <w:pStyle w:val="Heading3"/>
      </w:pPr>
      <w:bookmarkStart w:id="92" w:name="X1aa3ba6f57f7a139c88d8c70f7501520a820df8"/>
      <w:r>
        <w:t xml:space="preserve">4.7.4 Uncontrolled obstacle seeding and unequal step budgets</w:t>
      </w:r>
      <w:bookmarkEnd w:id="92"/>
    </w:p>
    <w:p>
      <w:pPr>
        <w:pStyle w:val="FirstParagraph"/>
      </w:pPr>
      <w:r>
        <w:t xml:space="preserve">The Mesa-based Boids and APF models obtain their obstacle seed from</w:t>
      </w:r>
      <w:r>
        <w:t xml:space="preserve"> </w:t>
      </w:r>
      <w:r>
        <w:rPr>
          <w:rStyle w:val="VerbatimChar"/>
        </w:rPr>
        <w:t xml:space="preserve">int(self.random.random() * 10000)</w:t>
      </w:r>
      <w:r>
        <w:t xml:space="preserve">, where</w:t>
      </w:r>
      <w:r>
        <w:t xml:space="preserve"> </w:t>
      </w:r>
      <w:r>
        <w:rPr>
          <w:rStyle w:val="VerbatimChar"/>
        </w:rPr>
        <w:t xml:space="preserve">self.random</w:t>
      </w:r>
      <w:r>
        <w:t xml:space="preserve"> </w:t>
      </w:r>
      <w:r>
        <w:t xml:space="preserve">is Mesa’s internal generator. The</w:t>
      </w:r>
      <w:r>
        <w:t xml:space="preserve"> </w:t>
      </w:r>
      <w:r>
        <w:rPr>
          <w:rStyle w:val="VerbatimChar"/>
        </w:rPr>
        <w:t xml:space="preserve">np.random.seed(seed)</w:t>
      </w:r>
      <w:r>
        <w:t xml:space="preserve"> </w:t>
      </w:r>
      <w:r>
        <w:t xml:space="preserve">call in the experiment runners does not reach it. Repeating an identical seed produced obstacle counts of 503, 510 and 512 across three trials at 20% density. Consequently the experiments are not reproducible, and seed</w:t>
      </w:r>
      <w:r>
        <w:t xml:space="preserve"> </w:t>
      </w:r>
      <w:r>
        <w:rPr>
          <w:i/>
        </w:rPr>
        <w:t xml:space="preserve">s</w:t>
      </w:r>
      <w:r>
        <w:t xml:space="preserve"> </w:t>
      </w:r>
      <w:r>
        <w:t xml:space="preserve">does not denote the same layout across methods — which is why the Mann-Whitney U test rather than the paired Wilcoxon test is primary throughout this chapter.</w:t>
      </w:r>
    </w:p>
    <w:p>
      <w:pPr>
        <w:pStyle w:val="BodyText"/>
      </w:pPr>
      <w:r>
        <w:t xml:space="preserve">The episode budget also differs by method: 800 steps for Boids, 700 for APF and PPO. The APF-versus-PPO comparisons in Tables 4.4 and 4.5 are on equal budgets. Every comparison involving Boids gives Boids a 14% larger budget and is therefore conservative against Boids — that is, the true Boids performance at 700 steps would be lower than reported, which would widen the APF-versus-Boids gap and narrow or reverse the PPO-versus-Boids gap.</w:t>
      </w:r>
    </w:p>
    <w:p>
      <w:r>
        <w:pict>
          <v:rect style="width:0;height:1.5pt" o:hralign="center" o:hrstd="t" o:hr="t"/>
        </w:pict>
      </w:r>
    </w:p>
    <w:p>
      <w:pPr>
        <w:pStyle w:val="Heading2"/>
      </w:pPr>
      <w:bookmarkStart w:id="93" w:name="summary-of-results"/>
      <w:r>
        <w:t xml:space="preserve">4.8 Summary of results</w:t>
      </w:r>
      <w:bookmarkEnd w:id="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Stated success criterion</w:t>
            </w:r>
          </w:p>
        </w:tc>
        <w:tc>
          <w:tcPr>
            <w:tcBorders>
              <w:bottom w:val="single"/>
            </w:tcBorders>
            <w:vAlign w:val="bottom"/>
          </w:tcPr>
          <w:p>
            <w:pPr>
              <w:pStyle w:val="Compact"/>
              <w:jc w:val="left"/>
            </w:pPr>
            <w:r>
              <w:t xml:space="preserve">Result</w:t>
            </w:r>
          </w:p>
        </w:tc>
      </w:tr>
      <w:tr>
        <w:tc>
          <w:p>
            <w:pPr>
              <w:pStyle w:val="Compact"/>
              <w:jc w:val="left"/>
            </w:pPr>
            <w:r>
              <w:t xml:space="preserve">1. APF exceeds Boids in ≥3 of 4 density conditions</w:t>
            </w:r>
          </w:p>
        </w:tc>
        <w:tc>
          <w:p>
            <w:pPr>
              <w:pStyle w:val="Compact"/>
              <w:jc w:val="left"/>
            </w:pPr>
            <w:r>
              <w:rPr>
                <w:b/>
              </w:rPr>
              <w:t xml:space="preserve">Met</w:t>
            </w:r>
            <w:r>
              <w:t xml:space="preserve"> </w:t>
            </w:r>
            <w:r>
              <w:t xml:space="preserve">— 4 of 4, both seed sets, all Holm p ≤ 0.0006</w:t>
            </w:r>
          </w:p>
        </w:tc>
      </w:tr>
      <w:tr>
        <w:tc>
          <w:p>
            <w:pPr>
              <w:pStyle w:val="Compact"/>
              <w:jc w:val="left"/>
            </w:pPr>
            <w:r>
              <w:t xml:space="preserve">2. PPO reward converges within ±5% over 500 episodes</w:t>
            </w:r>
          </w:p>
        </w:tc>
        <w:tc>
          <w:p>
            <w:pPr>
              <w:pStyle w:val="Compact"/>
              <w:jc w:val="left"/>
            </w:pPr>
            <w:r>
              <w:t xml:space="preserve">Not evaluated in this chapter</w:t>
            </w:r>
          </w:p>
        </w:tc>
      </w:tr>
      <w:tr>
        <w:tc>
          <w:p>
            <w:pPr>
              <w:pStyle w:val="Compact"/>
              <w:jc w:val="left"/>
            </w:pPr>
            <w:r>
              <w:t xml:space="preserve">3. PPO achieves ≥90% coverage at 0–10% density, Seed Set B</w:t>
            </w:r>
          </w:p>
        </w:tc>
        <w:tc>
          <w:p>
            <w:pPr>
              <w:pStyle w:val="Compact"/>
              <w:jc w:val="left"/>
            </w:pPr>
            <w:r>
              <w:rPr>
                <w:b/>
              </w:rPr>
              <w:t xml:space="preserve">Not met</w:t>
            </w:r>
            <w:r>
              <w:t xml:space="preserve"> </w:t>
            </w:r>
            <w:r>
              <w:t xml:space="preserve">— 85.68% and 85.98%, both significantly below 90%</w:t>
            </w:r>
          </w:p>
        </w:tc>
      </w:tr>
      <w:tr>
        <w:tc>
          <w:p>
            <w:pPr>
              <w:pStyle w:val="Compact"/>
              <w:jc w:val="left"/>
            </w:pPr>
            <w:r>
              <w:t xml:space="preserve">4. PPO degradation &lt; 10 pp, Seed Set A vs B</w:t>
            </w:r>
          </w:p>
        </w:tc>
        <w:tc>
          <w:p>
            <w:pPr>
              <w:pStyle w:val="Compact"/>
              <w:jc w:val="left"/>
            </w:pPr>
            <w:r>
              <w:rPr>
                <w:b/>
              </w:rPr>
              <w:t xml:space="preserve">Cannot be assessed</w:t>
            </w:r>
            <w:r>
              <w:t xml:space="preserve"> </w:t>
            </w:r>
            <w:r>
              <w:t xml:space="preserve">— Seed Set B uses the same layouts as Seed Set A</w:t>
            </w:r>
          </w:p>
        </w:tc>
      </w:tr>
      <w:tr>
        <w:tc>
          <w:p>
            <w:pPr>
              <w:pStyle w:val="Compact"/>
              <w:jc w:val="left"/>
            </w:pPr>
            <w:r>
              <w:t xml:space="preserve">5. Pairwise p &lt; 0.05 between all method pairs at each density</w:t>
            </w:r>
          </w:p>
        </w:tc>
        <w:tc>
          <w:p>
            <w:pPr>
              <w:pStyle w:val="Compact"/>
              <w:jc w:val="left"/>
            </w:pPr>
            <w:r>
              <w:rPr>
                <w:b/>
              </w:rPr>
              <w:t xml:space="preserve">Not met</w:t>
            </w:r>
            <w:r>
              <w:t xml:space="preserve"> </w:t>
            </w:r>
            <w:r>
              <w:t xml:space="preserve">— PPO vs Boids non-significant in 8 of 8 cells</w:t>
            </w:r>
          </w:p>
        </w:tc>
      </w:tr>
    </w:tbl>
    <w:p>
      <w:pPr>
        <w:pStyle w:val="BodyText"/>
      </w:pPr>
      <w:r>
        <w:t xml:space="preserve">The headline results are:</w:t>
      </w:r>
    </w:p>
    <w:p>
      <w:pPr>
        <w:numPr>
          <w:ilvl w:val="0"/>
          <w:numId w:val="1014"/>
        </w:numPr>
        <w:pStyle w:val="Compact"/>
      </w:pPr>
      <w:r>
        <w:t xml:space="preserve">APF achieved the highest coverage at every obstacle density on both seed sets, and was the only method to meet the 90% criterion.</w:t>
      </w:r>
    </w:p>
    <w:p>
      <w:pPr>
        <w:numPr>
          <w:ilvl w:val="0"/>
          <w:numId w:val="1014"/>
        </w:numPr>
        <w:pStyle w:val="Compact"/>
      </w:pPr>
      <w:r>
        <w:t xml:space="preserve">PPO achieved significantly lower coverage than APF at every density, with large effect sizes throughout, and the deficit widened with obstacle density.</w:t>
      </w:r>
    </w:p>
    <w:p>
      <w:pPr>
        <w:numPr>
          <w:ilvl w:val="0"/>
          <w:numId w:val="1014"/>
        </w:numPr>
        <w:pStyle w:val="Compact"/>
      </w:pPr>
      <w:r>
        <w:t xml:space="preserve">PPO was statistically indistinguishable from the Boids baseline at every density.</w:t>
      </w:r>
    </w:p>
    <w:p>
      <w:pPr>
        <w:numPr>
          <w:ilvl w:val="0"/>
          <w:numId w:val="1014"/>
        </w:numPr>
        <w:pStyle w:val="Compact"/>
      </w:pPr>
      <w:r>
        <w:t xml:space="preserve">PPO recorded essentially zero near-collisions and the shortest total path length, but the least even distribution of work across the swarm.</w:t>
      </w:r>
    </w:p>
    <w:p>
      <w:pPr>
        <w:pStyle w:val="Heading1"/>
      </w:pPr>
      <w:bookmarkStart w:id="94" w:name="chapter-5-discussion"/>
      <w:r>
        <w:t xml:space="preserve">Chapter 5 — Discussion</w:t>
      </w:r>
      <w:bookmarkEnd w:id="94"/>
    </w:p>
    <w:p>
      <w:pPr>
        <w:pStyle w:val="FirstParagraph"/>
      </w:pPr>
      <w:r>
        <w:t xml:space="preserve">Chapter 4 reported what was measured. This chapter explains what it means, why the pattern arose, how it sits against the literature reviewed in Chapter 2, and what it does and does not license anyone to conclude. No new numbers are introduced; every figure quoted here appears in Chapter 4.</w:t>
      </w:r>
    </w:p>
    <w:p>
      <w:r>
        <w:pict>
          <v:rect style="width:0;height:1.5pt" o:hralign="center" o:hrstd="t" o:hr="t"/>
        </w:pict>
      </w:r>
    </w:p>
    <w:p>
      <w:pPr>
        <w:pStyle w:val="Heading2"/>
      </w:pPr>
      <w:bookmarkStart w:id="95" w:name="answering-the-research-question"/>
      <w:r>
        <w:t xml:space="preserve">5.1 Answering the research question</w:t>
      </w:r>
      <w:bookmarkEnd w:id="95"/>
    </w:p>
    <w:p>
      <w:pPr>
        <w:pStyle w:val="FirstParagraph"/>
      </w:pPr>
      <w:r>
        <w:t xml:space="preserve">The research question asked:</w:t>
      </w:r>
    </w:p>
    <w:p>
      <w:pPr>
        <w:pStyle w:val="BlockText"/>
      </w:pPr>
      <w:r>
        <w:t xml:space="preserve">Does a fully decentralised multi-agent PPO achieve ≥90% area coverage across obstacle densities of 0–30% in a 50×50 grid, and does its coverage degrade by less than 10 percentage points on layouts unseen during training, compared to a standalone APF controller and a Boids swarm baseline?</w:t>
      </w:r>
    </w:p>
    <w:p>
      <w:pPr>
        <w:pStyle w:val="FirstParagraph"/>
      </w:pPr>
      <w:r>
        <w:t xml:space="preserve">The answer has three parts.</w:t>
      </w:r>
    </w:p>
    <w:p>
      <w:pPr>
        <w:pStyle w:val="BodyText"/>
      </w:pPr>
      <w:r>
        <w:rPr>
          <w:b/>
        </w:rPr>
        <w:t xml:space="preserve">Does decentralised PPO achieve ≥90% coverage? No.</w:t>
      </w:r>
      <w:r>
        <w:t xml:space="preserve"> </w:t>
      </w:r>
      <w:r>
        <w:t xml:space="preserve">PPO’s mean coverage ranged from 82.11% to 85.98% across the eight method-density-seed-set cells. Every cell falls significantly short of 90% under a one-sided Wilcoxon test after Holm correction. At most 15 of 50 runs in any cell reached the threshold. The shortfall is not marginal: even the best cell sits four percentage points below the criterion, with a confidence interval that does not approach it.</w:t>
      </w:r>
    </w:p>
    <w:p>
      <w:pPr>
        <w:pStyle w:val="BodyText"/>
      </w:pPr>
      <w:r>
        <w:rPr>
          <w:b/>
        </w:rPr>
        <w:t xml:space="preserve">Does it degrade by less than 10 pp on unseen layouts? Unknown.</w:t>
      </w:r>
      <w:r>
        <w:t xml:space="preserve"> </w:t>
      </w:r>
      <w:r>
        <w:t xml:space="preserve">The question cannot be answered from these experiments. Seed Set B, intended as the held-out set, uses the same fifty obstacle layouts as Seed Set A. The measured difference of 0.23 to 2.04 pp is policy stochasticity on identical environments. Reporting it as a generalisation result would be wrong, and the fix — removing a modulo operator and retraining — is cheap enough that it should be done rather than caveated.</w:t>
      </w:r>
    </w:p>
    <w:p>
      <w:pPr>
        <w:pStyle w:val="BodyText"/>
      </w:pPr>
      <w:r>
        <w:rPr>
          <w:b/>
        </w:rPr>
        <w:t xml:space="preserve">Does it compare favourably to the baselines? No, in both directions.</w:t>
      </w:r>
      <w:r>
        <w:t xml:space="preserve"> </w:t>
      </w:r>
      <w:r>
        <w:t xml:space="preserve">PPO was significantly worse than APF at every density, by 4.51 to 11.38 percentage points, with large effect sizes throughout (Cliff’s δ −0.53 to −0.87). It was statistically indistinguishable from Boids at every density, with the largest absolute effect size across all eight comparisons being 0.21.</w:t>
      </w:r>
    </w:p>
    <w:p>
      <w:pPr>
        <w:pStyle w:val="BodyText"/>
      </w:pPr>
      <w:r>
        <w:t xml:space="preserve">The hypothesis motivating this study is not supported. The finding is that a fully decentralised learned policy with a 5×5 local observation window and no inter-agent communication does not match a well-tuned reactive controller on this task, and does not beat a simple flocking heuristic either.</w:t>
      </w:r>
    </w:p>
    <w:p>
      <w:r>
        <w:pict>
          <v:rect style="width:0;height:1.5pt" o:hralign="center" o:hrstd="t" o:hr="t"/>
        </w:pict>
      </w:r>
    </w:p>
    <w:p>
      <w:pPr>
        <w:pStyle w:val="Heading2"/>
      </w:pPr>
      <w:bookmarkStart w:id="96" w:name="why-apf-won"/>
      <w:r>
        <w:t xml:space="preserve">5.2 Why APF won</w:t>
      </w:r>
      <w:bookmarkEnd w:id="96"/>
    </w:p>
    <w:p>
      <w:pPr>
        <w:pStyle w:val="FirstParagraph"/>
      </w:pPr>
      <w:r>
        <w:t xml:space="preserve">Three properties of the task favour APF, and they compound as obstacle density rises.</w:t>
      </w:r>
    </w:p>
    <w:p>
      <w:pPr>
        <w:pStyle w:val="BodyText"/>
      </w:pPr>
      <w:r>
        <w:rPr>
          <w:b/>
        </w:rPr>
        <w:t xml:space="preserve">The environment matches APF’s assumptions almost exactly.</w:t>
      </w:r>
      <w:r>
        <w:t xml:space="preserve"> </w:t>
      </w:r>
      <w:r>
        <w:t xml:space="preserve">APF was designed for reactive navigation in continuous space with local obstacle sensing. A 50×50 grid with an unexplored-cell attractor and obstacle repulsors is close to the canonical setting for the method. The controller has no learning to do because the correct behaviour is already encoded in the force field.</w:t>
      </w:r>
    </w:p>
    <w:p>
      <w:pPr>
        <w:pStyle w:val="BodyText"/>
      </w:pPr>
      <w:r>
        <w:rPr>
          <w:b/>
        </w:rPr>
        <w:t xml:space="preserve">Obstacles help APF more than they hurt it.</w:t>
      </w:r>
      <w:r>
        <w:t xml:space="preserve"> </w:t>
      </w:r>
      <w:r>
        <w:t xml:space="preserve">This is the most instructive result in Chapter 4 and it runs against intuition. APF coverage</w:t>
      </w:r>
      <w:r>
        <w:t xml:space="preserve"> </w:t>
      </w:r>
      <w:r>
        <w:rPr>
          <w:i/>
        </w:rPr>
        <w:t xml:space="preserve">increased</w:t>
      </w:r>
      <w:r>
        <w:t xml:space="preserve"> </w:t>
      </w:r>
      <w:r>
        <w:t xml:space="preserve">with obstacle density, from 90.55% at 0% obstacles to 93.52% at 20% on Seed Set A, and the same pattern appears on Seed Set B. The likely mechanism is that obstacles act as repulsive sources that break the symmetry of the swarm. In an empty grid, six agents starting from the same corner under mutual repulsion disperse into a fairly regular pattern and then have little to distinguish one direction from another; coverage suffers from agents re-sweeping similar regions. Obstacles inject structure, channelling agents down corridors and around walls, which decorrelates their trajectories. The load-balance figures support this: APF’s coefficient of variation is lowest of the three methods at every density.</w:t>
      </w:r>
    </w:p>
    <w:p>
      <w:pPr>
        <w:pStyle w:val="BodyText"/>
      </w:pPr>
      <w:r>
        <w:t xml:space="preserve">An alternative explanation must be acknowledged. The coverage metric is the fraction of</w:t>
      </w:r>
      <w:r>
        <w:t xml:space="preserve"> </w:t>
      </w:r>
      <w:r>
        <w:rPr>
          <w:i/>
        </w:rPr>
        <w:t xml:space="preserve">free</w:t>
      </w:r>
      <w:r>
        <w:t xml:space="preserve"> </w:t>
      </w:r>
      <w:r>
        <w:t xml:space="preserve">cells entered. As obstacle density rises, the number of free cells falls — at 30% density roughly 750 of 2,500 cells are blocked. The same absolute number of cells visited therefore yields a higher percentage. Chapter 4’s data cannot separate these two mechanisms, and doing so would require reporting absolute cells covered alongside the percentage. This should be added.</w:t>
      </w:r>
    </w:p>
    <w:p>
      <w:pPr>
        <w:pStyle w:val="BodyText"/>
      </w:pPr>
      <w:r>
        <w:rPr>
          <w:b/>
        </w:rPr>
        <w:t xml:space="preserve">The local-minimum escape mechanism is doing real work.</w:t>
      </w:r>
      <w:r>
        <w:t xml:space="preserve"> </w:t>
      </w:r>
      <w:r>
        <w:t xml:space="preserve">APF’s classical failure mode is trapping in concave geometry, and the structured obstacle generator produces exactly such geometry — walls, L-shapes and 2×2 blocks. That APF does not collapse at 30% density indicates the escape behaviour is effective. This is worth stating because Chapter 2 noted that classical baselines in the MARL literature are frequently included without a stated escape mechanism, which makes them easy to beat. The APF controller here is a hard baseline, and beating it would have been a meaningful result. Failing to beat it is also meaningful.</w:t>
      </w:r>
    </w:p>
    <w:p>
      <w:r>
        <w:pict>
          <v:rect style="width:0;height:1.5pt" o:hralign="center" o:hrstd="t" o:hr="t"/>
        </w:pict>
      </w:r>
    </w:p>
    <w:p>
      <w:pPr>
        <w:pStyle w:val="Heading2"/>
      </w:pPr>
      <w:bookmarkStart w:id="97" w:name="why-ppo-underperformed"/>
      <w:r>
        <w:t xml:space="preserve">5.3 Why PPO underperformed</w:t>
      </w:r>
      <w:bookmarkEnd w:id="97"/>
    </w:p>
    <w:p>
      <w:pPr>
        <w:pStyle w:val="FirstParagraph"/>
      </w:pPr>
      <w:r>
        <w:t xml:space="preserve">The result is consistent with theory. Fusco et al. (2025) state the mechanism directly: in a fully decentralised structure</w:t>
      </w:r>
      <w:r>
        <w:t xml:space="preserve"> </w:t>
      </w:r>
      <w:r>
        <w:t xml:space="preserve">“</w:t>
      </w:r>
      <w:r>
        <w:t xml:space="preserve">no information is exchanged between the agents and each agent would act based on their local observations</w:t>
      </w:r>
      <w:r>
        <w:t xml:space="preserve">”</w:t>
      </w:r>
      <w:r>
        <w:t xml:space="preserve">, with the consequence that</w:t>
      </w:r>
      <w:r>
        <w:t xml:space="preserve"> </w:t>
      </w:r>
      <w:r>
        <w:t xml:space="preserve">“</w:t>
      </w:r>
      <w:r>
        <w:t xml:space="preserve">the actions of the agents would be suboptimal due to their limited information about the environment</w:t>
      </w:r>
      <w:r>
        <w:t xml:space="preserve">”</w:t>
      </w:r>
      <w:r>
        <w:t xml:space="preserve"> </w:t>
      </w:r>
      <w:r>
        <w:t xml:space="preserve">and that</w:t>
      </w:r>
      <w:r>
        <w:t xml:space="preserve"> </w:t>
      </w:r>
      <w:r>
        <w:t xml:space="preserve">“</w:t>
      </w:r>
      <w:r>
        <w:t xml:space="preserve">RL algorithms might have a hard time converging when the training is fully independent due to high partial observability.</w:t>
      </w:r>
      <w:r>
        <w:t xml:space="preserve">”</w:t>
      </w:r>
    </w:p>
    <w:p>
      <w:pPr>
        <w:pStyle w:val="BodyText"/>
      </w:pPr>
      <w:r>
        <w:t xml:space="preserve">This study’s design maximises exactly that penalty. Each agent observes a 5×5 window — 25 of 2,500 cells, or 1% of the environment — and receives no communication from the other five. Four specific consequences follow, and each is visible in the data.</w:t>
      </w:r>
    </w:p>
    <w:p>
      <w:pPr>
        <w:pStyle w:val="BodyText"/>
      </w:pPr>
      <w:r>
        <w:rPr>
          <w:b/>
        </w:rPr>
        <w:t xml:space="preserve">Coverage is a global objective pursued with local information.</w:t>
      </w:r>
      <w:r>
        <w:t xml:space="preserve"> </w:t>
      </w:r>
      <w:r>
        <w:t xml:space="preserve">An agent cannot tell whether a neighbouring region is unexplored or already swept by a teammate it cannot see. The optimal joint policy requires spatial partitioning of the arena, and partitioning cannot be represented in a 5×5 window. The classical controllers face the same observational limit but sidestep it: APF’s mutual repulsion produces implicit partitioning through the force field, without needing to represent it.</w:t>
      </w:r>
    </w:p>
    <w:p>
      <w:pPr>
        <w:pStyle w:val="BodyText"/>
      </w:pPr>
      <w:r>
        <w:rPr>
          <w:b/>
        </w:rPr>
        <w:t xml:space="preserve">The load-balance figures show the failure directly.</w:t>
      </w:r>
      <w:r>
        <w:t xml:space="preserve"> </w:t>
      </w:r>
      <w:r>
        <w:t xml:space="preserve">PPO’s coefficient of variation of cells-per-UAV is 0.417 to 0.482, against 0.057 to 0.166 for APF. The raw spread is starker than the coefficient suggests: within a single PPO run the busiest agent covers on average 11.6 times as many cells as the least busy at 0% obstacles, rising to 41.8 times at 30% obstacles, with individual runs reaching a ratio of 120. Several agents are contributing almost nothing. This is the signature of failed spatial coordination — the swarm is not dividing the arena, it is letting one or two agents do the work while the rest idle or mill. It is the single clearest explanation for the coverage gap, and it is a coordination failure, not a navigation failure.</w:t>
      </w:r>
    </w:p>
    <w:p>
      <w:pPr>
        <w:pStyle w:val="BodyText"/>
      </w:pPr>
      <w:r>
        <w:rPr>
          <w:b/>
        </w:rPr>
        <w:t xml:space="preserve">The near-zero collision count is the same failure seen from the other side.</w:t>
      </w:r>
      <w:r>
        <w:t xml:space="preserve"> </w:t>
      </w:r>
      <w:r>
        <w:t xml:space="preserve">PPO records 0.8 to 1.1 near-collision events per run against 574 to 1,243 for the classical controllers. This is not a safety achievement; it is evidence that the collision penalty in the reward function dominated the exploration bonus. A policy that learns</w:t>
      </w:r>
      <w:r>
        <w:t xml:space="preserve"> </w:t>
      </w:r>
      <w:r>
        <w:t xml:space="preserve">“</w:t>
      </w:r>
      <w:r>
        <w:t xml:space="preserve">stay far from other agents</w:t>
      </w:r>
      <w:r>
        <w:t xml:space="preserve">”</w:t>
      </w:r>
      <w:r>
        <w:t xml:space="preserve"> </w:t>
      </w:r>
      <w:r>
        <w:t xml:space="preserve">satisfies the penalty term cheaply and reliably, whereas learning to cover the arena efficiently requires a much harder credit assignment over long horizons. The agents took the easy gradient. The shorter total path length — 8 to 15% below the classical controllers — points the same way: the policy is moving less, not moving smarter.</w:t>
      </w:r>
    </w:p>
    <w:p>
      <w:pPr>
        <w:pStyle w:val="BodyText"/>
      </w:pPr>
      <w:r>
        <w:rPr>
          <w:b/>
        </w:rPr>
        <w:t xml:space="preserve">Training breadth was insufficient for the state space.</w:t>
      </w:r>
      <w:r>
        <w:t xml:space="preserve"> </w:t>
      </w:r>
      <w:r>
        <w:t xml:space="preserve">The policy was trained for 500,000 steps per density condition on fifty layouts. Because of the modulo defect, those fifty layouts were also the evaluation layouts, so the reported coverage is</w:t>
      </w:r>
      <w:r>
        <w:t xml:space="preserve"> </w:t>
      </w:r>
      <w:r>
        <w:rPr>
          <w:i/>
        </w:rPr>
        <w:t xml:space="preserve">training-set</w:t>
      </w:r>
      <w:r>
        <w:t xml:space="preserve"> </w:t>
      </w:r>
      <w:r>
        <w:t xml:space="preserve">performance. The policy failed to reach 90% even on maps it had effectively memorised. That is a stronger negative result than a generalisation gap would have been, and it should be stated that way: the ceiling here is representational and architectural, not a matter of overfitting.</w:t>
      </w:r>
    </w:p>
    <w:p>
      <w:r>
        <w:pict>
          <v:rect style="width:0;height:1.5pt" o:hralign="center" o:hrstd="t" o:hr="t"/>
        </w:pict>
      </w:r>
    </w:p>
    <w:p>
      <w:pPr>
        <w:pStyle w:val="Heading2"/>
      </w:pPr>
      <w:bookmarkStart w:id="98" w:name="X1c0491c061ee3b61467e00ba3ca5f2378d7979e"/>
      <w:r>
        <w:t xml:space="preserve">5.4 Why PPO tied with Boids rather than beating it</w:t>
      </w:r>
      <w:bookmarkEnd w:id="98"/>
    </w:p>
    <w:p>
      <w:pPr>
        <w:pStyle w:val="FirstParagraph"/>
      </w:pPr>
      <w:r>
        <w:t xml:space="preserve">PPO matched a controller with three hand-written rules and no learning at all. Two readings are available and the data does not fully separate them.</w:t>
      </w:r>
    </w:p>
    <w:p>
      <w:pPr>
        <w:pStyle w:val="BodyText"/>
      </w:pPr>
      <w:r>
        <w:t xml:space="preserve">The</w:t>
      </w:r>
      <w:r>
        <w:t xml:space="preserve"> </w:t>
      </w:r>
      <w:r>
        <w:rPr>
          <w:b/>
        </w:rPr>
        <w:t xml:space="preserve">charitable reading</w:t>
      </w:r>
      <w:r>
        <w:t xml:space="preserve"> </w:t>
      </w:r>
      <w:r>
        <w:t xml:space="preserve">is that Boids is a stronger baseline than it appears. The dispersion-modified variant used here is effectively a reactive controller optimised for spread, which is most of what coverage requires. Beating it needs genuine long-horizon planning, which a 5×5 window cannot support.</w:t>
      </w:r>
    </w:p>
    <w:p>
      <w:pPr>
        <w:pStyle w:val="BodyText"/>
      </w:pPr>
      <w:r>
        <w:t xml:space="preserve">The</w:t>
      </w:r>
      <w:r>
        <w:t xml:space="preserve"> </w:t>
      </w:r>
      <w:r>
        <w:rPr>
          <w:b/>
        </w:rPr>
        <w:t xml:space="preserve">less charitable reading</w:t>
      </w:r>
      <w:r>
        <w:t xml:space="preserve"> </w:t>
      </w:r>
      <w:r>
        <w:t xml:space="preserve">is that the PPO policy did not learn much beyond obstacle avoidance and mutual separation — which is what Boids implements by construction. On this reading the two methods tie because they converged on the same behaviour, one by design and one by gradient descent, and the learned version paid 500,000 training steps for it.</w:t>
      </w:r>
    </w:p>
    <w:p>
      <w:pPr>
        <w:pStyle w:val="BodyText"/>
      </w:pPr>
      <w:r>
        <w:t xml:space="preserve">The load-balance figures favour the second reading. If PPO had learned genuine coordination beyond Boids’ rules, its load distribution should be more even than Boids’, not four times less even. It is the least balanced of the three methods.</w:t>
      </w:r>
    </w:p>
    <w:p>
      <w:pPr>
        <w:pStyle w:val="BodyText"/>
      </w:pPr>
      <w:r>
        <w:t xml:space="preserve">One caveat cuts the other way and must be stated. Boids ran with an 800-step episode budget against PPO’s 700 — a 14% advantage. Equalising the budgets would lower Boids’ coverage and could turn the PPO-versus-Boids ties into small PPO wins. The honest position is that the tie result is unresolved until the budgets are equalised, and the re-run should be done. It does not affect the APF comparison, which was already on equal budgets.</w:t>
      </w:r>
    </w:p>
    <w:p>
      <w:r>
        <w:pict>
          <v:rect style="width:0;height:1.5pt" o:hralign="center" o:hrstd="t" o:hr="t"/>
        </w:pict>
      </w:r>
    </w:p>
    <w:p>
      <w:pPr>
        <w:pStyle w:val="Heading2"/>
      </w:pPr>
      <w:bookmarkStart w:id="99" w:name="what-ppo-was-actually-better-at"/>
      <w:r>
        <w:t xml:space="preserve">5.5 What PPO was actually better at</w:t>
      </w:r>
      <w:bookmarkEnd w:id="99"/>
    </w:p>
    <w:p>
      <w:pPr>
        <w:pStyle w:val="FirstParagraph"/>
      </w:pPr>
      <w:r>
        <w:t xml:space="preserve">Reporting only the coverage deficit would misrepresent the results. PPO was better on three secondary measures, and the pattern is coherent.</w:t>
      </w:r>
    </w:p>
    <w:p>
      <w:pPr>
        <w:pStyle w:val="BodyText"/>
      </w:pPr>
      <w:r>
        <w:rPr>
          <w:b/>
        </w:rPr>
        <w:t xml:space="preserve">Collision avoidance.</w:t>
      </w:r>
      <w:r>
        <w:t xml:space="preserve"> </w:t>
      </w:r>
      <w:r>
        <w:t xml:space="preserve">Three orders of magnitude fewer near-collision events. For an application where airframe loss is expensive and coverage shortfall is recoverable — inspection of infrastructure, operations in confined airspace — this may matter more than four percentage points of coverage. It is also the one property that came from learning rather than from design.</w:t>
      </w:r>
    </w:p>
    <w:p>
      <w:pPr>
        <w:pStyle w:val="BodyText"/>
      </w:pPr>
      <w:r>
        <w:rPr>
          <w:b/>
        </w:rPr>
        <w:t xml:space="preserve">Computational cost is flat in environment complexity.</w:t>
      </w:r>
      <w:r>
        <w:t xml:space="preserve"> </w:t>
      </w:r>
      <w:r>
        <w:t xml:space="preserve">PPO’s per-step inference cost stayed at 0.186–0.192 ms regardless of obstacle density, because a forward pass through a fixed network costs the same whatever the map contains. APF’s cost rose from 0.267 to 0.638 ms and Boids’ from 0.075 to 0.279 ms, because both recompute pairwise forces or neighbour sets whose size grows with the number of obstacles. At 30% density PPO is 3.3× cheaper per step than APF. On an embedded flight controller in a cluttered environment, that predictability has real value — and it is the standard argument for learned policies, supported here by measurement rather than assertion.</w:t>
      </w:r>
    </w:p>
    <w:p>
      <w:pPr>
        <w:pStyle w:val="BodyText"/>
      </w:pPr>
      <w:r>
        <w:rPr>
          <w:b/>
        </w:rPr>
        <w:t xml:space="preserve">Path efficiency.</w:t>
      </w:r>
      <w:r>
        <w:t xml:space="preserve"> </w:t>
      </w:r>
      <w:r>
        <w:t xml:space="preserve">8 to 15% shorter total travel distance. Read alongside the lower coverage this is ambiguous — it may reflect efficiency or simply less movement — but as an energy proxy it is the metric Fusco et al. (2025) treat as primary, and on their chosen axis PPO looks better than it does on coverage.</w:t>
      </w:r>
    </w:p>
    <w:p>
      <w:pPr>
        <w:pStyle w:val="BodyText"/>
      </w:pPr>
      <w:r>
        <w:t xml:space="preserve">The defensible summary is that decentralised PPO trades coverage for safety and computational predictability. That is a real engineering trade-off and a legitimate contribution, provided it is presented as a trade-off rather than dressed up as a win.</w:t>
      </w:r>
    </w:p>
    <w:p>
      <w:r>
        <w:pict>
          <v:rect style="width:0;height:1.5pt" o:hralign="center" o:hrstd="t" o:hr="t"/>
        </w:pict>
      </w:r>
    </w:p>
    <w:p>
      <w:pPr>
        <w:pStyle w:val="Heading2"/>
      </w:pPr>
      <w:bookmarkStart w:id="100" w:name="relation-to-the-literature"/>
      <w:r>
        <w:t xml:space="preserve">5.6 Relation to the literature</w:t>
      </w:r>
      <w:bookmarkEnd w:id="100"/>
    </w:p>
    <w:p>
      <w:pPr>
        <w:pStyle w:val="FirstParagraph"/>
      </w:pPr>
      <w:r>
        <w:rPr>
          <w:b/>
        </w:rPr>
        <w:t xml:space="preserve">The result confirms a prediction the empirical literature mostly avoids testing.</w:t>
      </w:r>
      <w:r>
        <w:t xml:space="preserve"> </w:t>
      </w:r>
      <w:r>
        <w:t xml:space="preserve">Chapter 2 established that Fusco et al. (2025) set out the theoretical penalty for full decentralisation, and that almost every empirical coverage paper avoids paying it — Yu et al. (2025) through event-triggered hierarchy, He et al. through a hierarchical swarm framework, Leong et al. (2024) through viewpoint assignment, Xie et al. (2025) through centralised cell decomposition. This study did not avoid it, and observed the predicted penalty. That is a modest but genuine contribution: it supplies the empirical data point the field’s own theory implies but does not measure.</w:t>
      </w:r>
    </w:p>
    <w:p>
      <w:pPr>
        <w:pStyle w:val="BodyText"/>
      </w:pPr>
      <w:r>
        <w:rPr>
          <w:b/>
        </w:rPr>
        <w:t xml:space="preserve">It suggests published MARL-versus-classical comparisons should be read carefully.</w:t>
      </w:r>
      <w:r>
        <w:t xml:space="preserve"> </w:t>
      </w:r>
      <w:r>
        <w:t xml:space="preserve">APF beat a learned policy by up to 11.4 pp here, with a properly configured escape mechanism. Chapter 2 noted that classical baselines in this literature are routinely under-specified. The reasonable inference is not that all such comparisons are wrong, but that the strength of the classical baseline is a first-order determinant of the result, and papers that do not state their baseline’s parameters cannot be assessed on this point.</w:t>
      </w:r>
    </w:p>
    <w:p>
      <w:pPr>
        <w:pStyle w:val="BodyText"/>
      </w:pPr>
      <w:r>
        <w:rPr>
          <w:b/>
        </w:rPr>
        <w:t xml:space="preserve">The evidentiary standard is the most transferable part of this work.</w:t>
      </w:r>
      <w:r>
        <w:t xml:space="preserve"> </w:t>
      </w:r>
      <w:r>
        <w:t xml:space="preserve">None of the papers reviewed in Chapter 2 reports a significance test, an effect size, or a replication count above ten. This study reports 50 replications per cell, Mann-Whitney U tests with Holm–Bonferroni correction, Cliff’s delta and bootstrap confidence intervals. If the results chapter had shown PPO winning by 2 pp, that standard would have been what determined whether the claim was believable. It is worth arguing in the viva that this, rather than any individual number, is the methodological contribution.</w:t>
      </w:r>
    </w:p>
    <w:p>
      <w:pPr>
        <w:pStyle w:val="BodyText"/>
      </w:pPr>
      <w:r>
        <w:rPr>
          <w:b/>
        </w:rPr>
        <w:t xml:space="preserve">Direct numerical comparison with prior work is not available, and that is a finding.</w:t>
      </w:r>
      <w:r>
        <w:t xml:space="preserve"> </w:t>
      </w:r>
      <w:r>
        <w:t xml:space="preserve">Fusco et al. report no coverage percentage; He et al.’s</w:t>
      </w:r>
      <w:r>
        <w:t xml:space="preserve"> </w:t>
      </w:r>
      <w:r>
        <w:t xml:space="preserve">“</w:t>
      </w:r>
      <w:r>
        <w:t xml:space="preserve">&gt;90%</w:t>
      </w:r>
      <w:r>
        <w:t xml:space="preserve">”</w:t>
      </w:r>
      <w:r>
        <w:t xml:space="preserve"> </w:t>
      </w:r>
      <w:r>
        <w:t xml:space="preserve">is communication coverage of ground users, not swept area; papers that terminate on full coverage report time-to-completion rather than coverage-at-budget. The field has no shared benchmark for this task. Chapter 2’s comparison table therefore compares experimental design rather than headline numbers, which is the only honest form the comparison can take.</w:t>
      </w:r>
    </w:p>
    <w:p>
      <w:r>
        <w:pict>
          <v:rect style="width:0;height:1.5pt" o:hralign="center" o:hrstd="t" o:hr="t"/>
        </w:pict>
      </w:r>
    </w:p>
    <w:p>
      <w:pPr>
        <w:pStyle w:val="Heading2"/>
      </w:pPr>
      <w:bookmarkStart w:id="101" w:name="limitations"/>
      <w:r>
        <w:t xml:space="preserve">5.7 Limitations</w:t>
      </w:r>
      <w:bookmarkEnd w:id="101"/>
    </w:p>
    <w:p>
      <w:pPr>
        <w:pStyle w:val="FirstParagraph"/>
      </w:pPr>
      <w:r>
        <w:t xml:space="preserve">These are ordered by how much they constrain the conclusions.</w:t>
      </w:r>
    </w:p>
    <w:p>
      <w:pPr>
        <w:pStyle w:val="BodyText"/>
      </w:pPr>
      <w:r>
        <w:rPr>
          <w:b/>
        </w:rPr>
        <w:t xml:space="preserve">Generalisation is untested.</w:t>
      </w:r>
      <w:r>
        <w:t xml:space="preserve"> </w:t>
      </w:r>
      <w:r>
        <w:t xml:space="preserve">The single most important limitation. The held-out set was not held out. Nothing in this work supports or refutes a claim about generalisation to unseen layouts. The claim should be removed from the abstract and conclusion until the experiment is re-run.</w:t>
      </w:r>
    </w:p>
    <w:p>
      <w:pPr>
        <w:pStyle w:val="BodyText"/>
      </w:pPr>
      <w:r>
        <w:rPr>
          <w:b/>
        </w:rPr>
        <w:t xml:space="preserve">Results are not reproducible as the code currently stands.</w:t>
      </w:r>
      <w:r>
        <w:t xml:space="preserve"> </w:t>
      </w:r>
      <w:r>
        <w:t xml:space="preserve">The Boids and APF models draw their obstacle seed from an unseeded internal generator, so identical seeds produce different maps. Re-running the experiment today would not reproduce the tables in Chapter 4. This is a defect of the harness rather than of the methods, and it is fixable in a few lines, but it must be fixed before the numbers can be defended.</w:t>
      </w:r>
    </w:p>
    <w:p>
      <w:pPr>
        <w:pStyle w:val="BodyText"/>
      </w:pPr>
      <w:r>
        <w:rPr>
          <w:b/>
        </w:rPr>
        <w:t xml:space="preserve">Episode budgets were unequal.</w:t>
      </w:r>
      <w:r>
        <w:t xml:space="preserve"> </w:t>
      </w:r>
      <w:r>
        <w:t xml:space="preserve">Boids received 800 steps against 700 for APF and PPO. The APF-versus-PPO conclusions are unaffected. The PPO-versus-Boids tie is unresolved.</w:t>
      </w:r>
    </w:p>
    <w:p>
      <w:pPr>
        <w:pStyle w:val="BodyText"/>
      </w:pPr>
      <w:r>
        <w:rPr>
          <w:b/>
        </w:rPr>
        <w:t xml:space="preserve">The environment is a substantial simplification.</w:t>
      </w:r>
      <w:r>
        <w:t xml:space="preserve"> </w:t>
      </w:r>
      <w:r>
        <w:t xml:space="preserve">A 2D grid with discrete movement, perfect single-cell sensing, no motion uncertainty, no battery limit and no communication constraints. Real UAVs face all five. The absolute coverage numbers should not be read as predictions of field performance; only the relative ordering of the methods transfers, and even that is conditional on the simplifications not favouring one method.</w:t>
      </w:r>
    </w:p>
    <w:p>
      <w:pPr>
        <w:pStyle w:val="BodyText"/>
      </w:pPr>
      <w:r>
        <w:rPr>
          <w:b/>
        </w:rPr>
        <w:t xml:space="preserve">Swarm size was fixed at six for the main experiment.</w:t>
      </w:r>
      <w:r>
        <w:t xml:space="preserve"> </w:t>
      </w:r>
      <w:r>
        <w:t xml:space="preserve">The sensitivity analysis in Table 4.9 shows all three methods exceed 90% at nine UAVs and above, and all three fall below 71% at three. Six sits in the steep part of that curve, where small differences in coordination quality are amplified. The result</w:t>
      </w:r>
      <w:r>
        <w:t xml:space="preserve"> </w:t>
      </w:r>
      <w:r>
        <w:t xml:space="preserve">“</w:t>
      </w:r>
      <w:r>
        <w:t xml:space="preserve">PPO fails to reach 90%</w:t>
      </w:r>
      <w:r>
        <w:t xml:space="preserve">”</w:t>
      </w:r>
      <w:r>
        <w:t xml:space="preserve"> </w:t>
      </w:r>
      <w:r>
        <w:t xml:space="preserve">is specific to six UAVs on a 50×50 grid; at nine agents PPO reaches 94.87%. Fixing the criterion but not the agent count is arguably the weakest design decision in the study, and a fairer framing of the finding is that</w:t>
      </w:r>
      <w:r>
        <w:t xml:space="preserve"> </w:t>
      </w:r>
      <w:r>
        <w:rPr>
          <w:i/>
        </w:rPr>
        <w:t xml:space="preserve">PPO needs more agents than APF to reach the same coverage</w:t>
      </w:r>
      <w:r>
        <w:t xml:space="preserve">.</w:t>
      </w:r>
    </w:p>
    <w:p>
      <w:pPr>
        <w:pStyle w:val="BodyText"/>
      </w:pPr>
      <w:r>
        <w:rPr>
          <w:b/>
        </w:rPr>
        <w:t xml:space="preserve">PPO hyperparameters were not tuned.</w:t>
      </w:r>
      <w:r>
        <w:t xml:space="preserve"> </w:t>
      </w:r>
      <w:r>
        <w:t xml:space="preserve">A single configuration was trained. The comparison is between a tuned classical controller and an untuned learned one. This is a real asymmetry and it should be stated in the conclusion rather than left for an examiner to raise.</w:t>
      </w:r>
    </w:p>
    <w:p>
      <w:pPr>
        <w:pStyle w:val="BodyText"/>
      </w:pPr>
      <w:r>
        <w:rPr>
          <w:b/>
        </w:rPr>
        <w:t xml:space="preserve">Two metrics are not usable.</w:t>
      </w:r>
      <w:r>
        <w:t xml:space="preserve"> </w:t>
      </w:r>
      <w:r>
        <w:t xml:space="preserve">PPO coverage curves are synthetic and PPO redundancy is a stub returning zero. Neither can appear in the submitted document without being fixed.</w:t>
      </w:r>
    </w:p>
    <w:p>
      <w:r>
        <w:pict>
          <v:rect style="width:0;height:1.5pt" o:hralign="center" o:hrstd="t" o:hr="t"/>
        </w:pict>
      </w:r>
    </w:p>
    <w:p>
      <w:pPr>
        <w:pStyle w:val="Heading2"/>
      </w:pPr>
      <w:bookmarkStart w:id="102" w:name="future-work"/>
      <w:r>
        <w:t xml:space="preserve">5.8 Future work</w:t>
      </w:r>
      <w:bookmarkEnd w:id="102"/>
    </w:p>
    <w:p>
      <w:pPr>
        <w:pStyle w:val="FirstParagraph"/>
      </w:pPr>
      <w:r>
        <w:t xml:space="preserve">In descending order of value per unit of effort.</w:t>
      </w:r>
    </w:p>
    <w:p>
      <w:pPr>
        <w:numPr>
          <w:ilvl w:val="0"/>
          <w:numId w:val="1015"/>
        </w:numPr>
        <w:pStyle w:val="Compact"/>
      </w:pPr>
      <w:r>
        <w:rPr>
          <w:b/>
        </w:rPr>
        <w:t xml:space="preserve">Repair the seeding and re-run.</w:t>
      </w:r>
      <w:r>
        <w:t xml:space="preserve"> </w:t>
      </w:r>
      <w:r>
        <w:t xml:space="preserve">Removing the modulo in the PPO environment and plumbing the seed through the Mesa models converts an unreproducible study into a reproducible one. Roughly a day of compute. Nothing else on this list is worth doing first.</w:t>
      </w:r>
    </w:p>
    <w:p>
      <w:pPr>
        <w:numPr>
          <w:ilvl w:val="0"/>
          <w:numId w:val="1015"/>
        </w:numPr>
        <w:pStyle w:val="Compact"/>
      </w:pPr>
      <w:r>
        <w:rPr>
          <w:b/>
        </w:rPr>
        <w:t xml:space="preserve">Equalise episode budgets and re-run all three methods at a common value.</w:t>
      </w:r>
      <w:r>
        <w:t xml:space="preserve"> </w:t>
      </w:r>
      <w:r>
        <w:t xml:space="preserve">Resolves the PPO-versus-Boids question.</w:t>
      </w:r>
    </w:p>
    <w:p>
      <w:pPr>
        <w:numPr>
          <w:ilvl w:val="0"/>
          <w:numId w:val="1015"/>
        </w:numPr>
        <w:pStyle w:val="Compact"/>
      </w:pPr>
      <w:r>
        <w:rPr>
          <w:b/>
        </w:rPr>
        <w:t xml:space="preserve">Report absolute cells covered alongside percentage coverage.</w:t>
      </w:r>
      <w:r>
        <w:t xml:space="preserve"> </w:t>
      </w:r>
      <w:r>
        <w:t xml:space="preserve">Separates the two competing explanations for APF’s rising coverage with density, given in Section 5.2.</w:t>
      </w:r>
    </w:p>
    <w:p>
      <w:pPr>
        <w:numPr>
          <w:ilvl w:val="0"/>
          <w:numId w:val="1015"/>
        </w:numPr>
        <w:pStyle w:val="Compact"/>
      </w:pPr>
      <w:r>
        <w:rPr>
          <w:b/>
        </w:rPr>
        <w:t xml:space="preserve">Add minimal communication to the PPO agents.</w:t>
      </w:r>
      <w:r>
        <w:t xml:space="preserve"> </w:t>
      </w:r>
      <w:r>
        <w:t xml:space="preserve">Sharing only each agent’s position with its nearest neighbours would test whether the deficit is caused by partial observability or by the algorithm. Given that the load-balance figures point squarely at coordination failure, this is the highest-value scientific extension.</w:t>
      </w:r>
    </w:p>
    <w:p>
      <w:pPr>
        <w:numPr>
          <w:ilvl w:val="0"/>
          <w:numId w:val="1015"/>
        </w:numPr>
        <w:pStyle w:val="Compact"/>
      </w:pPr>
      <w:r>
        <w:rPr>
          <w:b/>
        </w:rPr>
        <w:t xml:space="preserve">Compare against a hierarchical MARL variant</w:t>
      </w:r>
      <w:r>
        <w:t xml:space="preserve">, following Yu et al. (2025), to quantify how much of the gap decentralisation costs.</w:t>
      </w:r>
    </w:p>
    <w:p>
      <w:pPr>
        <w:numPr>
          <w:ilvl w:val="0"/>
          <w:numId w:val="1015"/>
        </w:numPr>
        <w:pStyle w:val="Compact"/>
      </w:pPr>
      <w:r>
        <w:rPr>
          <w:b/>
        </w:rPr>
        <w:t xml:space="preserve">Tune PPO hyperparameters and increase training steps</w:t>
      </w:r>
      <w:r>
        <w:t xml:space="preserve">, so that the comparison is between two tuned systems.</w:t>
      </w:r>
    </w:p>
    <w:p>
      <w:pPr>
        <w:numPr>
          <w:ilvl w:val="0"/>
          <w:numId w:val="1015"/>
        </w:numPr>
        <w:pStyle w:val="Compact"/>
      </w:pPr>
      <w:r>
        <w:rPr>
          <w:b/>
        </w:rPr>
        <w:t xml:space="preserve">Vary swarm size in the main experiment</w:t>
      </w:r>
      <w:r>
        <w:t xml:space="preserve"> </w:t>
      </w:r>
      <w:r>
        <w:t xml:space="preserve">rather than in a 15-seed side analysis, and report the agent count each method needs to reach 90%. On the evidence of Table 4.9 this may be the more informative framing of the whole study.</w:t>
      </w:r>
    </w:p>
    <w:p>
      <w:r>
        <w:pict>
          <v:rect style="width:0;height:1.5pt" o:hralign="center" o:hrstd="t" o:hr="t"/>
        </w:pict>
      </w:r>
    </w:p>
    <w:p>
      <w:pPr>
        <w:pStyle w:val="Heading2"/>
      </w:pPr>
      <w:bookmarkStart w:id="103" w:name="conclusion-of-the-discussion"/>
      <w:r>
        <w:t xml:space="preserve">5.9 Conclusion of the discussion</w:t>
      </w:r>
      <w:bookmarkEnd w:id="103"/>
    </w:p>
    <w:p>
      <w:pPr>
        <w:pStyle w:val="FirstParagraph"/>
      </w:pPr>
      <w:r>
        <w:t xml:space="preserve">A fully decentralised PPO policy with a 5×5 local observation window and no inter-agent communication reached 82–86% area coverage on a 50×50 grid with six UAVs. It did not reach the 90% criterion at any obstacle density. It performed significantly worse than a tuned artificial potential field controller at every density, with large effect sizes, and the gap widened as obstacles increased. It did not perform significantly better than a Boids flocking baseline at any density.</w:t>
      </w:r>
    </w:p>
    <w:p>
      <w:pPr>
        <w:pStyle w:val="BodyText"/>
      </w:pPr>
      <w:r>
        <w:t xml:space="preserve">The learned policy was better at collision avoidance by three orders of magnitude, and its per-step computational cost was constant in environment complexity where both classical controllers’ costs grew. The trade-off it offers is coverage for safety and predictability.</w:t>
      </w:r>
    </w:p>
    <w:p>
      <w:pPr>
        <w:pStyle w:val="BodyText"/>
      </w:pPr>
      <w:r>
        <w:t xml:space="preserve">The mechanism behind the coverage deficit is visible in the data: PPO’s distribution of work across the swarm was 2.9 to 7.3 times less even than APF’s. The failure is one of coordination, not navigation, and it is the failure that theory predicts for a fully decentralised policy under high partial observability. Whether communication would close the gap is the obvious next experiment.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Gap-Fill Pack</dc:title>
  <dc:creator>Mahadev Reddy | MSc Robotics, University of Bristol</dc:creator>
  <cp:keywords/>
  <dcterms:created xsi:type="dcterms:W3CDTF">2026-07-29T14:28:04Z</dcterms:created>
  <dcterms:modified xsi:type="dcterms:W3CDTF">2026-07-29T14:28:04Z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July 2026</vt:lpwstr>
  </property>
  <property fmtid="{D5CDD505-2E9C-101B-9397-08002B2CF9AE}" pid="3" name="subtitle">
    <vt:lpwstr>UAV Swarm Coverage — Boids, APF and Decentralised PPO</vt:lpwstr>
  </property>
</Properties>
</file>