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959040"/>
            <wp:docPr id="1" name="Picture 1"/>
            <wp:cNvGraphicFramePr>
              <a:graphicFrameLocks noChangeAspect="1"/>
            </wp:cNvGraphicFramePr>
            <a:graphic>
              <a:graphicData uri="http://schemas.openxmlformats.org/drawingml/2006/picture">
                <pic:pic>
                  <pic:nvPicPr>
                    <pic:cNvPr id="0" name="amrita_logo.png"/>
                    <pic:cNvPicPr/>
                  </pic:nvPicPr>
                  <pic:blipFill>
                    <a:blip r:embed="rId9"/>
                    <a:stretch>
                      <a:fillRect/>
                    </a:stretch>
                  </pic:blipFill>
                  <pic:spPr>
                    <a:xfrm>
                      <a:off x="0" y="0"/>
                      <a:ext cx="3291840" cy="959040"/>
                    </a:xfrm>
                    <a:prstGeom prst="rect"/>
                  </pic:spPr>
                </pic:pic>
              </a:graphicData>
            </a:graphic>
          </wp:inline>
        </w:drawing>
      </w:r>
    </w:p>
    <w:p>
      <w:pPr>
        <w:jc w:val="center"/>
      </w:pPr>
      <w:r>
        <w:rPr>
          <w:rFonts w:ascii="Times New Roman" w:hAnsi="Times New Roman"/>
          <w:sz w:val="44"/>
        </w:rPr>
        <w:t>Reinforcement Learning Laboratory</w:t>
      </w:r>
    </w:p>
    <w:p>
      <w:pPr>
        <w:jc w:val="center"/>
      </w:pPr>
      <w:r>
        <w:rPr>
          <w:color w:val="4F709D"/>
          <w:sz w:val="22"/>
        </w:rPr>
        <w:t>Lab Assignment 2: Interactive Exploration of Tic-Tac-Toe using Reinforcement Learning</w:t>
      </w:r>
    </w:p>
    <w:p>
      <w:pPr>
        <w:spacing w:after="20"/>
        <w:jc w:val="center"/>
      </w:pPr>
      <w:r>
        <w:rPr>
          <w:b/>
          <w:sz w:val="20"/>
        </w:rPr>
        <w:t>Name: Mahadevi E Malkhed</w:t>
      </w:r>
    </w:p>
    <w:p>
      <w:pPr>
        <w:spacing w:after="20"/>
        <w:jc w:val="center"/>
      </w:pPr>
      <w:r>
        <w:rPr>
          <w:b/>
          <w:sz w:val="20"/>
        </w:rPr>
        <w:t>BL.SC.P2CSE25009</w:t>
      </w:r>
    </w:p>
    <w:p>
      <w:pPr>
        <w:spacing w:before="160" w:after="80"/>
      </w:pPr>
      <w:r>
        <w:rPr>
          <w:rFonts w:ascii="Times New Roman" w:hAnsi="Times New Roman"/>
          <w:color w:val="4F709D"/>
          <w:sz w:val="28"/>
        </w:rPr>
        <w:t>Task 1: Identify the Reinforcement Learning Components</w:t>
      </w:r>
    </w:p>
    <w:tbl>
      <w:tblPr>
        <w:tblStyle w:val="TableGrid"/>
        <w:tblW w:type="auto" w:w="0"/>
        <w:jc w:val="center"/>
        <w:tblLook w:firstColumn="1" w:firstRow="1" w:lastColumn="0" w:lastRow="0" w:noHBand="0" w:noVBand="1" w:val="04A0"/>
      </w:tblPr>
      <w:tblGrid>
        <w:gridCol w:w="5184"/>
        <w:gridCol w:w="5184"/>
      </w:tblGrid>
      <w:tr>
        <w:tc>
          <w:tcPr>
            <w:tcW w:type="dxa" w:w="5184"/>
            <w:shd w:fill="D9E1F2"/>
          </w:tcPr>
          <w:p>
            <w:r>
              <w:rPr>
                <w:b/>
                <w:sz w:val="18"/>
              </w:rPr>
              <w:t>RL Component</w:t>
            </w:r>
          </w:p>
        </w:tc>
        <w:tc>
          <w:tcPr>
            <w:tcW w:type="dxa" w:w="5184"/>
            <w:shd w:fill="D9E1F2"/>
          </w:tcPr>
          <w:p>
            <w:r>
              <w:rPr>
                <w:b/>
                <w:sz w:val="18"/>
              </w:rPr>
              <w:t>Student Observation</w:t>
            </w:r>
          </w:p>
        </w:tc>
      </w:tr>
      <w:tr>
        <w:tc>
          <w:tcPr>
            <w:tcW w:type="dxa" w:w="5184"/>
            <w:vAlign w:val="top"/>
          </w:tcPr>
          <w:p>
            <w:pPr>
              <w:spacing w:after="0"/>
            </w:pPr>
            <w:r>
              <w:rPr>
                <w:sz w:val="17"/>
              </w:rPr>
              <w:t>Agent</w:t>
            </w:r>
          </w:p>
        </w:tc>
        <w:tc>
          <w:tcPr>
            <w:tcW w:type="dxa" w:w="5184"/>
            <w:vAlign w:val="top"/>
          </w:tcPr>
          <w:p>
            <w:pPr>
              <w:spacing w:after="0"/>
            </w:pPr>
            <w:r>
              <w:rPr>
                <w:sz w:val="17"/>
              </w:rPr>
              <w:t>Two learning agents (Agent X and Agent O) play Tic-Tac-Toe against each other and update their state-value estimates after each game.</w:t>
            </w:r>
          </w:p>
        </w:tc>
      </w:tr>
      <w:tr>
        <w:tc>
          <w:tcPr>
            <w:tcW w:type="dxa" w:w="5184"/>
            <w:vAlign w:val="top"/>
          </w:tcPr>
          <w:p>
            <w:pPr>
              <w:spacing w:after="0"/>
            </w:pPr>
            <w:r>
              <w:rPr>
                <w:sz w:val="17"/>
              </w:rPr>
              <w:t>Environment</w:t>
            </w:r>
          </w:p>
        </w:tc>
        <w:tc>
          <w:tcPr>
            <w:tcW w:type="dxa" w:w="5184"/>
            <w:vAlign w:val="top"/>
          </w:tcPr>
          <w:p>
            <w:pPr>
              <w:spacing w:after="0"/>
            </w:pPr>
            <w:r>
              <w:rPr>
                <w:sz w:val="17"/>
              </w:rPr>
              <w:t>A 3×3 Tic-Tac-Toe board with legal-move rules, win conditions, and draws.</w:t>
            </w:r>
          </w:p>
        </w:tc>
      </w:tr>
      <w:tr>
        <w:tc>
          <w:tcPr>
            <w:tcW w:type="dxa" w:w="5184"/>
            <w:vAlign w:val="top"/>
          </w:tcPr>
          <w:p>
            <w:pPr>
              <w:spacing w:after="0"/>
            </w:pPr>
            <w:r>
              <w:rPr>
                <w:sz w:val="17"/>
              </w:rPr>
              <w:t>State Representation</w:t>
            </w:r>
          </w:p>
        </w:tc>
        <w:tc>
          <w:tcPr>
            <w:tcW w:type="dxa" w:w="5184"/>
            <w:vAlign w:val="top"/>
          </w:tcPr>
          <w:p>
            <w:pPr>
              <w:spacing w:after="0"/>
            </w:pPr>
            <w:r>
              <w:rPr>
                <w:sz w:val="17"/>
              </w:rPr>
              <w:t>The current arrangement of the nine board cells, represented as a tuple containing X, O, or an empty cell.</w:t>
            </w:r>
          </w:p>
        </w:tc>
      </w:tr>
      <w:tr>
        <w:tc>
          <w:tcPr>
            <w:tcW w:type="dxa" w:w="5184"/>
            <w:vAlign w:val="top"/>
          </w:tcPr>
          <w:p>
            <w:pPr>
              <w:spacing w:after="0"/>
            </w:pPr>
            <w:r>
              <w:rPr>
                <w:sz w:val="17"/>
              </w:rPr>
              <w:t>Action Space</w:t>
            </w:r>
          </w:p>
        </w:tc>
        <w:tc>
          <w:tcPr>
            <w:tcW w:type="dxa" w:w="5184"/>
            <w:vAlign w:val="top"/>
          </w:tcPr>
          <w:p>
            <w:pPr>
              <w:spacing w:after="0"/>
            </w:pPr>
            <w:r>
              <w:rPr>
                <w:sz w:val="17"/>
              </w:rPr>
              <w:t>Placing the agent's mark in any currently empty cell.</w:t>
            </w:r>
          </w:p>
        </w:tc>
      </w:tr>
      <w:tr>
        <w:tc>
          <w:tcPr>
            <w:tcW w:type="dxa" w:w="5184"/>
            <w:vAlign w:val="top"/>
          </w:tcPr>
          <w:p>
            <w:pPr>
              <w:spacing w:after="0"/>
            </w:pPr>
            <w:r>
              <w:rPr>
                <w:sz w:val="17"/>
              </w:rPr>
              <w:t>Reward Function</w:t>
            </w:r>
          </w:p>
        </w:tc>
        <w:tc>
          <w:tcPr>
            <w:tcW w:type="dxa" w:w="5184"/>
            <w:vAlign w:val="top"/>
          </w:tcPr>
          <w:p>
            <w:pPr>
              <w:spacing w:after="0"/>
            </w:pPr>
            <w:r>
              <w:rPr>
                <w:sz w:val="17"/>
              </w:rPr>
              <w:t>Win = 1, loss = 0, draw = 0.5 for the learning agent.</w:t>
            </w:r>
          </w:p>
        </w:tc>
      </w:tr>
      <w:tr>
        <w:tc>
          <w:tcPr>
            <w:tcW w:type="dxa" w:w="5184"/>
            <w:vAlign w:val="top"/>
          </w:tcPr>
          <w:p>
            <w:pPr>
              <w:spacing w:after="0"/>
            </w:pPr>
            <w:r>
              <w:rPr>
                <w:sz w:val="17"/>
              </w:rPr>
              <w:t>Learning Approach Used</w:t>
            </w:r>
          </w:p>
        </w:tc>
        <w:tc>
          <w:tcPr>
            <w:tcW w:type="dxa" w:w="5184"/>
            <w:vAlign w:val="top"/>
          </w:tcPr>
          <w:p>
            <w:pPr>
              <w:spacing w:after="0"/>
            </w:pPr>
            <w:r>
              <w:rPr>
                <w:sz w:val="17"/>
              </w:rPr>
              <w:t>Tabular state-value learning with epsilon-greedy exploration; α = 0.5 and ε = 0.05. Both agents learn through self-play.</w:t>
            </w:r>
          </w:p>
        </w:tc>
      </w:tr>
    </w:tbl>
    <w:p>
      <w:pPr>
        <w:spacing w:before="160" w:after="80"/>
      </w:pPr>
      <w:r>
        <w:rPr>
          <w:rFonts w:ascii="Times New Roman" w:hAnsi="Times New Roman"/>
          <w:color w:val="4F709D"/>
          <w:sz w:val="28"/>
        </w:rPr>
        <w:t>Task 2: Value-Function Learning and Epsilon-Greedy Exploration</w:t>
      </w:r>
    </w:p>
    <w:p>
      <w:pPr>
        <w:spacing w:after="80" w:line="240" w:lineRule="auto"/>
      </w:pPr>
      <w:r>
        <w:t>Each agent maintains a lookup table V(s) for board states. Non-terminal states are initialized to 0.5. Terminal states are assigned 1.0 for a win, 0.0 for a loss, and 0.5 for a draw. During training, an epsilon-greedy policy explores a random legal move with probability ε = 0.05 and otherwise chooses a legal move leading to the highest estimated state value.</w:t>
      </w:r>
    </w:p>
    <w:p>
      <w:pPr>
        <w:spacing w:after="80" w:line="240" w:lineRule="auto"/>
      </w:pPr>
      <w:r>
        <w:t>After a game ends, the value estimates for the states visited by each agent are updated backwards using V(s) ← V(s) + α[V(s') − V(s)], with α = 0.5. This gives the agent a way to propagate the eventual game outcome back through the states it experienced.</w:t>
      </w:r>
    </w:p>
    <w:p>
      <w:pPr>
        <w:spacing w:before="160" w:after="80"/>
      </w:pPr>
      <w:r>
        <w:rPr>
          <w:rFonts w:ascii="Times New Roman" w:hAnsi="Times New Roman"/>
          <w:color w:val="4F709D"/>
          <w:sz w:val="28"/>
        </w:rPr>
        <w:t>Task 3: Effect of Training Episodes on Agent Behaviour</w:t>
      </w:r>
    </w:p>
    <w:p>
      <w:pPr>
        <w:spacing w:after="80" w:line="240" w:lineRule="auto"/>
      </w:pPr>
      <w:r>
        <w:t>The experiment was run from a fresh pair of agents at five training levels. After each training level, the X agent was evaluated against a random opponent for 1,000 independent games. Using 1,000 evaluation games gives a more meaningful performance estimate than relying on a single verification match.</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1F2"/>
          </w:tcPr>
          <w:p>
            <w:r>
              <w:rPr>
                <w:b/>
                <w:sz w:val="17"/>
              </w:rPr>
              <w:t>Episodes</w:t>
            </w:r>
          </w:p>
        </w:tc>
        <w:tc>
          <w:tcPr>
            <w:tcW w:type="dxa" w:w="2074"/>
            <w:shd w:fill="D9E1F2"/>
          </w:tcPr>
          <w:p>
            <w:r>
              <w:rPr>
                <w:b/>
                <w:sz w:val="17"/>
              </w:rPr>
              <w:t>Wins %</w:t>
            </w:r>
          </w:p>
        </w:tc>
        <w:tc>
          <w:tcPr>
            <w:tcW w:type="dxa" w:w="2074"/>
            <w:shd w:fill="D9E1F2"/>
          </w:tcPr>
          <w:p>
            <w:r>
              <w:rPr>
                <w:b/>
                <w:sz w:val="17"/>
              </w:rPr>
              <w:t>Draws %</w:t>
            </w:r>
          </w:p>
        </w:tc>
        <w:tc>
          <w:tcPr>
            <w:tcW w:type="dxa" w:w="2074"/>
            <w:shd w:fill="D9E1F2"/>
          </w:tcPr>
          <w:p>
            <w:r>
              <w:rPr>
                <w:b/>
                <w:sz w:val="17"/>
              </w:rPr>
              <w:t>Losses %</w:t>
            </w:r>
          </w:p>
        </w:tc>
        <w:tc>
          <w:tcPr>
            <w:tcW w:type="dxa" w:w="2074"/>
            <w:shd w:fill="D9E1F2"/>
          </w:tcPr>
          <w:p>
            <w:r>
              <w:rPr>
                <w:b/>
                <w:sz w:val="17"/>
              </w:rPr>
              <w:t>Interpretation</w:t>
            </w:r>
          </w:p>
        </w:tc>
      </w:tr>
      <w:tr>
        <w:tc>
          <w:tcPr>
            <w:tcW w:type="dxa" w:w="2074"/>
          </w:tcPr>
          <w:p>
            <w:pPr>
              <w:spacing w:after="0"/>
            </w:pPr>
            <w:r>
              <w:rPr>
                <w:sz w:val="17"/>
              </w:rPr>
              <w:t>100</w:t>
            </w:r>
          </w:p>
        </w:tc>
        <w:tc>
          <w:tcPr>
            <w:tcW w:type="dxa" w:w="2074"/>
          </w:tcPr>
          <w:p>
            <w:pPr>
              <w:spacing w:after="0"/>
            </w:pPr>
            <w:r>
              <w:rPr>
                <w:sz w:val="17"/>
              </w:rPr>
              <w:t>86.0</w:t>
            </w:r>
          </w:p>
        </w:tc>
        <w:tc>
          <w:tcPr>
            <w:tcW w:type="dxa" w:w="2074"/>
          </w:tcPr>
          <w:p>
            <w:pPr>
              <w:spacing w:after="0"/>
            </w:pPr>
            <w:r>
              <w:rPr>
                <w:sz w:val="17"/>
              </w:rPr>
              <w:t>4.8</w:t>
            </w:r>
          </w:p>
        </w:tc>
        <w:tc>
          <w:tcPr>
            <w:tcW w:type="dxa" w:w="2074"/>
          </w:tcPr>
          <w:p>
            <w:pPr>
              <w:spacing w:after="0"/>
            </w:pPr>
            <w:r>
              <w:rPr>
                <w:sz w:val="17"/>
              </w:rPr>
              <w:t>9.2</w:t>
            </w:r>
          </w:p>
        </w:tc>
        <w:tc>
          <w:tcPr>
            <w:tcW w:type="dxa" w:w="2074"/>
          </w:tcPr>
          <w:p>
            <w:pPr>
              <w:spacing w:after="0"/>
            </w:pPr>
            <w:r>
              <w:rPr>
                <w:sz w:val="17"/>
              </w:rPr>
              <w:t>early learning</w:t>
            </w:r>
          </w:p>
        </w:tc>
      </w:tr>
      <w:tr>
        <w:tc>
          <w:tcPr>
            <w:tcW w:type="dxa" w:w="2074"/>
          </w:tcPr>
          <w:p>
            <w:pPr>
              <w:spacing w:after="0"/>
            </w:pPr>
            <w:r>
              <w:rPr>
                <w:sz w:val="17"/>
              </w:rPr>
              <w:t>500</w:t>
            </w:r>
          </w:p>
        </w:tc>
        <w:tc>
          <w:tcPr>
            <w:tcW w:type="dxa" w:w="2074"/>
          </w:tcPr>
          <w:p>
            <w:pPr>
              <w:spacing w:after="0"/>
            </w:pPr>
            <w:r>
              <w:rPr>
                <w:sz w:val="17"/>
              </w:rPr>
              <w:t>82.2</w:t>
            </w:r>
          </w:p>
        </w:tc>
        <w:tc>
          <w:tcPr>
            <w:tcW w:type="dxa" w:w="2074"/>
          </w:tcPr>
          <w:p>
            <w:pPr>
              <w:spacing w:after="0"/>
            </w:pPr>
            <w:r>
              <w:rPr>
                <w:sz w:val="17"/>
              </w:rPr>
              <w:t>7.6</w:t>
            </w:r>
          </w:p>
        </w:tc>
        <w:tc>
          <w:tcPr>
            <w:tcW w:type="dxa" w:w="2074"/>
          </w:tcPr>
          <w:p>
            <w:pPr>
              <w:spacing w:after="0"/>
            </w:pPr>
            <w:r>
              <w:rPr>
                <w:sz w:val="17"/>
              </w:rPr>
              <w:t>10.2</w:t>
            </w:r>
          </w:p>
        </w:tc>
        <w:tc>
          <w:tcPr>
            <w:tcW w:type="dxa" w:w="2074"/>
          </w:tcPr>
          <w:p>
            <w:pPr>
              <w:spacing w:after="0"/>
            </w:pPr>
            <w:r>
              <w:rPr>
                <w:sz w:val="17"/>
              </w:rPr>
              <w:t>early learning</w:t>
            </w:r>
          </w:p>
        </w:tc>
      </w:tr>
      <w:tr>
        <w:tc>
          <w:tcPr>
            <w:tcW w:type="dxa" w:w="2074"/>
          </w:tcPr>
          <w:p>
            <w:pPr>
              <w:spacing w:after="0"/>
            </w:pPr>
            <w:r>
              <w:rPr>
                <w:sz w:val="17"/>
              </w:rPr>
              <w:t>1000</w:t>
            </w:r>
          </w:p>
        </w:tc>
        <w:tc>
          <w:tcPr>
            <w:tcW w:type="dxa" w:w="2074"/>
          </w:tcPr>
          <w:p>
            <w:pPr>
              <w:spacing w:after="0"/>
            </w:pPr>
            <w:r>
              <w:rPr>
                <w:sz w:val="17"/>
              </w:rPr>
              <w:t>75.6</w:t>
            </w:r>
          </w:p>
        </w:tc>
        <w:tc>
          <w:tcPr>
            <w:tcW w:type="dxa" w:w="2074"/>
          </w:tcPr>
          <w:p>
            <w:pPr>
              <w:spacing w:after="0"/>
            </w:pPr>
            <w:r>
              <w:rPr>
                <w:sz w:val="17"/>
              </w:rPr>
              <w:t>7.4</w:t>
            </w:r>
          </w:p>
        </w:tc>
        <w:tc>
          <w:tcPr>
            <w:tcW w:type="dxa" w:w="2074"/>
          </w:tcPr>
          <w:p>
            <w:pPr>
              <w:spacing w:after="0"/>
            </w:pPr>
            <w:r>
              <w:rPr>
                <w:sz w:val="17"/>
              </w:rPr>
              <w:t>17.0</w:t>
            </w:r>
          </w:p>
        </w:tc>
        <w:tc>
          <w:tcPr>
            <w:tcW w:type="dxa" w:w="2074"/>
          </w:tcPr>
          <w:p>
            <w:pPr>
              <w:spacing w:after="0"/>
            </w:pPr>
            <w:r>
              <w:rPr>
                <w:sz w:val="17"/>
              </w:rPr>
              <w:t>improving</w:t>
            </w:r>
          </w:p>
        </w:tc>
      </w:tr>
      <w:tr>
        <w:tc>
          <w:tcPr>
            <w:tcW w:type="dxa" w:w="2074"/>
          </w:tcPr>
          <w:p>
            <w:pPr>
              <w:spacing w:after="0"/>
            </w:pPr>
            <w:r>
              <w:rPr>
                <w:sz w:val="17"/>
              </w:rPr>
              <w:t>5000</w:t>
            </w:r>
          </w:p>
        </w:tc>
        <w:tc>
          <w:tcPr>
            <w:tcW w:type="dxa" w:w="2074"/>
          </w:tcPr>
          <w:p>
            <w:pPr>
              <w:spacing w:after="0"/>
            </w:pPr>
            <w:r>
              <w:rPr>
                <w:sz w:val="17"/>
              </w:rPr>
              <w:t>82.4</w:t>
            </w:r>
          </w:p>
        </w:tc>
        <w:tc>
          <w:tcPr>
            <w:tcW w:type="dxa" w:w="2074"/>
          </w:tcPr>
          <w:p>
            <w:pPr>
              <w:spacing w:after="0"/>
            </w:pPr>
            <w:r>
              <w:rPr>
                <w:sz w:val="17"/>
              </w:rPr>
              <w:t>6.0</w:t>
            </w:r>
          </w:p>
        </w:tc>
        <w:tc>
          <w:tcPr>
            <w:tcW w:type="dxa" w:w="2074"/>
          </w:tcPr>
          <w:p>
            <w:pPr>
              <w:spacing w:after="0"/>
            </w:pPr>
            <w:r>
              <w:rPr>
                <w:sz w:val="17"/>
              </w:rPr>
              <w:t>11.6</w:t>
            </w:r>
          </w:p>
        </w:tc>
        <w:tc>
          <w:tcPr>
            <w:tcW w:type="dxa" w:w="2074"/>
          </w:tcPr>
          <w:p>
            <w:pPr>
              <w:spacing w:after="0"/>
            </w:pPr>
            <w:r>
              <w:rPr>
                <w:sz w:val="17"/>
              </w:rPr>
              <w:t>stronger policy</w:t>
            </w:r>
          </w:p>
        </w:tc>
      </w:tr>
      <w:tr>
        <w:tc>
          <w:tcPr>
            <w:tcW w:type="dxa" w:w="2074"/>
          </w:tcPr>
          <w:p>
            <w:pPr>
              <w:spacing w:after="0"/>
            </w:pPr>
            <w:r>
              <w:rPr>
                <w:sz w:val="17"/>
              </w:rPr>
              <w:t>10000</w:t>
            </w:r>
          </w:p>
        </w:tc>
        <w:tc>
          <w:tcPr>
            <w:tcW w:type="dxa" w:w="2074"/>
          </w:tcPr>
          <w:p>
            <w:pPr>
              <w:spacing w:after="0"/>
            </w:pPr>
            <w:r>
              <w:rPr>
                <w:sz w:val="17"/>
              </w:rPr>
              <w:t>94.4</w:t>
            </w:r>
          </w:p>
        </w:tc>
        <w:tc>
          <w:tcPr>
            <w:tcW w:type="dxa" w:w="2074"/>
          </w:tcPr>
          <w:p>
            <w:pPr>
              <w:spacing w:after="0"/>
            </w:pPr>
            <w:r>
              <w:rPr>
                <w:sz w:val="17"/>
              </w:rPr>
              <w:t>1.9</w:t>
            </w:r>
          </w:p>
        </w:tc>
        <w:tc>
          <w:tcPr>
            <w:tcW w:type="dxa" w:w="2074"/>
          </w:tcPr>
          <w:p>
            <w:pPr>
              <w:spacing w:after="0"/>
            </w:pPr>
            <w:r>
              <w:rPr>
                <w:sz w:val="17"/>
              </w:rPr>
              <w:t>3.7</w:t>
            </w:r>
          </w:p>
        </w:tc>
        <w:tc>
          <w:tcPr>
            <w:tcW w:type="dxa" w:w="2074"/>
          </w:tcPr>
          <w:p>
            <w:pPr>
              <w:spacing w:after="0"/>
            </w:pPr>
            <w:r>
              <w:rPr>
                <w:sz w:val="17"/>
              </w:rPr>
              <w:t>more stable policy</w:t>
            </w:r>
          </w:p>
        </w:tc>
      </w:tr>
    </w:tbl>
    <w:p>
      <w:pPr>
        <w:spacing w:after="80" w:line="240" w:lineRule="auto"/>
      </w:pPr>
      <w:r>
        <w:t>At 10,000 training episodes, the learned opening-state values for the X agent were recorded for all nine possible first moves. The centre and corner values can be inspected directly from the Python output to see which opening positions the learned policy prefers.</w:t>
      </w:r>
    </w:p>
    <w:p>
      <w:pPr>
        <w:spacing w:before="160" w:after="80"/>
      </w:pPr>
      <w:r>
        <w:rPr>
          <w:rFonts w:ascii="Times New Roman" w:hAnsi="Times New Roman"/>
          <w:color w:val="4F709D"/>
          <w:sz w:val="28"/>
        </w:rPr>
        <w:t>Task 4: Experimental Results and Interpretation</w:t>
      </w:r>
    </w:p>
    <w:p>
      <w:pPr>
        <w:spacing w:after="80" w:line="240" w:lineRule="auto"/>
      </w:pPr>
      <w:r>
        <w:t>After 10,000 self-play training episodes, the trained X agent was evaluated for 1,000 games against a random opponent. It recorded 944 wins (94.4%), 19 draws (1.9%), and 37 losses (3.7%). These results provide a direct test of whether the learned value function produces behaviour better than random play.</w:t>
      </w:r>
    </w:p>
    <w:p>
      <w:pPr>
        <w:spacing w:after="80" w:line="240" w:lineRule="auto"/>
      </w:pPr>
      <w:r>
        <w:t>The evaluation uses a separate random-opponent test rather than counting the games used during training. Because the opponent is random, the evaluation measures whether the learned agent can exploit stronger positions while still handling unpredictable responses.</w:t>
      </w:r>
    </w:p>
    <w:p>
      <w:pPr>
        <w:spacing w:before="160" w:after="80"/>
      </w:pPr>
      <w:r>
        <w:rPr>
          <w:rFonts w:ascii="Times New Roman" w:hAnsi="Times New Roman"/>
          <w:color w:val="4F709D"/>
          <w:sz w:val="28"/>
        </w:rPr>
        <w:t>Analysis Questions</w:t>
      </w:r>
    </w:p>
    <w:p>
      <w:pPr>
        <w:spacing w:after="20"/>
      </w:pPr>
      <w:r>
        <w:rPr>
          <w:b/>
          <w:sz w:val="19"/>
        </w:rPr>
        <w:t>1. Who is the learning agent in this environment?</w:t>
      </w:r>
    </w:p>
    <w:p>
      <w:pPr>
        <w:spacing w:after="60"/>
        <w:ind w:left="173"/>
      </w:pPr>
      <w:r>
        <w:rPr>
          <w:sz w:val="19"/>
        </w:rPr>
        <w:t>Both Agent X and Agent O are learning agents. They train through repeated self-play and update their state-value estimates from game outcomes.</w:t>
      </w:r>
    </w:p>
    <w:p>
      <w:pPr>
        <w:spacing w:after="20"/>
      </w:pPr>
      <w:r>
        <w:rPr>
          <w:b/>
          <w:sz w:val="19"/>
        </w:rPr>
        <w:t>2. What is considered the environment?</w:t>
      </w:r>
    </w:p>
    <w:p>
      <w:pPr>
        <w:spacing w:after="60"/>
        <w:ind w:left="173"/>
      </w:pPr>
      <w:r>
        <w:rPr>
          <w:sz w:val="19"/>
        </w:rPr>
        <w:t>The Tic-Tac-Toe board together with the legal-move rules, win conditions, and draw condition.</w:t>
      </w:r>
    </w:p>
    <w:p>
      <w:pPr>
        <w:spacing w:after="20"/>
      </w:pPr>
      <w:r>
        <w:rPr>
          <w:b/>
          <w:sz w:val="19"/>
        </w:rPr>
        <w:t>3. How is the game state represented?</w:t>
      </w:r>
    </w:p>
    <w:p>
      <w:pPr>
        <w:spacing w:after="60"/>
        <w:ind w:left="173"/>
      </w:pPr>
      <w:r>
        <w:rPr>
          <w:sz w:val="19"/>
        </w:rPr>
        <w:t>As the complete 3×3 board configuration, with each cell represented as X, O, or empty.</w:t>
      </w:r>
    </w:p>
    <w:p>
      <w:pPr>
        <w:spacing w:after="20"/>
      </w:pPr>
      <w:r>
        <w:rPr>
          <w:b/>
          <w:sz w:val="19"/>
        </w:rPr>
        <w:t>4. What actions can the agent perform?</w:t>
      </w:r>
    </w:p>
    <w:p>
      <w:pPr>
        <w:spacing w:after="60"/>
        <w:ind w:left="173"/>
      </w:pPr>
      <w:r>
        <w:rPr>
          <w:sz w:val="19"/>
        </w:rPr>
        <w:t>The agent can place its mark in any currently empty cell.</w:t>
      </w:r>
    </w:p>
    <w:p>
      <w:pPr>
        <w:spacing w:after="20"/>
      </w:pPr>
      <w:r>
        <w:rPr>
          <w:b/>
          <w:sz w:val="19"/>
        </w:rPr>
        <w:t>5. When does the agent receive a positive reward?</w:t>
      </w:r>
    </w:p>
    <w:p>
      <w:pPr>
        <w:spacing w:after="60"/>
        <w:ind w:left="173"/>
      </w:pPr>
      <w:r>
        <w:rPr>
          <w:sz w:val="19"/>
        </w:rPr>
        <w:t>When it wins the game. In this implementation the terminal value for a win is 1.0.</w:t>
      </w:r>
    </w:p>
    <w:p>
      <w:pPr>
        <w:spacing w:after="20"/>
      </w:pPr>
      <w:r>
        <w:rPr>
          <w:b/>
          <w:sz w:val="19"/>
        </w:rPr>
        <w:t>6. Which reinforcement-learning approach is used?</w:t>
      </w:r>
    </w:p>
    <w:p>
      <w:pPr>
        <w:spacing w:after="60"/>
        <w:ind w:left="173"/>
      </w:pPr>
      <w:r>
        <w:rPr>
          <w:sz w:val="19"/>
        </w:rPr>
        <w:t>Tabular state-value learning with an epsilon-greedy action-selection policy and self-play.</w:t>
      </w:r>
    </w:p>
    <w:p>
      <w:pPr>
        <w:spacing w:after="20"/>
      </w:pPr>
      <w:r>
        <w:rPr>
          <w:b/>
          <w:sz w:val="19"/>
        </w:rPr>
        <w:t>7. Is the agent trained using labelled data?</w:t>
      </w:r>
    </w:p>
    <w:p>
      <w:pPr>
        <w:spacing w:after="60"/>
        <w:ind w:left="173"/>
      </w:pPr>
      <w:r>
        <w:rPr>
          <w:sz w:val="19"/>
        </w:rPr>
        <w:t>No. There is no labelled dataset containing correct moves. The agents generate experience by playing games and learn from the resulting win, loss, or draw.</w:t>
      </w:r>
    </w:p>
    <w:p>
      <w:pPr>
        <w:spacing w:after="20"/>
      </w:pPr>
      <w:r>
        <w:rPr>
          <w:b/>
          <w:sz w:val="19"/>
        </w:rPr>
        <w:t>8. How does reinforcement learning differ from supervised learning here?</w:t>
      </w:r>
    </w:p>
    <w:p>
      <w:pPr>
        <w:spacing w:after="60"/>
        <w:ind w:left="173"/>
      </w:pPr>
      <w:r>
        <w:rPr>
          <w:sz w:val="19"/>
        </w:rPr>
        <w:t>Supervised learning would require labelled examples of correct moves. Here the agent learns from interaction and reward feedback instead.</w:t>
      </w:r>
    </w:p>
    <w:p>
      <w:pPr>
        <w:spacing w:after="20"/>
      </w:pPr>
      <w:r>
        <w:rPr>
          <w:b/>
          <w:sz w:val="19"/>
        </w:rPr>
        <w:t>9. How does play change with more training?</w:t>
      </w:r>
    </w:p>
    <w:p>
      <w:pPr>
        <w:spacing w:after="60"/>
        <w:ind w:left="173"/>
      </w:pPr>
      <w:r>
        <w:rPr>
          <w:sz w:val="19"/>
        </w:rPr>
        <w:t>The value estimates become more informative and the agent increasingly prefers moves associated with better long-term outcomes.</w:t>
      </w:r>
    </w:p>
    <w:p>
      <w:pPr>
        <w:spacing w:after="20"/>
      </w:pPr>
      <w:r>
        <w:rPr>
          <w:b/>
          <w:sz w:val="19"/>
        </w:rPr>
        <w:t>10. Why is epsilon-greedy exploration useful?</w:t>
      </w:r>
    </w:p>
    <w:p>
      <w:pPr>
        <w:spacing w:after="60"/>
        <w:ind w:left="173"/>
      </w:pPr>
      <w:r>
        <w:rPr>
          <w:sz w:val="19"/>
        </w:rPr>
        <w:t>It balances exploration of unfamiliar moves with exploitation of moves that currently have high estimated value.</w:t>
      </w:r>
    </w:p>
    <w:p>
      <w:pPr>
        <w:spacing w:after="20"/>
      </w:pPr>
      <w:r>
        <w:rPr>
          <w:b/>
          <w:sz w:val="19"/>
        </w:rPr>
        <w:t>11. Why are multiple evaluation games better than one game?</w:t>
      </w:r>
    </w:p>
    <w:p>
      <w:pPr>
        <w:spacing w:after="60"/>
        <w:ind w:left="173"/>
      </w:pPr>
      <w:r>
        <w:rPr>
          <w:sz w:val="19"/>
        </w:rPr>
        <w:t>A single game is highly variable. A larger evaluation set reduces the influence of one unusual sequence and gives a more reliable estimate of performance.</w:t>
      </w:r>
    </w:p>
    <w:p>
      <w:pPr>
        <w:spacing w:after="20"/>
      </w:pPr>
      <w:r>
        <w:rPr>
          <w:b/>
          <w:sz w:val="19"/>
        </w:rPr>
        <w:t>12. Why does the value function help the agent choose actions?</w:t>
      </w:r>
    </w:p>
    <w:p>
      <w:pPr>
        <w:spacing w:after="60"/>
        <w:ind w:left="173"/>
      </w:pPr>
      <w:r>
        <w:rPr>
          <w:sz w:val="19"/>
        </w:rPr>
        <w:t>It estimates the long-term desirability of resulting states, allowing the agent to select actions that are expected to lead to better outcomes rather than simply choosing randomly.</w:t>
      </w:r>
    </w:p>
    <w:p>
      <w:pPr>
        <w:spacing w:before="160" w:after="80"/>
      </w:pPr>
      <w:r>
        <w:rPr>
          <w:rFonts w:ascii="Times New Roman" w:hAnsi="Times New Roman"/>
          <w:color w:val="4F709D"/>
          <w:sz w:val="28"/>
        </w:rPr>
        <w:t>Conclusion</w:t>
      </w:r>
    </w:p>
    <w:p>
      <w:pPr>
        <w:spacing w:after="80" w:line="240" w:lineRule="auto"/>
      </w:pPr>
      <w:r>
        <w:t>The experiment implemented a tabular value-function reinforcement-learning agent for Tic-Tac-Toe. Two agents learned through self-play using epsilon-greedy exploration and repeated value updates. Training was examined at 100, 500, 1,000, 5,000, and 10,000 episodes, followed by independent evaluation against a random opponent. The results demonstrate how repeated interaction and reward-based updates can improve decision-making without labelled training data.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