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5058" w14:textId="6F917EF5" w:rsidR="005B3C43" w:rsidRPr="00316B28" w:rsidRDefault="005B3C43" w:rsidP="00316B28">
      <w:pPr>
        <w:pStyle w:val="Heading1"/>
      </w:pPr>
      <w:r w:rsidRPr="00316B28">
        <w:t>CYB 410 P</w:t>
      </w:r>
      <w:r w:rsidR="0093386A" w:rsidRPr="00316B28">
        <w:t xml:space="preserve">roject One </w:t>
      </w:r>
      <w:r w:rsidR="000A22B4" w:rsidRPr="00316B28">
        <w:t>Stepping Stone</w:t>
      </w:r>
      <w:r w:rsidR="0093386A" w:rsidRPr="00316B28">
        <w:t xml:space="preserve"> Two</w:t>
      </w:r>
      <w:r w:rsidR="00316B28" w:rsidRPr="00316B28">
        <w:t xml:space="preserve"> Template</w:t>
      </w:r>
      <w:r w:rsidRPr="00316B28">
        <w:br/>
      </w:r>
      <w:r w:rsidR="0093386A" w:rsidRPr="00316B28">
        <w:t>Estimated Downtime Template</w:t>
      </w:r>
    </w:p>
    <w:p w14:paraId="4D751072" w14:textId="77777777" w:rsidR="008E5DEE" w:rsidRPr="00316B28" w:rsidRDefault="008E5DEE" w:rsidP="00316B28">
      <w:pPr>
        <w:suppressAutoHyphens/>
        <w:spacing w:line="240" w:lineRule="auto"/>
        <w:contextualSpacing/>
        <w:rPr>
          <w:rFonts w:ascii="Calibri" w:hAnsi="Calibri" w:cs="Calibri"/>
        </w:rPr>
      </w:pPr>
    </w:p>
    <w:p w14:paraId="4C4ABEFA" w14:textId="4818AE8A" w:rsidR="00972C9F" w:rsidRPr="00316B28" w:rsidRDefault="00972C9F" w:rsidP="00316B28">
      <w:pPr>
        <w:pStyle w:val="Heading2"/>
      </w:pPr>
      <w:r w:rsidRPr="00316B28">
        <w:t>Instructions</w:t>
      </w:r>
    </w:p>
    <w:p w14:paraId="10662F68" w14:textId="60F33364" w:rsidR="00BE79DE" w:rsidRPr="00316B28" w:rsidRDefault="00BE79DE" w:rsidP="00316B28">
      <w:pPr>
        <w:suppressAutoHyphens/>
        <w:spacing w:line="240" w:lineRule="auto"/>
        <w:contextualSpacing/>
        <w:rPr>
          <w:rFonts w:ascii="Calibri" w:hAnsi="Calibri" w:cs="Calibri"/>
        </w:rPr>
      </w:pPr>
      <w:r w:rsidRPr="00316B28">
        <w:rPr>
          <w:rFonts w:ascii="Calibri" w:hAnsi="Calibri" w:cs="Calibri"/>
        </w:rPr>
        <w:t>Complete this template by replacing the bracketed text with the relevant information.</w:t>
      </w:r>
    </w:p>
    <w:p w14:paraId="672A6659" w14:textId="77777777" w:rsidR="00117667" w:rsidRPr="00316B28" w:rsidRDefault="00117667" w:rsidP="00316B28">
      <w:pPr>
        <w:suppressAutoHyphens/>
        <w:spacing w:line="240" w:lineRule="auto"/>
        <w:contextualSpacing/>
        <w:rPr>
          <w:rFonts w:ascii="Calibri" w:eastAsia="Calibri" w:hAnsi="Calibri" w:cs="Calibri"/>
        </w:rPr>
      </w:pPr>
    </w:p>
    <w:tbl>
      <w:tblPr>
        <w:tblW w:w="954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Description w:val="Table"/>
      </w:tblPr>
      <w:tblGrid>
        <w:gridCol w:w="2700"/>
        <w:gridCol w:w="2070"/>
        <w:gridCol w:w="2385"/>
        <w:gridCol w:w="2385"/>
      </w:tblGrid>
      <w:tr w:rsidR="00117667" w:rsidRPr="00316B28" w14:paraId="06B9ED16" w14:textId="77777777" w:rsidTr="00370A92">
        <w:trPr>
          <w:cantSplit/>
          <w:tblHeader/>
        </w:trPr>
        <w:tc>
          <w:tcPr>
            <w:tcW w:w="2700" w:type="dxa"/>
            <w:vAlign w:val="center"/>
          </w:tcPr>
          <w:p w14:paraId="654EEED9" w14:textId="77777777" w:rsidR="00117667" w:rsidRPr="00316B28" w:rsidRDefault="0093386A" w:rsidP="00316B28">
            <w:pPr>
              <w:suppressAutoHyphens/>
              <w:spacing w:line="240" w:lineRule="auto"/>
              <w:contextualSpacing/>
              <w:jc w:val="center"/>
              <w:rPr>
                <w:rFonts w:ascii="Calibri" w:eastAsia="Calibri" w:hAnsi="Calibri" w:cs="Calibri"/>
                <w:b/>
              </w:rPr>
            </w:pPr>
            <w:r w:rsidRPr="00316B28">
              <w:rPr>
                <w:rFonts w:ascii="Calibri" w:eastAsia="Calibri" w:hAnsi="Calibri" w:cs="Calibri"/>
                <w:b/>
              </w:rPr>
              <w:t>Mission/Business Process</w:t>
            </w:r>
          </w:p>
        </w:tc>
        <w:tc>
          <w:tcPr>
            <w:tcW w:w="2070" w:type="dxa"/>
            <w:vAlign w:val="center"/>
          </w:tcPr>
          <w:p w14:paraId="3327E3D8" w14:textId="77777777" w:rsidR="00117667" w:rsidRPr="00316B28" w:rsidRDefault="0093386A" w:rsidP="00316B28">
            <w:pPr>
              <w:suppressAutoHyphens/>
              <w:spacing w:line="240" w:lineRule="auto"/>
              <w:contextualSpacing/>
              <w:jc w:val="center"/>
              <w:rPr>
                <w:rFonts w:ascii="Calibri" w:eastAsia="Calibri" w:hAnsi="Calibri" w:cs="Calibri"/>
                <w:b/>
              </w:rPr>
            </w:pPr>
            <w:r w:rsidRPr="00316B28">
              <w:rPr>
                <w:rFonts w:ascii="Calibri" w:eastAsia="Calibri" w:hAnsi="Calibri" w:cs="Calibri"/>
                <w:b/>
              </w:rPr>
              <w:t>MTD</w:t>
            </w:r>
          </w:p>
        </w:tc>
        <w:tc>
          <w:tcPr>
            <w:tcW w:w="2385" w:type="dxa"/>
            <w:vAlign w:val="center"/>
          </w:tcPr>
          <w:p w14:paraId="03CB1F49" w14:textId="77777777" w:rsidR="00117667" w:rsidRPr="00316B28" w:rsidRDefault="0093386A" w:rsidP="00316B28">
            <w:pPr>
              <w:suppressAutoHyphens/>
              <w:spacing w:line="240" w:lineRule="auto"/>
              <w:contextualSpacing/>
              <w:jc w:val="center"/>
              <w:rPr>
                <w:rFonts w:ascii="Calibri" w:eastAsia="Calibri" w:hAnsi="Calibri" w:cs="Calibri"/>
                <w:b/>
              </w:rPr>
            </w:pPr>
            <w:r w:rsidRPr="00316B28">
              <w:rPr>
                <w:rFonts w:ascii="Calibri" w:eastAsia="Calibri" w:hAnsi="Calibri" w:cs="Calibri"/>
                <w:b/>
              </w:rPr>
              <w:t>RTO</w:t>
            </w:r>
          </w:p>
        </w:tc>
        <w:tc>
          <w:tcPr>
            <w:tcW w:w="2385" w:type="dxa"/>
            <w:vAlign w:val="center"/>
          </w:tcPr>
          <w:p w14:paraId="596C4CC3" w14:textId="77777777" w:rsidR="00117667" w:rsidRPr="00316B28" w:rsidRDefault="0093386A" w:rsidP="00316B28">
            <w:pPr>
              <w:suppressAutoHyphens/>
              <w:spacing w:line="240" w:lineRule="auto"/>
              <w:contextualSpacing/>
              <w:jc w:val="center"/>
              <w:rPr>
                <w:rFonts w:ascii="Calibri" w:eastAsia="Calibri" w:hAnsi="Calibri" w:cs="Calibri"/>
                <w:b/>
              </w:rPr>
            </w:pPr>
            <w:r w:rsidRPr="00316B28">
              <w:rPr>
                <w:rFonts w:ascii="Calibri" w:eastAsia="Calibri" w:hAnsi="Calibri" w:cs="Calibri"/>
                <w:b/>
              </w:rPr>
              <w:t>RPO</w:t>
            </w:r>
          </w:p>
        </w:tc>
      </w:tr>
      <w:tr w:rsidR="00117667" w:rsidRPr="00316B28" w14:paraId="11AB0163" w14:textId="77777777" w:rsidTr="00370A92">
        <w:trPr>
          <w:trHeight w:val="280"/>
          <w:tblHeader/>
        </w:trPr>
        <w:tc>
          <w:tcPr>
            <w:tcW w:w="2700" w:type="dxa"/>
            <w:vAlign w:val="center"/>
          </w:tcPr>
          <w:p w14:paraId="54E0E1FA" w14:textId="347DDAFE" w:rsidR="005777E6" w:rsidRPr="00857B0D" w:rsidRDefault="0093386A" w:rsidP="00316B28">
            <w:pPr>
              <w:suppressAutoHyphens/>
              <w:spacing w:line="240" w:lineRule="auto"/>
              <w:contextualSpacing/>
              <w:rPr>
                <w:rFonts w:ascii="Calibri" w:eastAsia="Calibri" w:hAnsi="Calibri" w:cs="Calibri"/>
              </w:rPr>
            </w:pPr>
            <w:r w:rsidRPr="00316B28">
              <w:rPr>
                <w:rFonts w:ascii="Calibri" w:eastAsia="Calibri" w:hAnsi="Calibri" w:cs="Calibri"/>
              </w:rPr>
              <w:t>Order</w:t>
            </w:r>
            <w:r w:rsidR="005650D2" w:rsidRPr="00316B28">
              <w:rPr>
                <w:rFonts w:ascii="Calibri" w:eastAsia="Calibri" w:hAnsi="Calibri" w:cs="Calibri"/>
              </w:rPr>
              <w:t>ing</w:t>
            </w:r>
            <w:r w:rsidRPr="00316B28">
              <w:rPr>
                <w:rFonts w:ascii="Calibri" w:eastAsia="Calibri" w:hAnsi="Calibri" w:cs="Calibri"/>
              </w:rPr>
              <w:t xml:space="preserve"> Supplies</w:t>
            </w:r>
          </w:p>
        </w:tc>
        <w:tc>
          <w:tcPr>
            <w:tcW w:w="2070" w:type="dxa"/>
          </w:tcPr>
          <w:p w14:paraId="6CDEDEC6" w14:textId="77777777" w:rsidR="00117667" w:rsidRPr="00316B28" w:rsidRDefault="0093386A" w:rsidP="00316B28">
            <w:pPr>
              <w:suppressAutoHyphens/>
              <w:spacing w:line="240" w:lineRule="auto"/>
              <w:contextualSpacing/>
              <w:jc w:val="center"/>
              <w:rPr>
                <w:rFonts w:ascii="Calibri" w:eastAsia="Calibri" w:hAnsi="Calibri" w:cs="Calibri"/>
              </w:rPr>
            </w:pPr>
            <w:r w:rsidRPr="00316B28">
              <w:rPr>
                <w:rFonts w:ascii="Calibri" w:eastAsia="Calibri" w:hAnsi="Calibri" w:cs="Calibri"/>
              </w:rPr>
              <w:t>72 hours</w:t>
            </w:r>
          </w:p>
        </w:tc>
        <w:tc>
          <w:tcPr>
            <w:tcW w:w="2385" w:type="dxa"/>
          </w:tcPr>
          <w:p w14:paraId="0A37501D" w14:textId="7C3C5F94" w:rsidR="00117667" w:rsidRPr="00316B28" w:rsidRDefault="009212A1" w:rsidP="00316B28">
            <w:pPr>
              <w:suppressAutoHyphens/>
              <w:spacing w:line="240" w:lineRule="auto"/>
              <w:contextualSpacing/>
              <w:jc w:val="center"/>
              <w:rPr>
                <w:rFonts w:ascii="Calibri" w:eastAsia="Calibri" w:hAnsi="Calibri" w:cs="Calibri"/>
              </w:rPr>
            </w:pPr>
            <w:r w:rsidRPr="009212A1">
              <w:rPr>
                <w:rFonts w:ascii="Calibri" w:eastAsia="Calibri" w:hAnsi="Calibri" w:cs="Calibri"/>
              </w:rPr>
              <w:t>24 hours</w:t>
            </w:r>
          </w:p>
        </w:tc>
        <w:tc>
          <w:tcPr>
            <w:tcW w:w="2385" w:type="dxa"/>
          </w:tcPr>
          <w:p w14:paraId="5DAB6C7B" w14:textId="75CD93D1" w:rsidR="00117667" w:rsidRPr="00316B28" w:rsidRDefault="009212A1" w:rsidP="00316B28">
            <w:pPr>
              <w:suppressAutoHyphens/>
              <w:spacing w:line="240" w:lineRule="auto"/>
              <w:contextualSpacing/>
              <w:jc w:val="center"/>
              <w:rPr>
                <w:rFonts w:ascii="Calibri" w:eastAsia="Calibri" w:hAnsi="Calibri" w:cs="Calibri"/>
              </w:rPr>
            </w:pPr>
            <w:r w:rsidRPr="009212A1">
              <w:rPr>
                <w:rFonts w:ascii="Calibri" w:eastAsia="Calibri" w:hAnsi="Calibri" w:cs="Calibri"/>
              </w:rPr>
              <w:t>24 hours</w:t>
            </w:r>
          </w:p>
        </w:tc>
      </w:tr>
    </w:tbl>
    <w:p w14:paraId="06D86F7E" w14:textId="56C022F7" w:rsidR="007612D0" w:rsidRDefault="007612D0" w:rsidP="00316B28">
      <w:pPr>
        <w:suppressAutoHyphens/>
        <w:spacing w:line="240" w:lineRule="auto"/>
        <w:contextualSpacing/>
        <w:rPr>
          <w:rFonts w:ascii="Calibri" w:eastAsia="Calibri" w:hAnsi="Calibri" w:cs="Calibri"/>
        </w:rPr>
      </w:pPr>
      <w:r w:rsidRPr="00316B28">
        <w:rPr>
          <w:rFonts w:ascii="Calibri" w:hAnsi="Calibri" w:cs="Calibri"/>
        </w:rPr>
        <w:t>Justification</w:t>
      </w:r>
      <w:r w:rsidR="00771862" w:rsidRPr="00316B28">
        <w:rPr>
          <w:rFonts w:ascii="Calibri" w:hAnsi="Calibri" w:cs="Calibri"/>
        </w:rPr>
        <w:t>:</w:t>
      </w:r>
      <w:r w:rsidRPr="00316B28">
        <w:rPr>
          <w:rFonts w:ascii="Calibri" w:hAnsi="Calibri" w:cs="Calibri"/>
        </w:rPr>
        <w:t xml:space="preserve"> </w:t>
      </w:r>
    </w:p>
    <w:p w14:paraId="398C507C" w14:textId="52E48F4F" w:rsidR="009212A1" w:rsidRPr="00316B28" w:rsidRDefault="009212A1" w:rsidP="00316B28">
      <w:pPr>
        <w:suppressAutoHyphens/>
        <w:spacing w:line="240" w:lineRule="auto"/>
        <w:contextualSpacing/>
        <w:rPr>
          <w:rFonts w:ascii="Calibri" w:hAnsi="Calibri" w:cs="Calibri"/>
        </w:rPr>
      </w:pPr>
      <w:r w:rsidRPr="009212A1">
        <w:rPr>
          <w:rFonts w:ascii="Calibri" w:hAnsi="Calibri" w:cs="Calibri"/>
        </w:rPr>
        <w:t>Green Thumb orders roughly three months’ worth of nutrients at a time and can function for about three days before the plants begin to show visible stress from missed feedings. Because shipping normally takes about two business days, restoring the ability to place orders within 24 hours provides enough margin to avoid expedited shipping and plant damage. A 24-hour RPO is acceptable because supply orders are relatively infrequent and can be reconstructed from invoices, emails, and vendor portals if needed. Losing more than a day’s worth of ordering data could lead to confusion about what was already ordered, but a one-day window strikes a balance between accuracy and practicality.</w:t>
      </w:r>
    </w:p>
    <w:p w14:paraId="7BE29E03" w14:textId="77777777" w:rsidR="007612D0" w:rsidRPr="00316B28" w:rsidRDefault="007612D0" w:rsidP="00316B28">
      <w:pPr>
        <w:suppressAutoHyphens/>
        <w:spacing w:line="240" w:lineRule="auto"/>
        <w:contextualSpacing/>
        <w:rPr>
          <w:rFonts w:ascii="Calibri" w:hAnsi="Calibri" w:cs="Calibri"/>
        </w:rPr>
      </w:pPr>
    </w:p>
    <w:tbl>
      <w:tblPr>
        <w:tblW w:w="9522"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Description w:val="Table"/>
      </w:tblPr>
      <w:tblGrid>
        <w:gridCol w:w="2682"/>
        <w:gridCol w:w="2070"/>
        <w:gridCol w:w="2385"/>
        <w:gridCol w:w="2385"/>
      </w:tblGrid>
      <w:tr w:rsidR="00A01575" w:rsidRPr="00316B28" w14:paraId="330FD4C9" w14:textId="77777777" w:rsidTr="00370A92">
        <w:trPr>
          <w:cantSplit/>
          <w:tblHeader/>
        </w:trPr>
        <w:tc>
          <w:tcPr>
            <w:tcW w:w="2682" w:type="dxa"/>
            <w:tcBorders>
              <w:top w:val="single" w:sz="4" w:space="0" w:color="000000"/>
              <w:left w:val="single" w:sz="4" w:space="0" w:color="000000"/>
              <w:bottom w:val="single" w:sz="4" w:space="0" w:color="000000"/>
              <w:right w:val="single" w:sz="4" w:space="0" w:color="000000"/>
            </w:tcBorders>
            <w:vAlign w:val="center"/>
          </w:tcPr>
          <w:p w14:paraId="12D40883" w14:textId="77777777" w:rsidR="00372C8B" w:rsidRPr="00316B28" w:rsidRDefault="00372C8B"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Mission/Business Process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6B573725" w14:textId="77777777" w:rsidR="00372C8B" w:rsidRPr="00316B28" w:rsidRDefault="00372C8B"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MTD</w:t>
            </w:r>
          </w:p>
        </w:tc>
        <w:tc>
          <w:tcPr>
            <w:tcW w:w="2385" w:type="dxa"/>
            <w:tcBorders>
              <w:top w:val="single" w:sz="4" w:space="0" w:color="000000"/>
              <w:left w:val="single" w:sz="4" w:space="0" w:color="000000"/>
              <w:bottom w:val="single" w:sz="4" w:space="0" w:color="000000"/>
              <w:right w:val="single" w:sz="4" w:space="0" w:color="000000"/>
            </w:tcBorders>
            <w:vAlign w:val="center"/>
          </w:tcPr>
          <w:p w14:paraId="0BEB7111" w14:textId="77777777" w:rsidR="00372C8B" w:rsidRPr="00316B28" w:rsidRDefault="00372C8B"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RTO</w:t>
            </w:r>
          </w:p>
        </w:tc>
        <w:tc>
          <w:tcPr>
            <w:tcW w:w="2385" w:type="dxa"/>
            <w:tcBorders>
              <w:top w:val="single" w:sz="4" w:space="0" w:color="000000"/>
              <w:left w:val="single" w:sz="4" w:space="0" w:color="000000"/>
              <w:bottom w:val="single" w:sz="4" w:space="0" w:color="000000"/>
              <w:right w:val="single" w:sz="4" w:space="0" w:color="000000"/>
            </w:tcBorders>
            <w:vAlign w:val="center"/>
          </w:tcPr>
          <w:p w14:paraId="625D5EEF" w14:textId="77777777" w:rsidR="00372C8B" w:rsidRPr="00316B28" w:rsidRDefault="00372C8B"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RPO</w:t>
            </w:r>
          </w:p>
        </w:tc>
      </w:tr>
      <w:tr w:rsidR="00117667" w:rsidRPr="00316B28" w14:paraId="0AB82FA7" w14:textId="77777777" w:rsidTr="00370A92">
        <w:trPr>
          <w:cantSplit/>
          <w:trHeight w:val="280"/>
          <w:tblHeader/>
        </w:trPr>
        <w:tc>
          <w:tcPr>
            <w:tcW w:w="2682" w:type="dxa"/>
            <w:vAlign w:val="center"/>
          </w:tcPr>
          <w:p w14:paraId="2DC25409" w14:textId="53D3FE87" w:rsidR="00117667" w:rsidRPr="00316B28" w:rsidRDefault="0093386A" w:rsidP="00316B28">
            <w:pPr>
              <w:suppressAutoHyphens/>
              <w:spacing w:line="240" w:lineRule="auto"/>
              <w:contextualSpacing/>
              <w:rPr>
                <w:rFonts w:ascii="Calibri" w:eastAsia="Calibri" w:hAnsi="Calibri" w:cs="Calibri"/>
                <w:highlight w:val="yellow"/>
              </w:rPr>
            </w:pPr>
            <w:r w:rsidRPr="00316B28">
              <w:rPr>
                <w:rFonts w:ascii="Calibri" w:eastAsia="Calibri" w:hAnsi="Calibri" w:cs="Calibri"/>
              </w:rPr>
              <w:t>Process</w:t>
            </w:r>
            <w:r w:rsidR="005650D2" w:rsidRPr="00316B28">
              <w:rPr>
                <w:rFonts w:ascii="Calibri" w:eastAsia="Calibri" w:hAnsi="Calibri" w:cs="Calibri"/>
              </w:rPr>
              <w:t>ing</w:t>
            </w:r>
            <w:r w:rsidRPr="00316B28">
              <w:rPr>
                <w:rFonts w:ascii="Calibri" w:eastAsia="Calibri" w:hAnsi="Calibri" w:cs="Calibri"/>
              </w:rPr>
              <w:t xml:space="preserve"> Customer Transactions</w:t>
            </w:r>
          </w:p>
        </w:tc>
        <w:tc>
          <w:tcPr>
            <w:tcW w:w="2070" w:type="dxa"/>
          </w:tcPr>
          <w:p w14:paraId="5A39BBE3" w14:textId="6AE7E57A" w:rsidR="00117667" w:rsidRPr="00316B28" w:rsidRDefault="003E697A" w:rsidP="00316B28">
            <w:pPr>
              <w:suppressAutoHyphens/>
              <w:spacing w:line="240" w:lineRule="auto"/>
              <w:contextualSpacing/>
              <w:jc w:val="center"/>
              <w:rPr>
                <w:rFonts w:ascii="Calibri" w:eastAsia="Calibri" w:hAnsi="Calibri" w:cs="Calibri"/>
              </w:rPr>
            </w:pPr>
            <w:r w:rsidRPr="003E697A">
              <w:rPr>
                <w:rFonts w:ascii="Calibri" w:eastAsia="Calibri" w:hAnsi="Calibri" w:cs="Calibri"/>
              </w:rPr>
              <w:t>12 hours</w:t>
            </w:r>
          </w:p>
        </w:tc>
        <w:tc>
          <w:tcPr>
            <w:tcW w:w="2385" w:type="dxa"/>
          </w:tcPr>
          <w:p w14:paraId="05CF2348" w14:textId="77777777" w:rsidR="00117667" w:rsidRPr="00316B28" w:rsidRDefault="0093386A" w:rsidP="00316B28">
            <w:pPr>
              <w:suppressAutoHyphens/>
              <w:spacing w:line="240" w:lineRule="auto"/>
              <w:contextualSpacing/>
              <w:jc w:val="center"/>
              <w:rPr>
                <w:rFonts w:ascii="Calibri" w:eastAsia="Calibri" w:hAnsi="Calibri" w:cs="Calibri"/>
              </w:rPr>
            </w:pPr>
            <w:r w:rsidRPr="00316B28">
              <w:rPr>
                <w:rFonts w:ascii="Calibri" w:eastAsia="Calibri" w:hAnsi="Calibri" w:cs="Calibri"/>
              </w:rPr>
              <w:t>6 hours</w:t>
            </w:r>
          </w:p>
        </w:tc>
        <w:tc>
          <w:tcPr>
            <w:tcW w:w="2385" w:type="dxa"/>
          </w:tcPr>
          <w:p w14:paraId="41C8F396" w14:textId="27179562" w:rsidR="00117667" w:rsidRPr="00316B28" w:rsidRDefault="003E697A" w:rsidP="00316B28">
            <w:pPr>
              <w:suppressAutoHyphens/>
              <w:spacing w:line="240" w:lineRule="auto"/>
              <w:contextualSpacing/>
              <w:jc w:val="center"/>
              <w:rPr>
                <w:rFonts w:ascii="Calibri" w:eastAsia="Calibri" w:hAnsi="Calibri" w:cs="Calibri"/>
              </w:rPr>
            </w:pPr>
            <w:r w:rsidRPr="003E697A">
              <w:rPr>
                <w:rFonts w:ascii="Calibri" w:eastAsia="Calibri" w:hAnsi="Calibri" w:cs="Calibri"/>
              </w:rPr>
              <w:t>1</w:t>
            </w:r>
            <w:r>
              <w:rPr>
                <w:rFonts w:ascii="Calibri" w:eastAsia="Calibri" w:hAnsi="Calibri" w:cs="Calibri"/>
              </w:rPr>
              <w:t xml:space="preserve"> </w:t>
            </w:r>
            <w:r w:rsidRPr="003E697A">
              <w:rPr>
                <w:rFonts w:ascii="Calibri" w:eastAsia="Calibri" w:hAnsi="Calibri" w:cs="Calibri"/>
              </w:rPr>
              <w:t>hours</w:t>
            </w:r>
          </w:p>
        </w:tc>
      </w:tr>
    </w:tbl>
    <w:p w14:paraId="3284BC94" w14:textId="343275BF" w:rsidR="00E32271" w:rsidRDefault="00E32271" w:rsidP="00316B28">
      <w:pPr>
        <w:suppressAutoHyphens/>
        <w:spacing w:line="240" w:lineRule="auto"/>
        <w:contextualSpacing/>
        <w:rPr>
          <w:rFonts w:ascii="Calibri" w:eastAsia="Calibri" w:hAnsi="Calibri" w:cs="Calibri"/>
        </w:rPr>
      </w:pPr>
      <w:r w:rsidRPr="00316B28">
        <w:rPr>
          <w:rFonts w:ascii="Calibri" w:hAnsi="Calibri" w:cs="Calibri"/>
        </w:rPr>
        <w:t>Justification</w:t>
      </w:r>
      <w:r w:rsidR="00771862" w:rsidRPr="00316B28">
        <w:rPr>
          <w:rFonts w:ascii="Calibri" w:hAnsi="Calibri" w:cs="Calibri"/>
        </w:rPr>
        <w:t>:</w:t>
      </w:r>
      <w:r w:rsidRPr="00316B28">
        <w:rPr>
          <w:rFonts w:ascii="Calibri" w:hAnsi="Calibri" w:cs="Calibri"/>
        </w:rPr>
        <w:t xml:space="preserve"> </w:t>
      </w:r>
    </w:p>
    <w:p w14:paraId="24AE9C30" w14:textId="1F214410" w:rsidR="003E697A" w:rsidRPr="00316B28" w:rsidRDefault="003E697A" w:rsidP="00316B28">
      <w:pPr>
        <w:suppressAutoHyphens/>
        <w:spacing w:line="240" w:lineRule="auto"/>
        <w:contextualSpacing/>
        <w:rPr>
          <w:rFonts w:ascii="Calibri" w:hAnsi="Calibri" w:cs="Calibri"/>
        </w:rPr>
      </w:pPr>
      <w:r w:rsidRPr="003E697A">
        <w:rPr>
          <w:rFonts w:ascii="Calibri" w:hAnsi="Calibri" w:cs="Calibri"/>
        </w:rPr>
        <w:t>Customer transactions are directly tied to revenue, inventory accuracy, and customer experience, so they have very little tolerance for downtime. The business can temporarily fall back to paper receipts if the POS is unavailable, but operating that way beyond a full business day would lead to errors in sales tracking and inventory. Setting the MTD at 12 hours reflects that they can manage a partial day with manual workarounds but not an extended outage. An RTO of 6 hours ensures the cloud-based POS system is back online quickly enough to minimize the amount of time staff must rely on manual processes. Because each sale updates both revenue and inventory, the RPO is set to 1 hour so that, in the worst case, only a small amount of transaction data would need to be re-entered from paper logs or receipts.</w:t>
      </w:r>
    </w:p>
    <w:p w14:paraId="1717040C" w14:textId="77777777" w:rsidR="00E32271" w:rsidRPr="00316B28" w:rsidRDefault="00E32271" w:rsidP="00316B28">
      <w:pPr>
        <w:suppressAutoHyphens/>
        <w:spacing w:line="240" w:lineRule="auto"/>
        <w:contextualSpacing/>
        <w:rPr>
          <w:rFonts w:ascii="Calibri" w:hAnsi="Calibri" w:cs="Calibri"/>
        </w:rPr>
      </w:pPr>
    </w:p>
    <w:tbl>
      <w:tblPr>
        <w:tblW w:w="9522"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Description w:val="Table"/>
      </w:tblPr>
      <w:tblGrid>
        <w:gridCol w:w="2691"/>
        <w:gridCol w:w="2061"/>
        <w:gridCol w:w="2367"/>
        <w:gridCol w:w="2403"/>
      </w:tblGrid>
      <w:tr w:rsidR="00E32271" w:rsidRPr="00316B28" w14:paraId="7CD5A42A" w14:textId="77777777" w:rsidTr="00370A92">
        <w:trPr>
          <w:cantSplit/>
          <w:tblHeader/>
        </w:trPr>
        <w:tc>
          <w:tcPr>
            <w:tcW w:w="2691" w:type="dxa"/>
            <w:tcBorders>
              <w:top w:val="single" w:sz="4" w:space="0" w:color="000000"/>
              <w:left w:val="single" w:sz="4" w:space="0" w:color="000000"/>
              <w:bottom w:val="single" w:sz="4" w:space="0" w:color="000000"/>
              <w:right w:val="single" w:sz="4" w:space="0" w:color="000000"/>
            </w:tcBorders>
            <w:vAlign w:val="center"/>
          </w:tcPr>
          <w:p w14:paraId="08F09958"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Mission/Business Process</w:t>
            </w:r>
          </w:p>
        </w:tc>
        <w:tc>
          <w:tcPr>
            <w:tcW w:w="2061" w:type="dxa"/>
            <w:tcBorders>
              <w:top w:val="single" w:sz="4" w:space="0" w:color="000000"/>
              <w:left w:val="single" w:sz="4" w:space="0" w:color="000000"/>
              <w:bottom w:val="single" w:sz="4" w:space="0" w:color="000000"/>
              <w:right w:val="single" w:sz="4" w:space="0" w:color="000000"/>
            </w:tcBorders>
            <w:vAlign w:val="center"/>
          </w:tcPr>
          <w:p w14:paraId="11376C02"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MTD</w:t>
            </w:r>
          </w:p>
        </w:tc>
        <w:tc>
          <w:tcPr>
            <w:tcW w:w="2367" w:type="dxa"/>
            <w:tcBorders>
              <w:top w:val="single" w:sz="4" w:space="0" w:color="000000"/>
              <w:left w:val="single" w:sz="4" w:space="0" w:color="000000"/>
              <w:bottom w:val="single" w:sz="4" w:space="0" w:color="000000"/>
              <w:right w:val="single" w:sz="4" w:space="0" w:color="000000"/>
            </w:tcBorders>
            <w:vAlign w:val="center"/>
          </w:tcPr>
          <w:p w14:paraId="1637548F"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RTO</w:t>
            </w:r>
          </w:p>
        </w:tc>
        <w:tc>
          <w:tcPr>
            <w:tcW w:w="2403" w:type="dxa"/>
            <w:tcBorders>
              <w:top w:val="single" w:sz="4" w:space="0" w:color="000000"/>
              <w:left w:val="single" w:sz="4" w:space="0" w:color="000000"/>
              <w:bottom w:val="single" w:sz="4" w:space="0" w:color="000000"/>
              <w:right w:val="single" w:sz="4" w:space="0" w:color="000000"/>
            </w:tcBorders>
            <w:vAlign w:val="center"/>
          </w:tcPr>
          <w:p w14:paraId="63B39E88"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RPO</w:t>
            </w:r>
          </w:p>
        </w:tc>
      </w:tr>
      <w:tr w:rsidR="00117667" w:rsidRPr="00316B28" w14:paraId="4C31D067" w14:textId="77777777" w:rsidTr="00370A92">
        <w:trPr>
          <w:cantSplit/>
          <w:trHeight w:val="280"/>
          <w:tblHeader/>
        </w:trPr>
        <w:tc>
          <w:tcPr>
            <w:tcW w:w="2691" w:type="dxa"/>
            <w:vAlign w:val="center"/>
          </w:tcPr>
          <w:p w14:paraId="6B3DADBA" w14:textId="1678D486" w:rsidR="005777E6" w:rsidRPr="00857B0D" w:rsidRDefault="0093386A" w:rsidP="00316B28">
            <w:pPr>
              <w:suppressAutoHyphens/>
              <w:spacing w:line="240" w:lineRule="auto"/>
              <w:contextualSpacing/>
              <w:rPr>
                <w:rFonts w:ascii="Calibri" w:eastAsia="Calibri" w:hAnsi="Calibri" w:cs="Calibri"/>
              </w:rPr>
            </w:pPr>
            <w:r w:rsidRPr="00316B28">
              <w:rPr>
                <w:rFonts w:ascii="Calibri" w:eastAsia="Calibri" w:hAnsi="Calibri" w:cs="Calibri"/>
              </w:rPr>
              <w:t>Creating Security Reports</w:t>
            </w:r>
          </w:p>
        </w:tc>
        <w:tc>
          <w:tcPr>
            <w:tcW w:w="2061" w:type="dxa"/>
          </w:tcPr>
          <w:p w14:paraId="0E27B00A" w14:textId="66D95311" w:rsidR="00117667" w:rsidRPr="00316B28" w:rsidRDefault="00005CF2" w:rsidP="00316B28">
            <w:pPr>
              <w:suppressAutoHyphens/>
              <w:spacing w:line="240" w:lineRule="auto"/>
              <w:contextualSpacing/>
              <w:jc w:val="center"/>
              <w:rPr>
                <w:rFonts w:ascii="Calibri" w:eastAsia="Calibri" w:hAnsi="Calibri" w:cs="Calibri"/>
              </w:rPr>
            </w:pPr>
            <w:r w:rsidRPr="00005CF2">
              <w:rPr>
                <w:rFonts w:ascii="Calibri" w:eastAsia="Calibri" w:hAnsi="Calibri" w:cs="Calibri"/>
              </w:rPr>
              <w:t>72 hours</w:t>
            </w:r>
          </w:p>
        </w:tc>
        <w:tc>
          <w:tcPr>
            <w:tcW w:w="2367" w:type="dxa"/>
          </w:tcPr>
          <w:p w14:paraId="60061E4C" w14:textId="214B8F2B" w:rsidR="00117667" w:rsidRPr="00316B28" w:rsidRDefault="00005CF2" w:rsidP="00316B28">
            <w:pPr>
              <w:suppressAutoHyphens/>
              <w:spacing w:line="240" w:lineRule="auto"/>
              <w:contextualSpacing/>
              <w:jc w:val="center"/>
              <w:rPr>
                <w:rFonts w:ascii="Calibri" w:eastAsia="Calibri" w:hAnsi="Calibri" w:cs="Calibri"/>
              </w:rPr>
            </w:pPr>
            <w:r>
              <w:rPr>
                <w:rFonts w:ascii="Calibri" w:eastAsia="Calibri" w:hAnsi="Calibri" w:cs="Calibri"/>
              </w:rPr>
              <w:t>48</w:t>
            </w:r>
            <w:r w:rsidRPr="00005CF2">
              <w:rPr>
                <w:rFonts w:ascii="Calibri" w:eastAsia="Calibri" w:hAnsi="Calibri" w:cs="Calibri"/>
              </w:rPr>
              <w:t xml:space="preserve"> hours</w:t>
            </w:r>
          </w:p>
        </w:tc>
        <w:tc>
          <w:tcPr>
            <w:tcW w:w="2403" w:type="dxa"/>
          </w:tcPr>
          <w:p w14:paraId="2EB19B27" w14:textId="77777777" w:rsidR="00117667" w:rsidRPr="00316B28" w:rsidRDefault="0093386A" w:rsidP="00316B28">
            <w:pPr>
              <w:suppressAutoHyphens/>
              <w:spacing w:line="240" w:lineRule="auto"/>
              <w:contextualSpacing/>
              <w:jc w:val="center"/>
              <w:rPr>
                <w:rFonts w:ascii="Calibri" w:eastAsia="Calibri" w:hAnsi="Calibri" w:cs="Calibri"/>
              </w:rPr>
            </w:pPr>
            <w:r w:rsidRPr="00316B28">
              <w:rPr>
                <w:rFonts w:ascii="Calibri" w:eastAsia="Calibri" w:hAnsi="Calibri" w:cs="Calibri"/>
              </w:rPr>
              <w:t>24 hours</w:t>
            </w:r>
          </w:p>
        </w:tc>
      </w:tr>
    </w:tbl>
    <w:p w14:paraId="771E906F" w14:textId="328366D2" w:rsidR="00395838" w:rsidRDefault="00395838" w:rsidP="00316B28">
      <w:pPr>
        <w:suppressAutoHyphens/>
        <w:spacing w:line="240" w:lineRule="auto"/>
        <w:contextualSpacing/>
        <w:rPr>
          <w:rFonts w:ascii="Calibri" w:eastAsia="Calibri" w:hAnsi="Calibri" w:cs="Calibri"/>
        </w:rPr>
      </w:pPr>
      <w:r w:rsidRPr="00316B28">
        <w:rPr>
          <w:rFonts w:ascii="Calibri" w:hAnsi="Calibri" w:cs="Calibri"/>
        </w:rPr>
        <w:t>Justification</w:t>
      </w:r>
      <w:r w:rsidR="00771862" w:rsidRPr="00316B28">
        <w:rPr>
          <w:rFonts w:ascii="Calibri" w:hAnsi="Calibri" w:cs="Calibri"/>
        </w:rPr>
        <w:t>:</w:t>
      </w:r>
      <w:r w:rsidRPr="00316B28">
        <w:rPr>
          <w:rFonts w:ascii="Calibri" w:hAnsi="Calibri" w:cs="Calibri"/>
        </w:rPr>
        <w:t xml:space="preserve"> </w:t>
      </w:r>
    </w:p>
    <w:p w14:paraId="513001EC" w14:textId="5568E75C" w:rsidR="00005CF2" w:rsidRPr="00316B28" w:rsidRDefault="00005CF2" w:rsidP="00316B28">
      <w:pPr>
        <w:suppressAutoHyphens/>
        <w:spacing w:line="240" w:lineRule="auto"/>
        <w:contextualSpacing/>
        <w:rPr>
          <w:rFonts w:ascii="Calibri" w:hAnsi="Calibri" w:cs="Calibri"/>
        </w:rPr>
      </w:pPr>
      <w:r w:rsidRPr="00005CF2">
        <w:rPr>
          <w:rFonts w:ascii="Calibri" w:hAnsi="Calibri" w:cs="Calibri"/>
        </w:rPr>
        <w:t>Security footage is continuously recorded to the cloud and remains available even if the reporting process is temporarily disrupted. The daily security report is important for reviewing activity, documenting incidents, and supporting any future investigations, but a short interruption will not immediately stop business operations. A 72-hour MTD recognizes that the nursery could function for several days without generating new reports, as long as the underlying video is preserved. An RTO of 48 hours ensures that normal reporting resumes within a couple of days so that trends and potential issues are not overlooked for too long. Since the cameras store footage for six months, a 24-hour RPO is acceptable—if needed, the team could regenerate a missed day’s report by re-reviewing the stored video from the prior day.</w:t>
      </w:r>
    </w:p>
    <w:p w14:paraId="6756CC26" w14:textId="07E2B19D" w:rsidR="00E32271" w:rsidRPr="00316B28" w:rsidRDefault="00E32271" w:rsidP="00316B28">
      <w:pPr>
        <w:suppressAutoHyphens/>
        <w:spacing w:line="240" w:lineRule="auto"/>
        <w:contextualSpacing/>
        <w:rPr>
          <w:rFonts w:ascii="Calibri" w:hAnsi="Calibri" w:cs="Calibri"/>
        </w:rPr>
      </w:pPr>
    </w:p>
    <w:tbl>
      <w:tblPr>
        <w:tblW w:w="9522"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Description w:val="Table"/>
      </w:tblPr>
      <w:tblGrid>
        <w:gridCol w:w="2682"/>
        <w:gridCol w:w="2070"/>
        <w:gridCol w:w="2340"/>
        <w:gridCol w:w="2430"/>
      </w:tblGrid>
      <w:tr w:rsidR="00E32271" w:rsidRPr="00316B28" w14:paraId="3334FFEB" w14:textId="77777777" w:rsidTr="00370A92">
        <w:trPr>
          <w:cantSplit/>
          <w:tblHeader/>
        </w:trPr>
        <w:tc>
          <w:tcPr>
            <w:tcW w:w="2682" w:type="dxa"/>
            <w:tcBorders>
              <w:top w:val="single" w:sz="4" w:space="0" w:color="000000"/>
              <w:left w:val="single" w:sz="4" w:space="0" w:color="000000"/>
              <w:bottom w:val="single" w:sz="4" w:space="0" w:color="000000"/>
              <w:right w:val="single" w:sz="4" w:space="0" w:color="000000"/>
            </w:tcBorders>
            <w:vAlign w:val="center"/>
          </w:tcPr>
          <w:p w14:paraId="303814CB"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lastRenderedPageBreak/>
              <w:t>Mission/Business Process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7282738E"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MTD</w:t>
            </w:r>
          </w:p>
        </w:tc>
        <w:tc>
          <w:tcPr>
            <w:tcW w:w="2340" w:type="dxa"/>
            <w:tcBorders>
              <w:top w:val="single" w:sz="4" w:space="0" w:color="000000"/>
              <w:left w:val="single" w:sz="4" w:space="0" w:color="000000"/>
              <w:bottom w:val="single" w:sz="4" w:space="0" w:color="000000"/>
              <w:right w:val="single" w:sz="4" w:space="0" w:color="000000"/>
            </w:tcBorders>
            <w:vAlign w:val="center"/>
          </w:tcPr>
          <w:p w14:paraId="1197F730"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RTO</w:t>
            </w:r>
          </w:p>
        </w:tc>
        <w:tc>
          <w:tcPr>
            <w:tcW w:w="2430" w:type="dxa"/>
            <w:tcBorders>
              <w:top w:val="single" w:sz="4" w:space="0" w:color="000000"/>
              <w:left w:val="single" w:sz="4" w:space="0" w:color="000000"/>
              <w:bottom w:val="single" w:sz="4" w:space="0" w:color="000000"/>
              <w:right w:val="single" w:sz="4" w:space="0" w:color="000000"/>
            </w:tcBorders>
          </w:tcPr>
          <w:p w14:paraId="0DF2B5CC"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RPO</w:t>
            </w:r>
          </w:p>
        </w:tc>
      </w:tr>
      <w:tr w:rsidR="00117667" w:rsidRPr="00316B28" w14:paraId="4395A99A" w14:textId="77777777" w:rsidTr="00370A92">
        <w:trPr>
          <w:cantSplit/>
          <w:trHeight w:val="280"/>
          <w:tblHeader/>
        </w:trPr>
        <w:tc>
          <w:tcPr>
            <w:tcW w:w="2682" w:type="dxa"/>
            <w:vAlign w:val="center"/>
          </w:tcPr>
          <w:p w14:paraId="5509FD48" w14:textId="2B07DA84" w:rsidR="00117667" w:rsidRPr="00316B28" w:rsidRDefault="0093386A" w:rsidP="00316B28">
            <w:pPr>
              <w:suppressAutoHyphens/>
              <w:spacing w:line="240" w:lineRule="auto"/>
              <w:contextualSpacing/>
              <w:rPr>
                <w:rFonts w:ascii="Calibri" w:eastAsia="Calibri" w:hAnsi="Calibri" w:cs="Calibri"/>
              </w:rPr>
            </w:pPr>
            <w:r w:rsidRPr="00316B28">
              <w:rPr>
                <w:rFonts w:ascii="Calibri" w:eastAsia="Calibri" w:hAnsi="Calibri" w:cs="Calibri"/>
              </w:rPr>
              <w:t>Track</w:t>
            </w:r>
            <w:r w:rsidR="005650D2" w:rsidRPr="00316B28">
              <w:rPr>
                <w:rFonts w:ascii="Calibri" w:eastAsia="Calibri" w:hAnsi="Calibri" w:cs="Calibri"/>
              </w:rPr>
              <w:t>ing</w:t>
            </w:r>
            <w:r w:rsidRPr="00316B28">
              <w:rPr>
                <w:rFonts w:ascii="Calibri" w:eastAsia="Calibri" w:hAnsi="Calibri" w:cs="Calibri"/>
              </w:rPr>
              <w:t xml:space="preserve"> Grow Technique Data</w:t>
            </w:r>
          </w:p>
        </w:tc>
        <w:tc>
          <w:tcPr>
            <w:tcW w:w="2070" w:type="dxa"/>
          </w:tcPr>
          <w:p w14:paraId="3857B0C9" w14:textId="77777777" w:rsidR="00117667" w:rsidRPr="00316B28" w:rsidRDefault="0093386A" w:rsidP="00316B28">
            <w:pPr>
              <w:suppressAutoHyphens/>
              <w:spacing w:line="240" w:lineRule="auto"/>
              <w:contextualSpacing/>
              <w:jc w:val="center"/>
              <w:rPr>
                <w:rFonts w:ascii="Calibri" w:eastAsia="Calibri" w:hAnsi="Calibri" w:cs="Calibri"/>
              </w:rPr>
            </w:pPr>
            <w:r w:rsidRPr="00316B28">
              <w:rPr>
                <w:rFonts w:ascii="Calibri" w:eastAsia="Calibri" w:hAnsi="Calibri" w:cs="Calibri"/>
              </w:rPr>
              <w:t>24 hours</w:t>
            </w:r>
          </w:p>
        </w:tc>
        <w:tc>
          <w:tcPr>
            <w:tcW w:w="2340" w:type="dxa"/>
          </w:tcPr>
          <w:p w14:paraId="3DEEC669" w14:textId="7469FE98" w:rsidR="00117667" w:rsidRPr="00316B28" w:rsidRDefault="00BB7C69" w:rsidP="00316B28">
            <w:pPr>
              <w:suppressAutoHyphens/>
              <w:spacing w:line="240" w:lineRule="auto"/>
              <w:contextualSpacing/>
              <w:jc w:val="center"/>
              <w:rPr>
                <w:rFonts w:ascii="Calibri" w:eastAsia="Calibri" w:hAnsi="Calibri" w:cs="Calibri"/>
              </w:rPr>
            </w:pPr>
            <w:r w:rsidRPr="00BB7C69">
              <w:rPr>
                <w:rFonts w:ascii="Calibri" w:eastAsia="Calibri" w:hAnsi="Calibri" w:cs="Calibri"/>
              </w:rPr>
              <w:t>12 hours</w:t>
            </w:r>
          </w:p>
        </w:tc>
        <w:tc>
          <w:tcPr>
            <w:tcW w:w="2430" w:type="dxa"/>
          </w:tcPr>
          <w:p w14:paraId="3656B9AB" w14:textId="6D9F020E" w:rsidR="00117667" w:rsidRPr="00316B28" w:rsidRDefault="00BB7C69" w:rsidP="00316B28">
            <w:pPr>
              <w:suppressAutoHyphens/>
              <w:spacing w:line="240" w:lineRule="auto"/>
              <w:contextualSpacing/>
              <w:jc w:val="center"/>
              <w:rPr>
                <w:rFonts w:ascii="Calibri" w:eastAsia="Calibri" w:hAnsi="Calibri" w:cs="Calibri"/>
              </w:rPr>
            </w:pPr>
            <w:r>
              <w:rPr>
                <w:rFonts w:ascii="Calibri" w:eastAsia="Calibri" w:hAnsi="Calibri" w:cs="Calibri"/>
              </w:rPr>
              <w:t>8</w:t>
            </w:r>
            <w:r w:rsidRPr="00BB7C69">
              <w:rPr>
                <w:rFonts w:ascii="Calibri" w:eastAsia="Calibri" w:hAnsi="Calibri" w:cs="Calibri"/>
              </w:rPr>
              <w:t xml:space="preserve"> hours</w:t>
            </w:r>
          </w:p>
        </w:tc>
      </w:tr>
    </w:tbl>
    <w:p w14:paraId="2A738F06" w14:textId="21773163" w:rsidR="00395838" w:rsidRDefault="00395838" w:rsidP="00316B28">
      <w:pPr>
        <w:suppressAutoHyphens/>
        <w:spacing w:line="240" w:lineRule="auto"/>
        <w:contextualSpacing/>
        <w:rPr>
          <w:rFonts w:ascii="Calibri" w:eastAsia="Calibri" w:hAnsi="Calibri" w:cs="Calibri"/>
        </w:rPr>
      </w:pPr>
      <w:r w:rsidRPr="00316B28">
        <w:rPr>
          <w:rFonts w:ascii="Calibri" w:hAnsi="Calibri" w:cs="Calibri"/>
        </w:rPr>
        <w:t>Justification</w:t>
      </w:r>
      <w:r w:rsidR="00771862" w:rsidRPr="00316B28">
        <w:rPr>
          <w:rFonts w:ascii="Calibri" w:hAnsi="Calibri" w:cs="Calibri"/>
        </w:rPr>
        <w:t>:</w:t>
      </w:r>
      <w:r w:rsidRPr="00316B28">
        <w:rPr>
          <w:rFonts w:ascii="Calibri" w:hAnsi="Calibri" w:cs="Calibri"/>
        </w:rPr>
        <w:t xml:space="preserve"> </w:t>
      </w:r>
    </w:p>
    <w:p w14:paraId="6383ED30" w14:textId="2C675F7C" w:rsidR="00BB7C69" w:rsidRPr="00316B28" w:rsidRDefault="00BB7C69" w:rsidP="00316B28">
      <w:pPr>
        <w:suppressAutoHyphens/>
        <w:spacing w:line="240" w:lineRule="auto"/>
        <w:contextualSpacing/>
        <w:rPr>
          <w:rFonts w:ascii="Calibri" w:hAnsi="Calibri" w:cs="Calibri"/>
        </w:rPr>
      </w:pPr>
      <w:r w:rsidRPr="00BB7C69">
        <w:rPr>
          <w:rFonts w:ascii="Calibri" w:hAnsi="Calibri" w:cs="Calibri"/>
        </w:rPr>
        <w:t>The Department of Agriculture requires Green Thumb to track growth and care data (feeding, pesticide applications, and growth milestones) for certain plants using a specialized software system. This information is normally entered as plants are planted, fed, and treated. If the system is unavailable for too long, the staff may have trouble accurately reconstructing exact timing and doses, which could create compliance and quality issues. With an MTD of 24 hours, the business acknowledges it can work with temporary notes or paper logs for one day, but not longer, without risking data loss or errors. An RTO of 12 hours supports same-day restoration so data can be entered while it is still fresh. An RPO of 8 hours limits potential data loss to less than a workday, making it feasible to recreate any missing entries from written notes or staff memory.</w:t>
      </w:r>
    </w:p>
    <w:p w14:paraId="08F69108" w14:textId="77777777" w:rsidR="00395838" w:rsidRPr="00316B28" w:rsidRDefault="00395838" w:rsidP="00316B28">
      <w:pPr>
        <w:suppressAutoHyphens/>
        <w:spacing w:line="240" w:lineRule="auto"/>
        <w:contextualSpacing/>
        <w:rPr>
          <w:rFonts w:ascii="Calibri" w:hAnsi="Calibri" w:cs="Calibri"/>
        </w:rPr>
      </w:pPr>
    </w:p>
    <w:tbl>
      <w:tblPr>
        <w:tblW w:w="9522"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Description w:val="Table"/>
      </w:tblPr>
      <w:tblGrid>
        <w:gridCol w:w="2682"/>
        <w:gridCol w:w="2070"/>
        <w:gridCol w:w="2340"/>
        <w:gridCol w:w="2430"/>
      </w:tblGrid>
      <w:tr w:rsidR="00E32271" w:rsidRPr="00316B28" w14:paraId="5763737A" w14:textId="77777777" w:rsidTr="00370A92">
        <w:trPr>
          <w:cantSplit/>
          <w:tblHeader/>
        </w:trPr>
        <w:tc>
          <w:tcPr>
            <w:tcW w:w="2682" w:type="dxa"/>
            <w:tcBorders>
              <w:top w:val="single" w:sz="4" w:space="0" w:color="000000"/>
              <w:left w:val="single" w:sz="4" w:space="0" w:color="000000"/>
              <w:bottom w:val="single" w:sz="4" w:space="0" w:color="000000"/>
              <w:right w:val="single" w:sz="4" w:space="0" w:color="000000"/>
            </w:tcBorders>
            <w:vAlign w:val="center"/>
          </w:tcPr>
          <w:p w14:paraId="231FD8B5"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Mission/Business Process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17C95400"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MTD</w:t>
            </w:r>
          </w:p>
        </w:tc>
        <w:tc>
          <w:tcPr>
            <w:tcW w:w="2340" w:type="dxa"/>
            <w:tcBorders>
              <w:top w:val="single" w:sz="4" w:space="0" w:color="000000"/>
              <w:left w:val="single" w:sz="4" w:space="0" w:color="000000"/>
              <w:bottom w:val="single" w:sz="4" w:space="0" w:color="000000"/>
              <w:right w:val="single" w:sz="4" w:space="0" w:color="000000"/>
            </w:tcBorders>
            <w:vAlign w:val="center"/>
          </w:tcPr>
          <w:p w14:paraId="21A838FA"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RTO</w:t>
            </w:r>
          </w:p>
        </w:tc>
        <w:tc>
          <w:tcPr>
            <w:tcW w:w="2430" w:type="dxa"/>
            <w:tcBorders>
              <w:top w:val="single" w:sz="4" w:space="0" w:color="000000"/>
              <w:left w:val="single" w:sz="4" w:space="0" w:color="000000"/>
              <w:bottom w:val="single" w:sz="4" w:space="0" w:color="000000"/>
              <w:right w:val="single" w:sz="4" w:space="0" w:color="000000"/>
            </w:tcBorders>
          </w:tcPr>
          <w:p w14:paraId="4D9E9268"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RPO</w:t>
            </w:r>
          </w:p>
        </w:tc>
      </w:tr>
      <w:tr w:rsidR="00117667" w:rsidRPr="00316B28" w14:paraId="129FFD49" w14:textId="77777777" w:rsidTr="00370A92">
        <w:trPr>
          <w:cantSplit/>
          <w:trHeight w:val="280"/>
          <w:tblHeader/>
        </w:trPr>
        <w:tc>
          <w:tcPr>
            <w:tcW w:w="2682" w:type="dxa"/>
            <w:vAlign w:val="center"/>
          </w:tcPr>
          <w:p w14:paraId="419B6DD9" w14:textId="36B351F5" w:rsidR="00A407F8" w:rsidRPr="00316B28" w:rsidRDefault="0093386A" w:rsidP="00316B28">
            <w:pPr>
              <w:suppressAutoHyphens/>
              <w:spacing w:line="240" w:lineRule="auto"/>
              <w:contextualSpacing/>
              <w:rPr>
                <w:rFonts w:ascii="Calibri" w:eastAsia="Calibri" w:hAnsi="Calibri" w:cs="Calibri"/>
              </w:rPr>
            </w:pPr>
            <w:r w:rsidRPr="00316B28">
              <w:rPr>
                <w:rFonts w:ascii="Calibri" w:eastAsia="Calibri" w:hAnsi="Calibri" w:cs="Calibri"/>
              </w:rPr>
              <w:t>Creating Safety Reports</w:t>
            </w:r>
          </w:p>
        </w:tc>
        <w:tc>
          <w:tcPr>
            <w:tcW w:w="2070" w:type="dxa"/>
          </w:tcPr>
          <w:p w14:paraId="53128261" w14:textId="498FEBD8" w:rsidR="00117667" w:rsidRPr="00316B28" w:rsidRDefault="00860756" w:rsidP="00316B28">
            <w:pPr>
              <w:suppressAutoHyphens/>
              <w:spacing w:line="240" w:lineRule="auto"/>
              <w:contextualSpacing/>
              <w:jc w:val="center"/>
              <w:rPr>
                <w:rFonts w:ascii="Calibri" w:eastAsia="Calibri" w:hAnsi="Calibri" w:cs="Calibri"/>
              </w:rPr>
            </w:pPr>
            <w:r w:rsidRPr="00860756">
              <w:rPr>
                <w:rFonts w:ascii="Calibri" w:eastAsia="Calibri" w:hAnsi="Calibri" w:cs="Calibri"/>
              </w:rPr>
              <w:t>72 hours</w:t>
            </w:r>
          </w:p>
        </w:tc>
        <w:tc>
          <w:tcPr>
            <w:tcW w:w="2340" w:type="dxa"/>
          </w:tcPr>
          <w:p w14:paraId="62486C05" w14:textId="4AD7E583" w:rsidR="00117667" w:rsidRPr="00316B28" w:rsidRDefault="00860756" w:rsidP="00316B28">
            <w:pPr>
              <w:suppressAutoHyphens/>
              <w:spacing w:line="240" w:lineRule="auto"/>
              <w:contextualSpacing/>
              <w:jc w:val="center"/>
              <w:rPr>
                <w:rFonts w:ascii="Calibri" w:eastAsia="Calibri" w:hAnsi="Calibri" w:cs="Calibri"/>
              </w:rPr>
            </w:pPr>
            <w:r>
              <w:rPr>
                <w:rFonts w:ascii="Calibri" w:eastAsia="Calibri" w:hAnsi="Calibri" w:cs="Calibri"/>
              </w:rPr>
              <w:t>48</w:t>
            </w:r>
            <w:r w:rsidRPr="00860756">
              <w:rPr>
                <w:rFonts w:ascii="Calibri" w:eastAsia="Calibri" w:hAnsi="Calibri" w:cs="Calibri"/>
              </w:rPr>
              <w:t xml:space="preserve"> hours</w:t>
            </w:r>
          </w:p>
        </w:tc>
        <w:tc>
          <w:tcPr>
            <w:tcW w:w="2430" w:type="dxa"/>
          </w:tcPr>
          <w:p w14:paraId="6E198B4C" w14:textId="77777777" w:rsidR="00117667" w:rsidRPr="00316B28" w:rsidRDefault="0093386A" w:rsidP="00316B28">
            <w:pPr>
              <w:suppressAutoHyphens/>
              <w:spacing w:line="240" w:lineRule="auto"/>
              <w:contextualSpacing/>
              <w:jc w:val="center"/>
              <w:rPr>
                <w:rFonts w:ascii="Calibri" w:eastAsia="Calibri" w:hAnsi="Calibri" w:cs="Calibri"/>
              </w:rPr>
            </w:pPr>
            <w:r w:rsidRPr="00316B28">
              <w:rPr>
                <w:rFonts w:ascii="Calibri" w:eastAsia="Calibri" w:hAnsi="Calibri" w:cs="Calibri"/>
              </w:rPr>
              <w:t>24 hours</w:t>
            </w:r>
          </w:p>
        </w:tc>
      </w:tr>
    </w:tbl>
    <w:p w14:paraId="7D3C81A4" w14:textId="51073D35" w:rsidR="00395838" w:rsidRDefault="00395838" w:rsidP="00316B28">
      <w:pPr>
        <w:suppressAutoHyphens/>
        <w:spacing w:line="240" w:lineRule="auto"/>
        <w:contextualSpacing/>
        <w:rPr>
          <w:rFonts w:ascii="Calibri" w:eastAsia="Calibri" w:hAnsi="Calibri" w:cs="Calibri"/>
        </w:rPr>
      </w:pPr>
      <w:r w:rsidRPr="00316B28">
        <w:rPr>
          <w:rFonts w:ascii="Calibri" w:hAnsi="Calibri" w:cs="Calibri"/>
        </w:rPr>
        <w:t>Justification</w:t>
      </w:r>
      <w:r w:rsidR="00771862" w:rsidRPr="00316B28">
        <w:rPr>
          <w:rFonts w:ascii="Calibri" w:hAnsi="Calibri" w:cs="Calibri"/>
        </w:rPr>
        <w:t>:</w:t>
      </w:r>
      <w:r w:rsidRPr="00316B28">
        <w:rPr>
          <w:rFonts w:ascii="Calibri" w:hAnsi="Calibri" w:cs="Calibri"/>
        </w:rPr>
        <w:t xml:space="preserve"> </w:t>
      </w:r>
    </w:p>
    <w:p w14:paraId="04B3E926" w14:textId="5A9CDE31" w:rsidR="00860756" w:rsidRPr="00316B28" w:rsidRDefault="00860756" w:rsidP="00316B28">
      <w:pPr>
        <w:suppressAutoHyphens/>
        <w:spacing w:line="240" w:lineRule="auto"/>
        <w:contextualSpacing/>
        <w:rPr>
          <w:rFonts w:ascii="Calibri" w:hAnsi="Calibri" w:cs="Calibri"/>
        </w:rPr>
      </w:pPr>
      <w:r w:rsidRPr="00860756">
        <w:rPr>
          <w:rFonts w:ascii="Calibri" w:hAnsi="Calibri" w:cs="Calibri"/>
        </w:rPr>
        <w:t>Safety reports document pesticide handling, ladder and equipment use, and any incidents or violations. While safety itself is critical, the reporting function does not need to operate in real time for the nursery to remain open, as long as incidents are still handled appropriately and basic OSHA-aligned procedures are followed. A 72-hour MTD allows operations to continue during a short disruption while still ensuring that safety documentation is updated within a reasonable period. An RTO of 48 hours makes sure the reporting process is restored quickly enough to keep monthly and regulatory reporting accurate and timely. A 24-hour RPO means at most one day of safety data might need to be reconstructed from incident logs, supervisor notes, or employee statements, which is manageable without compromising long-term records.</w:t>
      </w:r>
    </w:p>
    <w:p w14:paraId="0DBDCE27" w14:textId="77777777" w:rsidR="00E32271" w:rsidRPr="00316B28" w:rsidRDefault="00E32271" w:rsidP="00316B28">
      <w:pPr>
        <w:suppressAutoHyphens/>
        <w:spacing w:line="240" w:lineRule="auto"/>
        <w:contextualSpacing/>
        <w:rPr>
          <w:rFonts w:ascii="Calibri" w:hAnsi="Calibri" w:cs="Calibri"/>
        </w:rPr>
      </w:pPr>
    </w:p>
    <w:tbl>
      <w:tblPr>
        <w:tblW w:w="9522"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Description w:val="Table"/>
      </w:tblPr>
      <w:tblGrid>
        <w:gridCol w:w="2682"/>
        <w:gridCol w:w="2070"/>
        <w:gridCol w:w="2340"/>
        <w:gridCol w:w="2430"/>
      </w:tblGrid>
      <w:tr w:rsidR="00E32271" w:rsidRPr="00316B28" w14:paraId="1602987B" w14:textId="77777777" w:rsidTr="00370A92">
        <w:trPr>
          <w:cantSplit/>
          <w:tblHeader/>
        </w:trPr>
        <w:tc>
          <w:tcPr>
            <w:tcW w:w="2682" w:type="dxa"/>
            <w:tcBorders>
              <w:top w:val="single" w:sz="4" w:space="0" w:color="000000"/>
              <w:left w:val="single" w:sz="4" w:space="0" w:color="000000"/>
              <w:bottom w:val="single" w:sz="4" w:space="0" w:color="000000"/>
              <w:right w:val="single" w:sz="4" w:space="0" w:color="000000"/>
            </w:tcBorders>
            <w:vAlign w:val="center"/>
          </w:tcPr>
          <w:p w14:paraId="4382C7C4"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Mission/Business Process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0B369607"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MTD</w:t>
            </w:r>
          </w:p>
        </w:tc>
        <w:tc>
          <w:tcPr>
            <w:tcW w:w="2340" w:type="dxa"/>
            <w:tcBorders>
              <w:top w:val="single" w:sz="4" w:space="0" w:color="000000"/>
              <w:left w:val="single" w:sz="4" w:space="0" w:color="000000"/>
              <w:bottom w:val="single" w:sz="4" w:space="0" w:color="000000"/>
              <w:right w:val="single" w:sz="4" w:space="0" w:color="000000"/>
            </w:tcBorders>
            <w:vAlign w:val="center"/>
          </w:tcPr>
          <w:p w14:paraId="48264CA1"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RTO</w:t>
            </w:r>
          </w:p>
        </w:tc>
        <w:tc>
          <w:tcPr>
            <w:tcW w:w="2430" w:type="dxa"/>
            <w:tcBorders>
              <w:top w:val="single" w:sz="4" w:space="0" w:color="000000"/>
              <w:left w:val="single" w:sz="4" w:space="0" w:color="000000"/>
              <w:bottom w:val="single" w:sz="4" w:space="0" w:color="000000"/>
              <w:right w:val="single" w:sz="4" w:space="0" w:color="000000"/>
            </w:tcBorders>
          </w:tcPr>
          <w:p w14:paraId="00569E46"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RPO</w:t>
            </w:r>
          </w:p>
        </w:tc>
      </w:tr>
      <w:tr w:rsidR="00117667" w:rsidRPr="00316B28" w14:paraId="54DA0A79" w14:textId="77777777" w:rsidTr="00370A92">
        <w:trPr>
          <w:cantSplit/>
          <w:trHeight w:val="280"/>
          <w:tblHeader/>
        </w:trPr>
        <w:tc>
          <w:tcPr>
            <w:tcW w:w="2682" w:type="dxa"/>
            <w:vAlign w:val="center"/>
          </w:tcPr>
          <w:p w14:paraId="0E8E4F21" w14:textId="72977012" w:rsidR="00A407F8" w:rsidRPr="00316B28" w:rsidRDefault="0093386A" w:rsidP="00316B28">
            <w:pPr>
              <w:suppressAutoHyphens/>
              <w:spacing w:line="240" w:lineRule="auto"/>
              <w:contextualSpacing/>
              <w:rPr>
                <w:rFonts w:ascii="Calibri" w:eastAsia="Calibri" w:hAnsi="Calibri" w:cs="Calibri"/>
              </w:rPr>
            </w:pPr>
            <w:r w:rsidRPr="00316B28">
              <w:rPr>
                <w:rFonts w:ascii="Calibri" w:eastAsia="Calibri" w:hAnsi="Calibri" w:cs="Calibri"/>
              </w:rPr>
              <w:t>Logging/Tracking Product</w:t>
            </w:r>
          </w:p>
        </w:tc>
        <w:tc>
          <w:tcPr>
            <w:tcW w:w="2070" w:type="dxa"/>
          </w:tcPr>
          <w:p w14:paraId="1299C43A" w14:textId="3C9425F6" w:rsidR="00117667" w:rsidRPr="00316B28" w:rsidRDefault="00C34F83" w:rsidP="00316B28">
            <w:pPr>
              <w:suppressAutoHyphens/>
              <w:spacing w:line="240" w:lineRule="auto"/>
              <w:contextualSpacing/>
              <w:jc w:val="center"/>
              <w:rPr>
                <w:rFonts w:ascii="Calibri" w:eastAsia="Calibri" w:hAnsi="Calibri" w:cs="Calibri"/>
              </w:rPr>
            </w:pPr>
            <w:r>
              <w:rPr>
                <w:rFonts w:ascii="Calibri" w:eastAsia="Calibri" w:hAnsi="Calibri" w:cs="Calibri"/>
              </w:rPr>
              <w:t>24</w:t>
            </w:r>
            <w:r w:rsidRPr="00C34F83">
              <w:rPr>
                <w:rFonts w:ascii="Calibri" w:eastAsia="Calibri" w:hAnsi="Calibri" w:cs="Calibri"/>
              </w:rPr>
              <w:t xml:space="preserve"> hours</w:t>
            </w:r>
          </w:p>
        </w:tc>
        <w:tc>
          <w:tcPr>
            <w:tcW w:w="2340" w:type="dxa"/>
          </w:tcPr>
          <w:p w14:paraId="4777F06A" w14:textId="77777777" w:rsidR="00117667" w:rsidRPr="00316B28" w:rsidRDefault="0093386A" w:rsidP="00316B28">
            <w:pPr>
              <w:suppressAutoHyphens/>
              <w:spacing w:line="240" w:lineRule="auto"/>
              <w:contextualSpacing/>
              <w:jc w:val="center"/>
              <w:rPr>
                <w:rFonts w:ascii="Calibri" w:eastAsia="Calibri" w:hAnsi="Calibri" w:cs="Calibri"/>
              </w:rPr>
            </w:pPr>
            <w:r w:rsidRPr="00316B28">
              <w:rPr>
                <w:rFonts w:ascii="Calibri" w:eastAsia="Calibri" w:hAnsi="Calibri" w:cs="Calibri"/>
              </w:rPr>
              <w:t>12 hours</w:t>
            </w:r>
          </w:p>
        </w:tc>
        <w:tc>
          <w:tcPr>
            <w:tcW w:w="2430" w:type="dxa"/>
          </w:tcPr>
          <w:p w14:paraId="4DDBEF00" w14:textId="61A2ECD0" w:rsidR="00117667" w:rsidRPr="00316B28" w:rsidRDefault="00C34F83" w:rsidP="00316B28">
            <w:pPr>
              <w:suppressAutoHyphens/>
              <w:spacing w:line="240" w:lineRule="auto"/>
              <w:contextualSpacing/>
              <w:jc w:val="center"/>
              <w:rPr>
                <w:rFonts w:ascii="Calibri" w:eastAsia="Calibri" w:hAnsi="Calibri" w:cs="Calibri"/>
              </w:rPr>
            </w:pPr>
            <w:r>
              <w:rPr>
                <w:rFonts w:ascii="Calibri" w:eastAsia="Calibri" w:hAnsi="Calibri" w:cs="Calibri"/>
              </w:rPr>
              <w:t>4</w:t>
            </w:r>
            <w:r w:rsidRPr="00C34F83">
              <w:rPr>
                <w:rFonts w:ascii="Calibri" w:eastAsia="Calibri" w:hAnsi="Calibri" w:cs="Calibri"/>
              </w:rPr>
              <w:t xml:space="preserve"> hours</w:t>
            </w:r>
          </w:p>
        </w:tc>
      </w:tr>
    </w:tbl>
    <w:p w14:paraId="0FB78278" w14:textId="06535DC9" w:rsidR="00117667" w:rsidRDefault="00395838" w:rsidP="00316B28">
      <w:pPr>
        <w:suppressAutoHyphens/>
        <w:spacing w:line="240" w:lineRule="auto"/>
        <w:contextualSpacing/>
        <w:rPr>
          <w:rFonts w:ascii="Calibri" w:eastAsia="Calibri" w:hAnsi="Calibri" w:cs="Calibri"/>
        </w:rPr>
      </w:pPr>
      <w:r w:rsidRPr="00316B28">
        <w:rPr>
          <w:rFonts w:ascii="Calibri" w:hAnsi="Calibri" w:cs="Calibri"/>
        </w:rPr>
        <w:t>Justification</w:t>
      </w:r>
      <w:r w:rsidR="00812E96" w:rsidRPr="00316B28">
        <w:rPr>
          <w:rFonts w:ascii="Calibri" w:hAnsi="Calibri" w:cs="Calibri"/>
        </w:rPr>
        <w:t>:</w:t>
      </w:r>
      <w:r w:rsidRPr="00316B28">
        <w:rPr>
          <w:rFonts w:ascii="Calibri" w:hAnsi="Calibri" w:cs="Calibri"/>
        </w:rPr>
        <w:t xml:space="preserve"> </w:t>
      </w:r>
    </w:p>
    <w:p w14:paraId="3AD78A3B" w14:textId="07D6AFC1" w:rsidR="00F85A7B" w:rsidRPr="00316B28" w:rsidRDefault="00F85A7B" w:rsidP="00316B28">
      <w:pPr>
        <w:suppressAutoHyphens/>
        <w:spacing w:line="240" w:lineRule="auto"/>
        <w:contextualSpacing/>
        <w:rPr>
          <w:rFonts w:ascii="Calibri" w:hAnsi="Calibri" w:cs="Calibri"/>
        </w:rPr>
      </w:pPr>
      <w:r w:rsidRPr="00F85A7B">
        <w:rPr>
          <w:rFonts w:ascii="Calibri" w:hAnsi="Calibri" w:cs="Calibri"/>
        </w:rPr>
        <w:t>Inventory logging and tracking directly support both sales and financial accuracy. Plants are constantly being added (as they become ready for sale) or removed (through sales, disease, or termination), and this information feeds both the POS system and the Department of Agriculture’s tracking requirements. If product tracking is offline for too long, staff lose visibility into what is available to sell and what has already been written off, which can lead to lost sales, over- or under-ordering, and inaccurate reporting. A 24-hour MTD reflects that the nursery can temporarily track items on paper for a day, but not longer, without introducing significant errors. An RTO of 12 hours aims to restore the system within half a day so that inventory can be reconciled before discrepancies grow. Because the volume of changes can be high, the RPO is set to 4 hours, minimizing how much product-movement data would need to be recreated and reducing the chance of mismatches between physical stock and system records.</w:t>
      </w:r>
    </w:p>
    <w:sectPr w:rsidR="00F85A7B" w:rsidRPr="00316B28" w:rsidSect="000624D0">
      <w:headerReference w:type="default" r:id="rId9"/>
      <w:footerReference w:type="default" r:id="rId10"/>
      <w:pgSz w:w="12240" w:h="15840" w:orient="landscape"/>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039EA" w14:textId="77777777" w:rsidR="00975481" w:rsidRDefault="00975481" w:rsidP="005B3C43">
      <w:pPr>
        <w:spacing w:line="240" w:lineRule="auto"/>
      </w:pPr>
      <w:r>
        <w:separator/>
      </w:r>
    </w:p>
  </w:endnote>
  <w:endnote w:type="continuationSeparator" w:id="0">
    <w:p w14:paraId="7DD3C164" w14:textId="77777777" w:rsidR="00975481" w:rsidRDefault="00975481" w:rsidP="005B3C43">
      <w:pPr>
        <w:spacing w:line="240" w:lineRule="auto"/>
      </w:pPr>
      <w:r>
        <w:continuationSeparator/>
      </w:r>
    </w:p>
  </w:endnote>
  <w:endnote w:type="continuationNotice" w:id="1">
    <w:p w14:paraId="38D2A66B" w14:textId="77777777" w:rsidR="00975481" w:rsidRDefault="0097548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377065"/>
      <w:docPartObj>
        <w:docPartGallery w:val="Page Numbers (Bottom of Page)"/>
        <w:docPartUnique/>
      </w:docPartObj>
    </w:sdtPr>
    <w:sdtEndPr>
      <w:rPr>
        <w:rFonts w:asciiTheme="majorHAnsi" w:hAnsiTheme="majorHAnsi" w:cstheme="majorHAnsi"/>
        <w:noProof/>
      </w:rPr>
    </w:sdtEndPr>
    <w:sdtContent>
      <w:p w14:paraId="34CE0A41" w14:textId="70E89E10" w:rsidR="005B3C43" w:rsidRPr="00E32271" w:rsidRDefault="005B3C43" w:rsidP="00E32271">
        <w:pPr>
          <w:pStyle w:val="Footer"/>
          <w:jc w:val="center"/>
          <w:rPr>
            <w:rFonts w:asciiTheme="majorHAnsi" w:hAnsiTheme="majorHAnsi" w:cstheme="majorHAnsi"/>
          </w:rPr>
        </w:pPr>
        <w:r w:rsidRPr="00E32271">
          <w:rPr>
            <w:rFonts w:asciiTheme="majorHAnsi" w:hAnsiTheme="majorHAnsi" w:cstheme="majorHAnsi"/>
          </w:rPr>
          <w:fldChar w:fldCharType="begin"/>
        </w:r>
        <w:r w:rsidRPr="00E32271">
          <w:rPr>
            <w:rFonts w:asciiTheme="majorHAnsi" w:hAnsiTheme="majorHAnsi" w:cstheme="majorHAnsi"/>
          </w:rPr>
          <w:instrText xml:space="preserve"> PAGE   \* MERGEFORMAT </w:instrText>
        </w:r>
        <w:r w:rsidRPr="00E32271">
          <w:rPr>
            <w:rFonts w:asciiTheme="majorHAnsi" w:hAnsiTheme="majorHAnsi" w:cstheme="majorHAnsi"/>
          </w:rPr>
          <w:fldChar w:fldCharType="separate"/>
        </w:r>
        <w:r w:rsidR="007053E7" w:rsidRPr="00E32271">
          <w:rPr>
            <w:rFonts w:asciiTheme="majorHAnsi" w:hAnsiTheme="majorHAnsi" w:cstheme="majorHAnsi"/>
            <w:noProof/>
          </w:rPr>
          <w:t>1</w:t>
        </w:r>
        <w:r w:rsidRPr="00E32271">
          <w:rPr>
            <w:rFonts w:asciiTheme="majorHAnsi" w:hAnsiTheme="majorHAnsi" w:cstheme="maj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4C2F7" w14:textId="77777777" w:rsidR="00975481" w:rsidRDefault="00975481" w:rsidP="005B3C43">
      <w:pPr>
        <w:spacing w:line="240" w:lineRule="auto"/>
      </w:pPr>
      <w:r>
        <w:separator/>
      </w:r>
    </w:p>
  </w:footnote>
  <w:footnote w:type="continuationSeparator" w:id="0">
    <w:p w14:paraId="60568BD8" w14:textId="77777777" w:rsidR="00975481" w:rsidRDefault="00975481" w:rsidP="005B3C43">
      <w:pPr>
        <w:spacing w:line="240" w:lineRule="auto"/>
      </w:pPr>
      <w:r>
        <w:continuationSeparator/>
      </w:r>
    </w:p>
  </w:footnote>
  <w:footnote w:type="continuationNotice" w:id="1">
    <w:p w14:paraId="6E820234" w14:textId="77777777" w:rsidR="00975481" w:rsidRDefault="0097548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A12B" w14:textId="5D352AA9" w:rsidR="005B3C43" w:rsidRDefault="00F5144E" w:rsidP="005B3C43">
    <w:pPr>
      <w:pStyle w:val="Header"/>
      <w:suppressAutoHyphens/>
      <w:spacing w:after="200"/>
      <w:jc w:val="center"/>
    </w:pPr>
    <w:r>
      <w:rPr>
        <w:noProof/>
      </w:rPr>
      <w:drawing>
        <wp:inline distT="0" distB="0" distL="0" distR="0" wp14:anchorId="5BB28317" wp14:editId="6A5BE032">
          <wp:extent cx="1104900" cy="476250"/>
          <wp:effectExtent l="0" t="0" r="0" b="0"/>
          <wp:docPr id="3"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ztDC2NDIzMTcysjRT0lEKTi0uzszPAykwqgUAQOyVWCwAAAA="/>
  </w:docVars>
  <w:rsids>
    <w:rsidRoot w:val="00117667"/>
    <w:rsid w:val="00005CF2"/>
    <w:rsid w:val="00032B6E"/>
    <w:rsid w:val="000624D0"/>
    <w:rsid w:val="000A22B4"/>
    <w:rsid w:val="000B5D1F"/>
    <w:rsid w:val="00117667"/>
    <w:rsid w:val="001670AB"/>
    <w:rsid w:val="002612D0"/>
    <w:rsid w:val="00316B28"/>
    <w:rsid w:val="00370A92"/>
    <w:rsid w:val="00372C8B"/>
    <w:rsid w:val="00392AA6"/>
    <w:rsid w:val="00395838"/>
    <w:rsid w:val="003E697A"/>
    <w:rsid w:val="00444893"/>
    <w:rsid w:val="005650D2"/>
    <w:rsid w:val="005777E6"/>
    <w:rsid w:val="005B3C43"/>
    <w:rsid w:val="00637458"/>
    <w:rsid w:val="006F0194"/>
    <w:rsid w:val="007053E7"/>
    <w:rsid w:val="007247B9"/>
    <w:rsid w:val="00727195"/>
    <w:rsid w:val="007612D0"/>
    <w:rsid w:val="00771862"/>
    <w:rsid w:val="008030B1"/>
    <w:rsid w:val="00812E96"/>
    <w:rsid w:val="00857B0D"/>
    <w:rsid w:val="00860756"/>
    <w:rsid w:val="008978C7"/>
    <w:rsid w:val="008B0F52"/>
    <w:rsid w:val="008B406A"/>
    <w:rsid w:val="008E5DEE"/>
    <w:rsid w:val="009212A1"/>
    <w:rsid w:val="0093386A"/>
    <w:rsid w:val="00972C9F"/>
    <w:rsid w:val="00975481"/>
    <w:rsid w:val="009E3FAB"/>
    <w:rsid w:val="00A01575"/>
    <w:rsid w:val="00A407F8"/>
    <w:rsid w:val="00A52CCA"/>
    <w:rsid w:val="00AA55AB"/>
    <w:rsid w:val="00AB0743"/>
    <w:rsid w:val="00AE79C4"/>
    <w:rsid w:val="00AF6264"/>
    <w:rsid w:val="00BB7C69"/>
    <w:rsid w:val="00BD78F8"/>
    <w:rsid w:val="00BE79DE"/>
    <w:rsid w:val="00C34F83"/>
    <w:rsid w:val="00C47DF3"/>
    <w:rsid w:val="00CC150B"/>
    <w:rsid w:val="00D42A8C"/>
    <w:rsid w:val="00D6435C"/>
    <w:rsid w:val="00DC1E79"/>
    <w:rsid w:val="00E32271"/>
    <w:rsid w:val="00E65B12"/>
    <w:rsid w:val="00F5144E"/>
    <w:rsid w:val="00F85A7B"/>
    <w:rsid w:val="5F744A73"/>
    <w:rsid w:val="7305C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3B40D"/>
  <w15:docId w15:val="{DCC6DA75-7F63-45CC-B9CD-31AF26CFE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053E7"/>
  </w:style>
  <w:style w:type="paragraph" w:styleId="Heading1">
    <w:name w:val="heading 1"/>
    <w:basedOn w:val="Normal"/>
    <w:next w:val="Normal"/>
    <w:rsid w:val="00316B28"/>
    <w:pPr>
      <w:suppressAutoHyphens/>
      <w:spacing w:line="240" w:lineRule="auto"/>
      <w:contextualSpacing/>
      <w:jc w:val="center"/>
      <w:outlineLvl w:val="0"/>
    </w:pPr>
    <w:rPr>
      <w:rFonts w:ascii="Calibri" w:eastAsia="Calibri" w:hAnsi="Calibri" w:cs="Calibri"/>
      <w:b/>
      <w:sz w:val="24"/>
      <w:szCs w:val="24"/>
      <w:lang w:val="en-US"/>
    </w:rPr>
  </w:style>
  <w:style w:type="paragraph" w:styleId="Heading2">
    <w:name w:val="heading 2"/>
    <w:basedOn w:val="Normal"/>
    <w:next w:val="Normal"/>
    <w:rsid w:val="00316B28"/>
    <w:pPr>
      <w:suppressAutoHyphens/>
      <w:spacing w:line="240" w:lineRule="auto"/>
      <w:contextualSpacing/>
      <w:outlineLvl w:val="1"/>
    </w:pPr>
    <w:rPr>
      <w:rFonts w:ascii="Calibri" w:hAnsi="Calibri" w:cs="Calibri"/>
      <w:b/>
      <w:bCs/>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5B3C43"/>
    <w:pPr>
      <w:tabs>
        <w:tab w:val="center" w:pos="4680"/>
        <w:tab w:val="right" w:pos="9360"/>
      </w:tabs>
      <w:spacing w:line="240" w:lineRule="auto"/>
    </w:pPr>
  </w:style>
  <w:style w:type="character" w:customStyle="1" w:styleId="HeaderChar">
    <w:name w:val="Header Char"/>
    <w:basedOn w:val="DefaultParagraphFont"/>
    <w:link w:val="Header"/>
    <w:uiPriority w:val="99"/>
    <w:rsid w:val="005B3C43"/>
  </w:style>
  <w:style w:type="paragraph" w:styleId="Footer">
    <w:name w:val="footer"/>
    <w:basedOn w:val="Normal"/>
    <w:link w:val="FooterChar"/>
    <w:uiPriority w:val="99"/>
    <w:unhideWhenUsed/>
    <w:rsid w:val="005B3C43"/>
    <w:pPr>
      <w:tabs>
        <w:tab w:val="center" w:pos="4680"/>
        <w:tab w:val="right" w:pos="9360"/>
      </w:tabs>
      <w:spacing w:line="240" w:lineRule="auto"/>
    </w:pPr>
  </w:style>
  <w:style w:type="character" w:customStyle="1" w:styleId="FooterChar">
    <w:name w:val="Footer Char"/>
    <w:basedOn w:val="DefaultParagraphFont"/>
    <w:link w:val="Footer"/>
    <w:uiPriority w:val="99"/>
    <w:rsid w:val="005B3C43"/>
  </w:style>
  <w:style w:type="paragraph" w:styleId="BalloonText">
    <w:name w:val="Balloon Text"/>
    <w:basedOn w:val="Normal"/>
    <w:link w:val="BalloonTextChar"/>
    <w:uiPriority w:val="99"/>
    <w:semiHidden/>
    <w:unhideWhenUsed/>
    <w:rsid w:val="00032B6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2B6E"/>
    <w:rPr>
      <w:rFonts w:ascii="Tahoma" w:hAnsi="Tahoma" w:cs="Tahoma"/>
      <w:sz w:val="16"/>
      <w:szCs w:val="16"/>
    </w:rPr>
  </w:style>
  <w:style w:type="paragraph" w:styleId="Revision">
    <w:name w:val="Revision"/>
    <w:hidden/>
    <w:uiPriority w:val="99"/>
    <w:semiHidden/>
    <w:rsid w:val="00C47DF3"/>
    <w:pPr>
      <w:spacing w:line="240" w:lineRule="auto"/>
    </w:pPr>
  </w:style>
  <w:style w:type="table" w:styleId="TableGrid">
    <w:name w:val="Table Grid"/>
    <w:basedOn w:val="TableNormal"/>
    <w:uiPriority w:val="39"/>
    <w:rsid w:val="008E5D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8A6E07-2453-4731-9CFB-FF459ED3474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634D5A37-03E8-48B0-967C-F7686FD7288B}">
  <ds:schemaRefs>
    <ds:schemaRef ds:uri="http://schemas.microsoft.com/sharepoint/v3/contenttype/forms"/>
  </ds:schemaRefs>
</ds:datastoreItem>
</file>

<file path=customXml/itemProps3.xml><?xml version="1.0" encoding="utf-8"?>
<ds:datastoreItem xmlns:ds="http://schemas.openxmlformats.org/officeDocument/2006/customXml" ds:itemID="{599A600F-50F2-4E51-B372-D37779D0AB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874</Words>
  <Characters>4983</Characters>
  <Application>Microsoft Office Word</Application>
  <DocSecurity>0</DocSecurity>
  <Lines>41</Lines>
  <Paragraphs>11</Paragraphs>
  <ScaleCrop>false</ScaleCrop>
  <Company>SNHU</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410 Project One Stepping Stone Two Template</dc:title>
  <dc:subject/>
  <dc:creator>Nadeau, Lynne</dc:creator>
  <cp:keywords/>
  <cp:lastModifiedBy>Poritosh Mridha</cp:lastModifiedBy>
  <cp:revision>12</cp:revision>
  <dcterms:created xsi:type="dcterms:W3CDTF">2024-04-15T01:33:00Z</dcterms:created>
  <dcterms:modified xsi:type="dcterms:W3CDTF">2025-11-24T04:33:00Z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9810700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5bdab407927c2a38845bfcaa607f2a4296ce8dcdd30266f40524339e43ed8574</vt:lpwstr>
  </property>
  <property fmtid="{D5CDD505-2E9C-101B-9397-08002B2CF9AE}" pid="12" name="_SourceUrl">
    <vt:lpwstr/>
  </property>
  <property fmtid="{D5CDD505-2E9C-101B-9397-08002B2CF9AE}" pid="13" name="_SharedFileIndex">
    <vt:lpwstr/>
  </property>
</Properties>
</file>