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E293B"/>
          <w:sz w:val="28"/>
        </w:rPr>
        <w:t>CHRIST (Deemed to be University), Bengaluru</w:t>
        <w:br/>
      </w:r>
      <w:r>
        <w:rPr>
          <w:b w:val="0"/>
          <w:sz w:val="24"/>
        </w:rPr>
        <w:t>Department of Computer Science</w:t>
        <w:br/>
        <w:br/>
      </w:r>
      <w:r>
        <w:rPr>
          <w:i/>
          <w:sz w:val="22"/>
        </w:rPr>
        <w:t>Course Code: MCA413-1 | Course: Full Stack Development</w:t>
        <w:br/>
      </w:r>
    </w:p>
    <w:p>
      <w:pPr>
        <w:spacing w:after="480"/>
      </w:pPr>
    </w:p>
    <w:p>
      <w:pPr>
        <w:spacing w:after="120"/>
        <w:jc w:val="center"/>
      </w:pPr>
      <w:r>
        <w:rPr>
          <w:b/>
          <w:color w:val="1D4ED8"/>
          <w:sz w:val="56"/>
        </w:rPr>
        <w:t>NexusCRM</w:t>
      </w:r>
    </w:p>
    <w:p>
      <w:pPr>
        <w:spacing w:after="720"/>
        <w:jc w:val="center"/>
      </w:pPr>
      <w:r>
        <w:rPr>
          <w:color w:val="475569"/>
          <w:sz w:val="28"/>
        </w:rPr>
        <w:t>AI-Powered Service Request Management &amp; Customer Support System</w:t>
        <w:br/>
      </w:r>
    </w:p>
    <w:p>
      <w:pPr>
        <w:spacing w:after="960"/>
      </w:pPr>
    </w:p>
    <w:p>
      <w:pPr>
        <w:jc w:val="center"/>
      </w:pPr>
      <w:r>
        <w:rPr>
          <w:b/>
          <w:sz w:val="24"/>
        </w:rPr>
        <w:t>CIA-IB: Problem Solving + Prototyping + Documentation</w:t>
        <w:br/>
        <w:br/>
      </w:r>
      <w:r>
        <w:rPr>
          <w:sz w:val="22"/>
        </w:rPr>
        <w:t>Submitted By:</w:t>
        <w:br/>
        <w:t>Mahak Jain</w:t>
        <w:br/>
        <w:t>(Register No: 2647235)</w:t>
        <w:br/>
        <w:br/>
        <w:t>Date: June 20, 2026</w:t>
      </w:r>
    </w:p>
    <w:p>
      <w:r>
        <w:br w:type="page"/>
      </w:r>
    </w:p>
    <w:p>
      <w:pPr>
        <w:pStyle w:val="Heading1"/>
        <w:keepNext/>
        <w:spacing w:before="240" w:after="120"/>
      </w:pPr>
      <w:r>
        <w:rPr>
          <w:rFonts w:ascii="Segoe UI" w:hAnsi="Segoe UI"/>
          <w:b/>
          <w:color w:val="1D4ED8"/>
          <w:sz w:val="36"/>
        </w:rPr>
        <w:t>1. Problem Statement</w:t>
      </w:r>
    </w:p>
    <w:p>
      <w:pPr>
        <w:spacing w:after="200" w:line="276" w:lineRule="auto"/>
      </w:pPr>
      <w:r>
        <w:t>Large enterprises receive thousands of customer service requests through emails, portals, and support channels every month. Support agents spend significant time manually categorizing tickets, assigning priorities, tracking requests, and drafting repetitive customer responses. This leads to slower resolution times, inconsistent communication, and reduced customer satisfaction.</w:t>
      </w:r>
    </w:p>
    <w:p>
      <w:pPr>
        <w:spacing w:after="200" w:line="276" w:lineRule="auto"/>
      </w:pPr>
      <w:r>
        <w:t>NexusCRM addresses this challenge by providing an AI-powered enterprise service request management platform that centralizes ticket handling, automates workflow management, and generates intelligent email response drafts for support teams, improving operational efficiency and customer experience.</w:t>
      </w:r>
    </w:p>
    <w:p>
      <w:pPr>
        <w:pStyle w:val="Heading1"/>
        <w:keepNext/>
        <w:spacing w:before="240" w:after="120"/>
      </w:pPr>
      <w:r>
        <w:rPr>
          <w:rFonts w:ascii="Segoe UI" w:hAnsi="Segoe UI"/>
          <w:b/>
          <w:color w:val="1D4ED8"/>
          <w:sz w:val="36"/>
        </w:rPr>
        <w:t>2. Target Users</w:t>
      </w:r>
    </w:p>
    <w:p>
      <w:pPr>
        <w:spacing w:after="160"/>
      </w:pPr>
      <w:r>
        <w:t>The platform is designed to serve a dual audience in the enterprise support ecosystem:</w:t>
      </w:r>
    </w:p>
    <w:p>
      <w:pPr>
        <w:pStyle w:val="ListBullet"/>
        <w:spacing w:after="80"/>
      </w:pPr>
      <w:r>
        <w:rPr>
          <w:b/>
        </w:rPr>
        <w:t xml:space="preserve">Customer Support Agents: </w:t>
      </w:r>
      <w:r>
        <w:t>Support representatives who monitor, triage, and resolve incoming service requests. They benefit from automated categorization, drag-and-drop status tracking, and instant AI-drafted email responses that accelerate response times.</w:t>
      </w:r>
    </w:p>
    <w:p>
      <w:pPr>
        <w:pStyle w:val="ListBullet"/>
        <w:spacing w:after="80"/>
      </w:pPr>
      <w:r>
        <w:rPr>
          <w:b/>
        </w:rPr>
        <w:t xml:space="preserve">Enterprise Customers / Users: </w:t>
      </w:r>
      <w:r>
        <w:t>End-users who submit requests, track resolution progress in real-time, view detailed status information, and submit feedback upon ticket resolution.</w:t>
      </w:r>
    </w:p>
    <w:p>
      <w:pPr>
        <w:pStyle w:val="ListBullet"/>
        <w:spacing w:after="160"/>
      </w:pPr>
      <w:r>
        <w:rPr>
          <w:b/>
        </w:rPr>
        <w:t xml:space="preserve">Support Managers / Administrators: </w:t>
      </w:r>
      <w:r>
        <w:t>Supervisors who oversee ticket volumes, evaluate satisfaction ratings, assign tasks, and analyze team performance metrics.</w:t>
      </w:r>
    </w:p>
    <w:p>
      <w:pPr>
        <w:pStyle w:val="Heading1"/>
        <w:keepNext/>
        <w:spacing w:before="240" w:after="120"/>
      </w:pPr>
      <w:r>
        <w:rPr>
          <w:rFonts w:ascii="Segoe UI" w:hAnsi="Segoe UI"/>
          <w:b/>
          <w:color w:val="1D4ED8"/>
          <w:sz w:val="36"/>
        </w:rPr>
        <w:t>3. Features Implemented</w:t>
      </w:r>
    </w:p>
    <w:p>
      <w:pPr>
        <w:pStyle w:val="Heading2"/>
        <w:keepNext/>
        <w:spacing w:before="240" w:after="120"/>
      </w:pPr>
      <w:r>
        <w:rPr>
          <w:rFonts w:ascii="Segoe UI" w:hAnsi="Segoe UI"/>
          <w:b/>
          <w:color w:val="1E293B"/>
          <w:sz w:val="28"/>
        </w:rPr>
        <w:t>3.1 Interactive Landing Page</w:t>
      </w:r>
    </w:p>
    <w:p>
      <w:pPr>
        <w:spacing w:after="160"/>
      </w:pPr>
      <w:r>
        <w:t>The landing page provides a modern, unified entry portal. It guides users to the Customer Portal or Agent Dashboard, shows high-level stats (Total Tickets, Open Requests, Resolved Queries, Average Resolution Time), and outlines key platform benefits in a responsive grid layout.</w:t>
      </w:r>
    </w:p>
    <w:p>
      <w:pPr>
        <w:pStyle w:val="Heading2"/>
        <w:keepNext/>
        <w:spacing w:before="240" w:after="120"/>
      </w:pPr>
      <w:r>
        <w:rPr>
          <w:rFonts w:ascii="Segoe UI" w:hAnsi="Segoe UI"/>
          <w:b/>
          <w:color w:val="1E293B"/>
          <w:sz w:val="28"/>
        </w:rPr>
        <w:t>3.2 Customer Portal</w:t>
      </w:r>
    </w:p>
    <w:p>
      <w:pPr>
        <w:spacing w:after="160"/>
      </w:pPr>
      <w:r>
        <w:t>The User Portal allows customers to submit new tickets and track existing ones. Key features include:</w:t>
      </w:r>
    </w:p>
    <w:p>
      <w:pPr>
        <w:pStyle w:val="ListBullet"/>
        <w:spacing w:after="60"/>
      </w:pPr>
      <w:r>
        <w:t>Email-based Profile Loading: Dynamically fetches active and past tickets associated with the user.</w:t>
      </w:r>
    </w:p>
    <w:p>
      <w:pPr>
        <w:pStyle w:val="ListBullet"/>
        <w:spacing w:after="60"/>
      </w:pPr>
      <w:r>
        <w:t>New Service Request Form: Includes client-side validations for email formatting, inputs, and priority.</w:t>
      </w:r>
    </w:p>
    <w:p>
      <w:pPr>
        <w:pStyle w:val="ListBullet"/>
        <w:spacing w:after="60"/>
      </w:pPr>
      <w:r>
        <w:t>HTML5 Geolocation API: Captures customer coordinates during submission to assist in assigning local technicians.</w:t>
      </w:r>
    </w:p>
    <w:p>
      <w:pPr>
        <w:pStyle w:val="ListBullet"/>
        <w:spacing w:after="60"/>
      </w:pPr>
      <w:r>
        <w:t>Feedback System: Allows users to submit a satisfaction rating (1-5 stars) and comments on resolved tickets.</w:t>
      </w:r>
    </w:p>
    <w:p>
      <w:pPr>
        <w:pStyle w:val="ListBullet"/>
        <w:spacing w:after="160"/>
      </w:pPr>
      <w:r>
        <w:t>Offline Resiliency: Submissions are cached in browser LocalStorage when the API server is unavailable.</w:t>
      </w:r>
    </w:p>
    <w:p>
      <w:pPr>
        <w:pStyle w:val="Heading2"/>
        <w:keepNext/>
        <w:spacing w:before="240" w:after="120"/>
      </w:pPr>
      <w:r>
        <w:rPr>
          <w:rFonts w:ascii="Segoe UI" w:hAnsi="Segoe UI"/>
          <w:b/>
          <w:color w:val="1E293B"/>
          <w:sz w:val="28"/>
        </w:rPr>
        <w:t>3.3 Agent Dashboard &amp; Kanban Board</w:t>
      </w:r>
    </w:p>
    <w:p>
      <w:pPr>
        <w:spacing w:after="160"/>
      </w:pPr>
      <w:r>
        <w:t>The Agent Dashboard provides support representatives with visual tracking and management tools:</w:t>
      </w:r>
    </w:p>
    <w:p>
      <w:pPr>
        <w:pStyle w:val="ListBullet"/>
        <w:spacing w:after="60"/>
      </w:pPr>
      <w:r>
        <w:t>HTML5 Drag and Drop API: Enables moving tickets across status columns (Open, In Progress, Resolved).</w:t>
      </w:r>
    </w:p>
    <w:p>
      <w:pPr>
        <w:pStyle w:val="ListBullet"/>
        <w:spacing w:after="60"/>
      </w:pPr>
      <w:r>
        <w:t>Status Sync: Transitions automatically trigger PUT calls to update database status in real-time.</w:t>
      </w:r>
    </w:p>
    <w:p>
      <w:pPr>
        <w:pStyle w:val="ListBullet"/>
        <w:spacing w:after="60"/>
      </w:pPr>
      <w:r>
        <w:t>Filters &amp; Search: Real-time search bar and priority-based filters update UI instantly.</w:t>
      </w:r>
    </w:p>
    <w:p>
      <w:pPr>
        <w:pStyle w:val="ListBullet"/>
        <w:spacing w:after="160"/>
      </w:pPr>
      <w:r>
        <w:t>AI-Generated Drafts: Opens an overlay window where agents review an AI-structured email response, edit it, and send.</w:t>
      </w:r>
    </w:p>
    <w:p>
      <w:pPr>
        <w:pStyle w:val="Heading2"/>
        <w:keepNext/>
        <w:spacing w:before="240" w:after="120"/>
      </w:pPr>
      <w:r>
        <w:rPr>
          <w:rFonts w:ascii="Segoe UI" w:hAnsi="Segoe UI"/>
          <w:b/>
          <w:color w:val="1E293B"/>
          <w:sz w:val="28"/>
        </w:rPr>
        <w:t>3.4 Interactive Ticket Management Workflow</w:t>
      </w:r>
    </w:p>
    <w:p>
      <w:pPr>
        <w:spacing w:after="160"/>
      </w:pPr>
      <w:r>
        <w:t>Users can create, track, update, and manage service requests through an interactive interface.</w:t>
      </w:r>
    </w:p>
    <w:p>
      <w:pPr>
        <w:pStyle w:val="Heading1"/>
        <w:keepNext/>
        <w:spacing w:before="240" w:after="120"/>
      </w:pPr>
      <w:r>
        <w:rPr>
          <w:rFonts w:ascii="Segoe UI" w:hAnsi="Segoe UI"/>
          <w:b/>
          <w:color w:val="1D4ED8"/>
          <w:sz w:val="36"/>
        </w:rPr>
        <w:t>4. Technologies Used</w:t>
      </w:r>
    </w:p>
    <w:p>
      <w:pPr>
        <w:pStyle w:val="Heading2"/>
        <w:keepNext/>
        <w:spacing w:before="240" w:after="120"/>
      </w:pPr>
      <w:r>
        <w:rPr>
          <w:rFonts w:ascii="Segoe UI" w:hAnsi="Segoe UI"/>
          <w:b/>
          <w:color w:val="1E293B"/>
          <w:sz w:val="28"/>
        </w:rPr>
        <w:t>4.1 Technology Stack &amp; APIs</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40" w:type="dxa"/>
              <w:bottom w:w="140" w:type="dxa"/>
              <w:left w:w="150" w:type="dxa"/>
              <w:right w:w="150" w:type="dxa"/>
            </w:tcMar>
          </w:tcPr>
          <w:p>
            <w:r>
              <w:rPr>
                <w:b/>
              </w:rPr>
              <w:t>Layer</w:t>
            </w:r>
          </w:p>
        </w:tc>
        <w:tc>
          <w:tcPr>
            <w:tcW w:type="dxa" w:w="3120"/>
            <w:tcMar>
              <w:top w:w="140" w:type="dxa"/>
              <w:bottom w:w="140" w:type="dxa"/>
              <w:left w:w="150" w:type="dxa"/>
              <w:right w:w="150" w:type="dxa"/>
            </w:tcMar>
          </w:tcPr>
          <w:p>
            <w:r>
              <w:rPr>
                <w:b/>
              </w:rPr>
              <w:t>Technology</w:t>
            </w:r>
          </w:p>
        </w:tc>
        <w:tc>
          <w:tcPr>
            <w:tcW w:type="dxa" w:w="3120"/>
            <w:tcMar>
              <w:top w:w="140" w:type="dxa"/>
              <w:bottom w:w="140" w:type="dxa"/>
              <w:left w:w="150" w:type="dxa"/>
              <w:right w:w="150" w:type="dxa"/>
            </w:tcMar>
          </w:tcPr>
          <w:p>
            <w:r>
              <w:rPr>
                <w:b/>
              </w:rPr>
              <w:t>Purpose &amp; Features Utilized</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HTML5</w:t>
            </w:r>
          </w:p>
        </w:tc>
        <w:tc>
          <w:tcPr>
            <w:tcW w:type="dxa" w:w="3120"/>
            <w:tcMar>
              <w:top w:w="100" w:type="dxa"/>
              <w:bottom w:w="100" w:type="dxa"/>
              <w:left w:w="150" w:type="dxa"/>
              <w:right w:w="150" w:type="dxa"/>
            </w:tcMar>
          </w:tcPr>
          <w:p>
            <w:r>
              <w:t>Structural layout using semantic tags (&lt;header&gt;, &lt;nav&gt;, &lt;main&gt;, &lt;footer&gt;) for layout structure and accessibility.</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Tailwind CSS</w:t>
            </w:r>
          </w:p>
        </w:tc>
        <w:tc>
          <w:tcPr>
            <w:tcW w:type="dxa" w:w="3120"/>
            <w:tcMar>
              <w:top w:w="100" w:type="dxa"/>
              <w:bottom w:w="100" w:type="dxa"/>
              <w:left w:w="150" w:type="dxa"/>
              <w:right w:w="150" w:type="dxa"/>
            </w:tcMar>
          </w:tcPr>
          <w:p>
            <w:r>
              <w:t>Responsive UI styling compiled locally via CLI, establishing responsive grids, modern layouts, and premium themes.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JavaScript (ES6)</w:t>
            </w:r>
          </w:p>
        </w:tc>
        <w:tc>
          <w:tcPr>
            <w:tcW w:type="dxa" w:w="3120"/>
            <w:tcMar>
              <w:top w:w="100" w:type="dxa"/>
              <w:bottom w:w="100" w:type="dxa"/>
              <w:left w:w="150" w:type="dxa"/>
              <w:right w:w="150" w:type="dxa"/>
            </w:tcMar>
          </w:tcPr>
          <w:p>
            <w:r>
              <w:t>Handles client-side logic, priority configuration updates, input forms, and dynamic interactions.</w:t>
            </w:r>
          </w:p>
        </w:tc>
      </w:tr>
      <w:tr>
        <w:tc>
          <w:tcPr>
            <w:tcW w:type="dxa" w:w="3120"/>
            <w:tcMar>
              <w:top w:w="100" w:type="dxa"/>
              <w:bottom w:w="100" w:type="dxa"/>
              <w:left w:w="150" w:type="dxa"/>
              <w:right w:w="150" w:type="dxa"/>
            </w:tcMar>
          </w:tcPr>
          <w:p>
            <w:r>
              <w:t>Browser Features</w:t>
            </w:r>
          </w:p>
        </w:tc>
        <w:tc>
          <w:tcPr>
            <w:tcW w:type="dxa" w:w="3120"/>
            <w:tcMar>
              <w:top w:w="100" w:type="dxa"/>
              <w:bottom w:w="100" w:type="dxa"/>
              <w:left w:w="150" w:type="dxa"/>
              <w:right w:w="150" w:type="dxa"/>
            </w:tcMar>
          </w:tcPr>
          <w:p>
            <w:r>
              <w:t>Geolocation API</w:t>
            </w:r>
          </w:p>
        </w:tc>
        <w:tc>
          <w:tcPr>
            <w:tcW w:type="dxa" w:w="3120"/>
            <w:tcMar>
              <w:top w:w="100" w:type="dxa"/>
              <w:bottom w:w="100" w:type="dxa"/>
              <w:left w:w="150" w:type="dxa"/>
              <w:right w:w="150" w:type="dxa"/>
            </w:tcMar>
          </w:tcPr>
          <w:p>
            <w:r>
              <w:t>Captures client geolocation coordinates to attach location tagging data to service request forms.</w:t>
            </w:r>
          </w:p>
        </w:tc>
      </w:tr>
      <w:tr>
        <w:tc>
          <w:tcPr>
            <w:tcW w:type="dxa" w:w="3120"/>
            <w:tcMar>
              <w:top w:w="100" w:type="dxa"/>
              <w:bottom w:w="100" w:type="dxa"/>
              <w:left w:w="150" w:type="dxa"/>
              <w:right w:w="150" w:type="dxa"/>
            </w:tcMar>
          </w:tcPr>
          <w:p>
            <w:r>
              <w:t>Browser Features</w:t>
            </w:r>
          </w:p>
        </w:tc>
        <w:tc>
          <w:tcPr>
            <w:tcW w:type="dxa" w:w="3120"/>
            <w:tcMar>
              <w:top w:w="100" w:type="dxa"/>
              <w:bottom w:w="100" w:type="dxa"/>
              <w:left w:w="150" w:type="dxa"/>
              <w:right w:w="150" w:type="dxa"/>
            </w:tcMar>
          </w:tcPr>
          <w:p>
            <w:r>
              <w:t>Local Storage API</w:t>
            </w:r>
          </w:p>
        </w:tc>
        <w:tc>
          <w:tcPr>
            <w:tcW w:type="dxa" w:w="3120"/>
            <w:tcMar>
              <w:top w:w="100" w:type="dxa"/>
              <w:bottom w:w="100" w:type="dxa"/>
              <w:left w:w="150" w:type="dxa"/>
              <w:right w:w="150" w:type="dxa"/>
            </w:tcMar>
          </w:tcPr>
          <w:p>
            <w:r>
              <w:t>Caches ticket data client-side, enabling robust offline operations when network status changes.</w:t>
            </w:r>
          </w:p>
        </w:tc>
      </w:tr>
      <w:tr>
        <w:tc>
          <w:tcPr>
            <w:tcW w:type="dxa" w:w="3120"/>
            <w:tcMar>
              <w:top w:w="100" w:type="dxa"/>
              <w:bottom w:w="100" w:type="dxa"/>
              <w:left w:w="150" w:type="dxa"/>
              <w:right w:w="150" w:type="dxa"/>
            </w:tcMar>
          </w:tcPr>
          <w:p>
            <w:r>
              <w:t>Browser Features</w:t>
            </w:r>
          </w:p>
        </w:tc>
        <w:tc>
          <w:tcPr>
            <w:tcW w:type="dxa" w:w="3120"/>
            <w:tcMar>
              <w:top w:w="100" w:type="dxa"/>
              <w:bottom w:w="100" w:type="dxa"/>
              <w:left w:w="150" w:type="dxa"/>
              <w:right w:w="150" w:type="dxa"/>
            </w:tcMar>
          </w:tcPr>
          <w:p>
            <w:r>
              <w:t>Drag and Drop API</w:t>
            </w:r>
          </w:p>
        </w:tc>
        <w:tc>
          <w:tcPr>
            <w:tcW w:type="dxa" w:w="3120"/>
            <w:tcMar>
              <w:top w:w="100" w:type="dxa"/>
              <w:bottom w:w="100" w:type="dxa"/>
              <w:left w:w="150" w:type="dxa"/>
              <w:right w:w="150" w:type="dxa"/>
            </w:tcMar>
          </w:tcPr>
          <w:p>
            <w:r>
              <w:t>Enables status management on the Kanban board by allowing agents to move cards between columns.</w:t>
            </w:r>
          </w:p>
        </w:tc>
      </w:tr>
    </w:tbl>
    <w:p>
      <w:pPr>
        <w:spacing w:after="240"/>
      </w:pPr>
    </w:p>
    <w:p>
      <w:pPr>
        <w:pStyle w:val="Heading2"/>
        <w:keepNext/>
        <w:spacing w:before="240" w:after="120"/>
      </w:pPr>
      <w:r>
        <w:rPr>
          <w:rFonts w:ascii="Segoe UI" w:hAnsi="Segoe UI"/>
          <w:b/>
          <w:color w:val="1E293B"/>
          <w:sz w:val="28"/>
        </w:rPr>
        <w:t>4.2 JavaScript Event Handling</w:t>
      </w:r>
    </w:p>
    <w:p>
      <w:pPr>
        <w:spacing w:after="160"/>
      </w:pPr>
      <w:r>
        <w:t>The interactive prototype implements client-side JavaScript event listeners to provide dynamic features:</w:t>
      </w:r>
    </w:p>
    <w:p>
      <w:pPr>
        <w:pStyle w:val="ListBullet"/>
        <w:spacing w:after="60"/>
      </w:pPr>
      <w:r>
        <w:rPr>
          <w:b/>
        </w:rPr>
        <w:t xml:space="preserve">onclick – </w:t>
      </w:r>
      <w:r>
        <w:t>Used for submitting service requests and triggering the AI email draft response overlay modal.</w:t>
      </w:r>
    </w:p>
    <w:p>
      <w:pPr>
        <w:pStyle w:val="ListBullet"/>
        <w:spacing w:after="60"/>
      </w:pPr>
      <w:r>
        <w:rPr>
          <w:b/>
        </w:rPr>
        <w:t xml:space="preserve">onchange – </w:t>
      </w:r>
      <w:r>
        <w:t>Used for capturing category and priority selections, updating UI elements dynamically.</w:t>
      </w:r>
    </w:p>
    <w:p>
      <w:pPr>
        <w:pStyle w:val="ListBullet"/>
        <w:spacing w:after="60"/>
      </w:pPr>
      <w:r>
        <w:rPr>
          <w:b/>
        </w:rPr>
        <w:t xml:space="preserve">oninput – </w:t>
      </w:r>
      <w:r>
        <w:t>Used for live input validation and character counting in description fields.</w:t>
      </w:r>
    </w:p>
    <w:p>
      <w:pPr>
        <w:pStyle w:val="ListBullet"/>
        <w:spacing w:after="60"/>
      </w:pPr>
      <w:r>
        <w:rPr>
          <w:b/>
        </w:rPr>
        <w:t xml:space="preserve">onsubmit – </w:t>
      </w:r>
      <w:r>
        <w:t>Used to validate the customer form fields before proceeding with submission operations.</w:t>
      </w:r>
    </w:p>
    <w:p>
      <w:pPr>
        <w:pStyle w:val="ListBullet"/>
        <w:spacing w:after="60"/>
      </w:pPr>
      <w:r>
        <w:rPr>
          <w:b/>
        </w:rPr>
        <w:t xml:space="preserve">keyup – </w:t>
      </w:r>
      <w:r>
        <w:t>Used for real-time ticket search and priority-based filtering on the dashboard.</w:t>
      </w:r>
    </w:p>
    <w:p>
      <w:pPr>
        <w:pStyle w:val="ListBullet"/>
        <w:spacing w:after="60"/>
      </w:pPr>
      <w:r>
        <w:rPr>
          <w:b/>
        </w:rPr>
        <w:t xml:space="preserve">Drag and Drop Events – </w:t>
      </w:r>
      <w:r>
        <w:t>Used for moving tickets between columns (dragstart, dragover, drop) to update ticket status.</w:t>
      </w:r>
    </w:p>
    <w:p>
      <w:pPr>
        <w:spacing w:after="240"/>
      </w:pPr>
    </w:p>
    <w:p>
      <w:pPr>
        <w:pStyle w:val="Heading1"/>
        <w:keepNext/>
        <w:spacing w:before="240" w:after="120"/>
      </w:pPr>
      <w:r>
        <w:rPr>
          <w:rFonts w:ascii="Segoe UI" w:hAnsi="Segoe UI"/>
          <w:b/>
          <w:color w:val="1D4ED8"/>
          <w:sz w:val="36"/>
        </w:rPr>
        <w:t>5. Limitations and Future Scope</w:t>
      </w:r>
    </w:p>
    <w:p>
      <w:pPr>
        <w:pStyle w:val="Heading2"/>
        <w:keepNext/>
        <w:spacing w:before="240" w:after="120"/>
      </w:pPr>
      <w:r>
        <w:rPr>
          <w:rFonts w:ascii="Segoe UI" w:hAnsi="Segoe UI"/>
          <w:b/>
          <w:color w:val="1E293B"/>
          <w:sz w:val="28"/>
        </w:rPr>
        <w:t>5.1 Limitations</w:t>
      </w:r>
    </w:p>
    <w:p>
      <w:pPr>
        <w:pStyle w:val="ListBullet"/>
        <w:spacing w:after="60"/>
      </w:pPr>
      <w:r>
        <w:t>Browser Geolocation relies on active user permission, which can be denied by default in strict environments.</w:t>
      </w:r>
    </w:p>
    <w:p>
      <w:pPr>
        <w:pStyle w:val="ListBullet"/>
        <w:spacing w:after="60"/>
      </w:pPr>
      <w:r>
        <w:t>The AI Email Drafts are template-driven mockups generated locally; there is no live integration with LLM APIs.</w:t>
      </w:r>
    </w:p>
    <w:p>
      <w:pPr>
        <w:pStyle w:val="ListBullet"/>
        <w:spacing w:after="160"/>
      </w:pPr>
      <w:r>
        <w:t>User session logging is mock-based; it lacks enterprise-grade OAuth, session cookies, or JWT-token verification.</w:t>
      </w:r>
    </w:p>
    <w:p>
      <w:pPr>
        <w:pStyle w:val="Heading2"/>
        <w:keepNext/>
        <w:spacing w:before="240" w:after="120"/>
      </w:pPr>
      <w:r>
        <w:rPr>
          <w:rFonts w:ascii="Segoe UI" w:hAnsi="Segoe UI"/>
          <w:b/>
          <w:color w:val="1E293B"/>
          <w:sz w:val="28"/>
        </w:rPr>
        <w:t>5.2 Future Scope</w:t>
      </w:r>
    </w:p>
    <w:p>
      <w:pPr>
        <w:pStyle w:val="ListBullet"/>
        <w:spacing w:after="60"/>
      </w:pPr>
      <w:r>
        <w:t>MongoDB integration for persistent ticket storage.</w:t>
      </w:r>
    </w:p>
    <w:p>
      <w:pPr>
        <w:pStyle w:val="ListBullet"/>
        <w:spacing w:after="60"/>
      </w:pPr>
      <w:r>
        <w:t>Node.js and Express.js backend for API-based communication.</w:t>
      </w:r>
    </w:p>
    <w:p>
      <w:pPr>
        <w:pStyle w:val="ListBullet"/>
        <w:spacing w:after="160"/>
      </w:pPr>
      <w:r>
        <w:t>AI-powered ticket categorization and automated response generation.</w:t>
      </w:r>
    </w:p>
    <w:p>
      <w:pPr>
        <w:pStyle w:val="Heading1"/>
        <w:keepNext/>
        <w:spacing w:before="240" w:after="120"/>
      </w:pPr>
      <w:r>
        <w:rPr>
          <w:rFonts w:ascii="Segoe UI" w:hAnsi="Segoe UI"/>
          <w:b/>
          <w:color w:val="1D4ED8"/>
          <w:sz w:val="36"/>
        </w:rPr>
        <w:t>6. AI Tools Used and Purpose</w:t>
      </w:r>
    </w:p>
    <w:p>
      <w:pPr>
        <w:spacing w:after="160"/>
      </w:pPr>
      <w:r>
        <w:t>Consistent with Responsible AI practices, the following AI assistance was utilized:</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40" w:type="dxa"/>
              <w:bottom w:w="140" w:type="dxa"/>
              <w:left w:w="150" w:type="dxa"/>
              <w:right w:w="150" w:type="dxa"/>
            </w:tcMar>
          </w:tcPr>
          <w:p>
            <w:r>
              <w:rPr>
                <w:b/>
              </w:rPr>
              <w:t>AI Tool</w:t>
            </w:r>
          </w:p>
        </w:tc>
        <w:tc>
          <w:tcPr>
            <w:tcW w:type="dxa" w:w="3120"/>
            <w:tcMar>
              <w:top w:w="140" w:type="dxa"/>
              <w:bottom w:w="140" w:type="dxa"/>
              <w:left w:w="150" w:type="dxa"/>
              <w:right w:w="150" w:type="dxa"/>
            </w:tcMar>
          </w:tcPr>
          <w:p>
            <w:r>
              <w:rPr>
                <w:b/>
              </w:rPr>
              <w:t>Area of Assistance</w:t>
            </w:r>
          </w:p>
        </w:tc>
        <w:tc>
          <w:tcPr>
            <w:tcW w:type="dxa" w:w="3120"/>
            <w:tcMar>
              <w:top w:w="140" w:type="dxa"/>
              <w:bottom w:w="140" w:type="dxa"/>
              <w:left w:w="150" w:type="dxa"/>
              <w:right w:w="150" w:type="dxa"/>
            </w:tcMar>
          </w:tcPr>
          <w:p>
            <w:r>
              <w:rPr>
                <w:b/>
              </w:rPr>
              <w:t>Detailed Purpose</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Build &amp; Architecture Support</w:t>
            </w:r>
          </w:p>
        </w:tc>
        <w:tc>
          <w:tcPr>
            <w:tcW w:type="dxa" w:w="3120"/>
            <w:tcMar>
              <w:top w:w="100" w:type="dxa"/>
              <w:bottom w:w="100" w:type="dxa"/>
              <w:left w:w="150" w:type="dxa"/>
              <w:right w:w="150" w:type="dxa"/>
            </w:tcMar>
          </w:tcPr>
          <w:p>
            <w:r>
              <w:t>Assisted in local Tailwind CSS CLI build configurations to eliminate CDN scripts and avoid origin errors under file://. Guided on responsive structural layout.</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Event Handlers and API Sync</w:t>
            </w:r>
          </w:p>
        </w:tc>
        <w:tc>
          <w:tcPr>
            <w:tcW w:type="dxa" w:w="3120"/>
            <w:tcMar>
              <w:top w:w="100" w:type="dxa"/>
              <w:bottom w:w="100" w:type="dxa"/>
              <w:left w:w="150" w:type="dxa"/>
              <w:right w:w="150" w:type="dxa"/>
            </w:tcMar>
          </w:tcPr>
          <w:p>
            <w:r>
              <w:t>Aided in designing interactive Javascript event handlers (onclick, oninput, drag &amp; drop) and client-side validation logic.</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Documentation Preparation</w:t>
            </w:r>
          </w:p>
        </w:tc>
        <w:tc>
          <w:tcPr>
            <w:tcW w:type="dxa" w:w="3120"/>
            <w:tcMar>
              <w:top w:w="100" w:type="dxa"/>
              <w:bottom w:w="100" w:type="dxa"/>
              <w:left w:w="150" w:type="dxa"/>
              <w:right w:w="150" w:type="dxa"/>
            </w:tcMar>
          </w:tcPr>
          <w:p>
            <w:r>
              <w:t>Helped structure the project documentation format in accordance with Christ University MCA lab guidelines.</w:t>
            </w:r>
          </w:p>
        </w:tc>
      </w:tr>
    </w:tbl>
    <w:p>
      <w:pPr>
        <w:spacing w:after="240"/>
      </w:pPr>
    </w:p>
    <w:p>
      <w:pPr>
        <w:pStyle w:val="Heading1"/>
        <w:keepNext/>
        <w:spacing w:before="240" w:after="120"/>
      </w:pPr>
      <w:r>
        <w:rPr>
          <w:rFonts w:ascii="Segoe UI" w:hAnsi="Segoe UI"/>
          <w:b/>
          <w:color w:val="1D4ED8"/>
          <w:sz w:val="36"/>
        </w:rPr>
        <w:t>7. Learning Reflections</w:t>
      </w:r>
    </w:p>
    <w:p>
      <w:pPr>
        <w:spacing w:after="200" w:line="276" w:lineRule="auto"/>
      </w:pPr>
      <w:r>
        <w:t>Building NexusCRM has reinforced frontend development best practices. Designing a responsive interface using Tailwind CSS v4 and utilizing semantic HTML5 markup improved accessibility and layout consistency.</w:t>
      </w:r>
    </w:p>
    <w:p>
      <w:pPr>
        <w:spacing w:after="200" w:line="276" w:lineRule="auto"/>
      </w:pPr>
      <w:r>
        <w:t>This project helped me understand JavaScript event handling, HTML5 APIs, responsive UI design, and how enterprise CRM systems manage customer support workflows.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