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E293B"/>
          <w:sz w:val="28"/>
        </w:rPr>
        <w:t>CHRIST (Deemed to be University), Bengaluru</w:t>
        <w:br/>
      </w:r>
      <w:r>
        <w:rPr>
          <w:b w:val="0"/>
          <w:sz w:val="24"/>
        </w:rPr>
        <w:t>Department of Computer Science</w:t>
        <w:br/>
        <w:br/>
      </w:r>
      <w:r>
        <w:rPr>
          <w:i/>
          <w:sz w:val="22"/>
        </w:rPr>
        <w:t>Course Code: MCA413-1 | Course: Full Stack Development</w:t>
        <w:br/>
      </w:r>
    </w:p>
    <w:p>
      <w:pPr>
        <w:spacing w:after="480"/>
      </w:pPr>
    </w:p>
    <w:p>
      <w:pPr>
        <w:spacing w:after="120"/>
        <w:jc w:val="center"/>
      </w:pPr>
      <w:r>
        <w:rPr>
          <w:b/>
          <w:color w:val="1D4ED8"/>
          <w:sz w:val="56"/>
        </w:rPr>
        <w:t>NexusCRM</w:t>
      </w:r>
    </w:p>
    <w:p>
      <w:pPr>
        <w:spacing w:after="720"/>
        <w:jc w:val="center"/>
      </w:pPr>
      <w:r>
        <w:rPr>
          <w:color w:val="475569"/>
          <w:sz w:val="28"/>
        </w:rPr>
        <w:t>AI-Powered Service Request Management &amp; Customer Support System</w:t>
        <w:br/>
      </w:r>
    </w:p>
    <w:p>
      <w:pPr>
        <w:spacing w:after="960"/>
      </w:pPr>
    </w:p>
    <w:p>
      <w:pPr>
        <w:jc w:val="center"/>
      </w:pPr>
      <w:r>
        <w:rPr>
          <w:b/>
          <w:sz w:val="24"/>
        </w:rPr>
        <w:t>CIA-IB: Problem Solving + Prototyping + Documentation</w:t>
        <w:br/>
        <w:br/>
      </w:r>
      <w:r>
        <w:rPr>
          <w:sz w:val="22"/>
        </w:rPr>
        <w:t>Submitted By:</w:t>
        <w:br/>
        <w:t>Mahak Jain</w:t>
        <w:br/>
        <w:t>(Register No: 2647235)</w:t>
        <w:br/>
        <w:br/>
        <w:t>Date: June 20, 2026</w:t>
      </w:r>
    </w:p>
    <w:p>
      <w:r>
        <w:br w:type="page"/>
      </w:r>
    </w:p>
    <w:p>
      <w:pPr>
        <w:pStyle w:val="Heading1"/>
        <w:keepNext/>
        <w:spacing w:before="240" w:after="120"/>
      </w:pPr>
      <w:r>
        <w:rPr>
          <w:rFonts w:ascii="Segoe UI" w:hAnsi="Segoe UI"/>
          <w:b/>
          <w:color w:val="1D4ED8"/>
          <w:sz w:val="36"/>
        </w:rPr>
        <w:t>1. Problem Statement</w:t>
      </w:r>
    </w:p>
    <w:p>
      <w:pPr>
        <w:spacing w:after="200" w:line="276" w:lineRule="auto"/>
      </w:pPr>
      <w:r>
        <w:t>Large enterprises receive thousands of customer service requests through emails, portals, and support channels every month. Support agents spend significant time manually categorizing tickets, assigning priorities, tracking requests, and drafting repetitive customer responses. This leads to slower resolution times, inconsistent communication, and reduced customer satisfaction.</w:t>
      </w:r>
    </w:p>
    <w:p>
      <w:pPr>
        <w:spacing w:after="200" w:line="276" w:lineRule="auto"/>
      </w:pPr>
      <w:r>
        <w:t>NexusCRM addresses this challenge by providing an AI-powered enterprise service request management platform that centralizes ticket handling, automates workflow management, and generates intelligent email response drafts for support teams, improving operational efficiency and customer experience.</w:t>
      </w:r>
    </w:p>
    <w:p>
      <w:pPr>
        <w:pStyle w:val="Heading1"/>
        <w:keepNext/>
        <w:spacing w:before="240" w:after="120"/>
      </w:pPr>
      <w:r>
        <w:rPr>
          <w:rFonts w:ascii="Segoe UI" w:hAnsi="Segoe UI"/>
          <w:b/>
          <w:color w:val="1D4ED8"/>
          <w:sz w:val="36"/>
        </w:rPr>
        <w:t>2. Target Users</w:t>
      </w:r>
    </w:p>
    <w:p>
      <w:pPr>
        <w:spacing w:after="160"/>
      </w:pPr>
      <w:r>
        <w:t>The platform is designed to serve a dual audience in the enterprise support ecosystem:</w:t>
      </w:r>
    </w:p>
    <w:p>
      <w:pPr>
        <w:pStyle w:val="ListBullet"/>
        <w:spacing w:after="80"/>
      </w:pPr>
      <w:r>
        <w:rPr>
          <w:b/>
        </w:rPr>
        <w:t xml:space="preserve">Customer Support Agents: </w:t>
      </w:r>
      <w:r>
        <w:t>Support representatives who monitor, triage, and resolve incoming service requests. They benefit from automated categorization, drag-and-drop status tracking, and instant AI-drafted email responses that accelerate response times.</w:t>
      </w:r>
    </w:p>
    <w:p>
      <w:pPr>
        <w:pStyle w:val="ListBullet"/>
        <w:spacing w:after="80"/>
      </w:pPr>
      <w:r>
        <w:rPr>
          <w:b/>
        </w:rPr>
        <w:t xml:space="preserve">Enterprise Customers / Users: </w:t>
      </w:r>
      <w:r>
        <w:t>End-users who submit requests, track resolution progress in real-time, view detailed status information, and submit feedback upon ticket resolution.</w:t>
      </w:r>
    </w:p>
    <w:p>
      <w:pPr>
        <w:pStyle w:val="ListBullet"/>
        <w:spacing w:after="160"/>
      </w:pPr>
      <w:r>
        <w:rPr>
          <w:b/>
        </w:rPr>
        <w:t xml:space="preserve">Support Managers / Administrators: </w:t>
      </w:r>
      <w:r>
        <w:t>Supervisors who oversee ticket volumes, evaluate satisfaction ratings, assign tasks, and analyze team performance metrics.</w:t>
      </w:r>
    </w:p>
    <w:p>
      <w:pPr>
        <w:pStyle w:val="Heading1"/>
        <w:keepNext/>
        <w:spacing w:before="240" w:after="120"/>
      </w:pPr>
      <w:r>
        <w:rPr>
          <w:rFonts w:ascii="Segoe UI" w:hAnsi="Segoe UI"/>
          <w:b/>
          <w:color w:val="1D4ED8"/>
          <w:sz w:val="36"/>
        </w:rPr>
        <w:t>3. Features Implemented</w:t>
      </w:r>
    </w:p>
    <w:p>
      <w:pPr>
        <w:pStyle w:val="Heading2"/>
        <w:keepNext/>
        <w:spacing w:before="240" w:after="120"/>
      </w:pPr>
      <w:r>
        <w:rPr>
          <w:rFonts w:ascii="Segoe UI" w:hAnsi="Segoe UI"/>
          <w:b/>
          <w:color w:val="1E293B"/>
          <w:sz w:val="28"/>
        </w:rPr>
        <w:t>3.1 Interactive Landing Page</w:t>
      </w:r>
    </w:p>
    <w:p>
      <w:pPr>
        <w:spacing w:after="160"/>
      </w:pPr>
      <w:r>
        <w:t>The landing page provides a modern, unified entry portal. It guides users to the Customer Portal or Agent Dashboard, shows high-level stats (Total Tickets, Open Requests, Resolved Queries, Average Resolution Time), and outlines key platform benefits in a responsive grid layout.</w:t>
      </w:r>
    </w:p>
    <w:p>
      <w:pPr>
        <w:pStyle w:val="Heading2"/>
        <w:keepNext/>
        <w:spacing w:before="240" w:after="120"/>
      </w:pPr>
      <w:r>
        <w:rPr>
          <w:rFonts w:ascii="Segoe UI" w:hAnsi="Segoe UI"/>
          <w:b/>
          <w:color w:val="1E293B"/>
          <w:sz w:val="28"/>
        </w:rPr>
        <w:t>3.2 Customer Portal</w:t>
      </w:r>
    </w:p>
    <w:p>
      <w:pPr>
        <w:spacing w:after="160"/>
      </w:pPr>
      <w:r>
        <w:t>The User Portal allows customers to submit new tickets and track existing ones. Key features include:</w:t>
      </w:r>
    </w:p>
    <w:p>
      <w:pPr>
        <w:pStyle w:val="ListBullet"/>
        <w:spacing w:after="60"/>
      </w:pPr>
      <w:r>
        <w:t>Email-based Profile Loading: Dynamically fetches active and past tickets associated with the user.</w:t>
      </w:r>
    </w:p>
    <w:p>
      <w:pPr>
        <w:pStyle w:val="ListBullet"/>
        <w:spacing w:after="60"/>
      </w:pPr>
      <w:r>
        <w:t>New Service Request Form: Includes client-side validations for email formatting, inputs, and priority.</w:t>
      </w:r>
    </w:p>
    <w:p>
      <w:pPr>
        <w:pStyle w:val="ListBullet"/>
        <w:spacing w:after="60"/>
      </w:pPr>
      <w:r>
        <w:t>HTML5 Geolocation API: Captures customer coordinates during submission to assist in assigning local technicians.</w:t>
      </w:r>
    </w:p>
    <w:p>
      <w:pPr>
        <w:pStyle w:val="ListBullet"/>
        <w:spacing w:after="60"/>
      </w:pPr>
      <w:r>
        <w:t>Feedback System: Allows users to submit a satisfaction rating (1-5 stars) and comments on resolved tickets.</w:t>
      </w:r>
    </w:p>
    <w:p>
      <w:pPr>
        <w:pStyle w:val="ListBullet"/>
        <w:spacing w:after="160"/>
      </w:pPr>
      <w:r>
        <w:t>Offline Resiliency: Submissions are cached in browser LocalStorage when the API server is unavailable.</w:t>
      </w:r>
    </w:p>
    <w:p>
      <w:pPr>
        <w:pStyle w:val="Heading2"/>
        <w:keepNext/>
        <w:spacing w:before="240" w:after="120"/>
      </w:pPr>
      <w:r>
        <w:rPr>
          <w:rFonts w:ascii="Segoe UI" w:hAnsi="Segoe UI"/>
          <w:b/>
          <w:color w:val="1E293B"/>
          <w:sz w:val="28"/>
        </w:rPr>
        <w:t>3.3 Agent Dashboard &amp; Kanban Board</w:t>
      </w:r>
    </w:p>
    <w:p>
      <w:pPr>
        <w:spacing w:after="160"/>
      </w:pPr>
      <w:r>
        <w:t>The Agent Dashboard provides support representatives with visual tracking and management tools:</w:t>
      </w:r>
    </w:p>
    <w:p>
      <w:pPr>
        <w:pStyle w:val="ListBullet"/>
        <w:spacing w:after="60"/>
      </w:pPr>
      <w:r>
        <w:t>HTML5 Drag and Drop API: Enables moving tickets across status columns (Open, In Progress, Resolved).</w:t>
      </w:r>
    </w:p>
    <w:p>
      <w:pPr>
        <w:pStyle w:val="ListBullet"/>
        <w:spacing w:after="60"/>
      </w:pPr>
      <w:r>
        <w:t>Status Sync: Transitions automatically trigger PUT calls to update database status in real-time.</w:t>
      </w:r>
    </w:p>
    <w:p>
      <w:pPr>
        <w:pStyle w:val="ListBullet"/>
        <w:spacing w:after="60"/>
      </w:pPr>
      <w:r>
        <w:t>Filters &amp; Search: Real-time search bar and priority-based filters update UI instantly.</w:t>
      </w:r>
    </w:p>
    <w:p>
      <w:pPr>
        <w:pStyle w:val="ListBullet"/>
        <w:spacing w:after="160"/>
      </w:pPr>
      <w:r>
        <w:t>AI-Generated Drafts: Opens an overlay window where agents review an AI-structured email response, edit it, and send.</w:t>
      </w:r>
    </w:p>
    <w:p>
      <w:pPr>
        <w:pStyle w:val="Heading2"/>
        <w:keepNext/>
        <w:spacing w:before="240" w:after="120"/>
      </w:pPr>
      <w:r>
        <w:rPr>
          <w:rFonts w:ascii="Segoe UI" w:hAnsi="Segoe UI"/>
          <w:b/>
          <w:color w:val="1E293B"/>
          <w:sz w:val="28"/>
        </w:rPr>
        <w:t>3.4 Resilient Self-Healing Backend REST API</w:t>
      </w:r>
    </w:p>
    <w:p>
      <w:pPr>
        <w:spacing w:after="160"/>
      </w:pPr>
      <w:r>
        <w:t>The Node/Express backend provides CRUD endpoints for `/api/tickets` and `/api/feedback`. It features a self-healing database integration where Mongoose readyState is checked before operations. If MongoDB Atlas is blocked or DNS lookup fails, it automatically enters a persistent in-memory database fallback mode. This prevents database connection timeouts from crashing the server and ensures continuous operation.</w:t>
      </w:r>
    </w:p>
    <w:p>
      <w:pPr>
        <w:pStyle w:val="Heading1"/>
        <w:keepNext/>
        <w:spacing w:before="240" w:after="120"/>
      </w:pPr>
      <w:r>
        <w:rPr>
          <w:rFonts w:ascii="Segoe UI" w:hAnsi="Segoe UI"/>
          <w:b/>
          <w:color w:val="1D4ED8"/>
          <w:sz w:val="36"/>
        </w:rPr>
        <w:t>4. Technologies Used</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40" w:type="dxa"/>
              <w:bottom w:w="140" w:type="dxa"/>
              <w:left w:w="150" w:type="dxa"/>
              <w:right w:w="150" w:type="dxa"/>
            </w:tcMar>
          </w:tcPr>
          <w:p>
            <w:r>
              <w:rPr>
                <w:b/>
              </w:rPr>
              <w:t>Layer</w:t>
            </w:r>
          </w:p>
        </w:tc>
        <w:tc>
          <w:tcPr>
            <w:tcW w:type="dxa" w:w="3120"/>
            <w:tcMar>
              <w:top w:w="140" w:type="dxa"/>
              <w:bottom w:w="140" w:type="dxa"/>
              <w:left w:w="150" w:type="dxa"/>
              <w:right w:w="150" w:type="dxa"/>
            </w:tcMar>
          </w:tcPr>
          <w:p>
            <w:r>
              <w:rPr>
                <w:b/>
              </w:rPr>
              <w:t>Technology</w:t>
            </w:r>
          </w:p>
        </w:tc>
        <w:tc>
          <w:tcPr>
            <w:tcW w:type="dxa" w:w="3120"/>
            <w:tcMar>
              <w:top w:w="140" w:type="dxa"/>
              <w:bottom w:w="140" w:type="dxa"/>
              <w:left w:w="150" w:type="dxa"/>
              <w:right w:w="150" w:type="dxa"/>
            </w:tcMar>
          </w:tcPr>
          <w:p>
            <w:r>
              <w:rPr>
                <w:b/>
              </w:rPr>
              <w:t>Purpose &amp; Features Utilized</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HTML5 &amp; Semantic Tags</w:t>
            </w:r>
          </w:p>
        </w:tc>
        <w:tc>
          <w:tcPr>
            <w:tcW w:type="dxa" w:w="3120"/>
            <w:tcMar>
              <w:top w:w="100" w:type="dxa"/>
              <w:bottom w:w="100" w:type="dxa"/>
              <w:left w:w="150" w:type="dxa"/>
              <w:right w:w="150" w:type="dxa"/>
            </w:tcMar>
          </w:tcPr>
          <w:p>
            <w:r>
              <w:t>Structural layout using &lt;header&gt;, &lt;nav&gt;, &lt;main&gt;, and &lt;footer&gt; tags for SEO compliance. Utilizes HTML5 Geolocation and Drag and Drop APIs.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CSS3 &amp; Tailwind CSS v4</w:t>
            </w:r>
          </w:p>
        </w:tc>
        <w:tc>
          <w:tcPr>
            <w:tcW w:type="dxa" w:w="3120"/>
            <w:tcMar>
              <w:top w:w="100" w:type="dxa"/>
              <w:bottom w:w="100" w:type="dxa"/>
              <w:left w:w="150" w:type="dxa"/>
              <w:right w:w="150" w:type="dxa"/>
            </w:tcMar>
          </w:tcPr>
          <w:p>
            <w:r>
              <w:t>Static Tailwind compiled locally using v4 CLI to avoid CDN warnings. Establishes a professional dark-themed dashboard, micro-animations, and glassmorphism UI.</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JavaScript (ES6+)</w:t>
            </w:r>
          </w:p>
        </w:tc>
        <w:tc>
          <w:tcPr>
            <w:tcW w:type="dxa" w:w="3120"/>
            <w:tcMar>
              <w:top w:w="100" w:type="dxa"/>
              <w:bottom w:w="100" w:type="dxa"/>
              <w:left w:w="150" w:type="dxa"/>
              <w:right w:w="150" w:type="dxa"/>
            </w:tcMar>
          </w:tcPr>
          <w:p>
            <w:r>
              <w:t>Handles AJAX fetch operations, dynamic DOM manipulation, client-side validation, and browser LocalStorage caching.</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&amp; Express.js</w:t>
            </w:r>
          </w:p>
        </w:tc>
        <w:tc>
          <w:tcPr>
            <w:tcW w:type="dxa" w:w="3120"/>
            <w:tcMar>
              <w:top w:w="100" w:type="dxa"/>
              <w:bottom w:w="100" w:type="dxa"/>
              <w:left w:w="150" w:type="dxa"/>
              <w:right w:w="150" w:type="dxa"/>
            </w:tcMar>
          </w:tcPr>
          <w:p>
            <w:r>
              <w:t>Handles HTTP REST endpoints, serves static assets, provides CORS configuration, and handles backend error handling.</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 &amp; Mongoose</w:t>
            </w:r>
          </w:p>
        </w:tc>
        <w:tc>
          <w:tcPr>
            <w:tcW w:type="dxa" w:w="3120"/>
            <w:tcMar>
              <w:top w:w="100" w:type="dxa"/>
              <w:bottom w:w="100" w:type="dxa"/>
              <w:left w:w="150" w:type="dxa"/>
              <w:right w:w="150" w:type="dxa"/>
            </w:tcMar>
          </w:tcPr>
          <w:p>
            <w:r>
              <w:t>Models data structure using Schemas for Tickets, Customers, and Feedback. Direct Replica Set URL bypasses Windows c-ares SRV DNS lookup issues.</w:t>
            </w:r>
          </w:p>
        </w:tc>
      </w:tr>
    </w:tbl>
    <w:p>
      <w:pPr>
        <w:spacing w:after="240"/>
      </w:pPr>
    </w:p>
    <w:p>
      <w:pPr>
        <w:pStyle w:val="Heading1"/>
        <w:keepNext/>
        <w:spacing w:before="240" w:after="120"/>
      </w:pPr>
      <w:r>
        <w:rPr>
          <w:rFonts w:ascii="Segoe UI" w:hAnsi="Segoe UI"/>
          <w:b/>
          <w:color w:val="1D4ED8"/>
          <w:sz w:val="36"/>
        </w:rPr>
        <w:t>5. Limitations and Future Scope</w:t>
      </w:r>
    </w:p>
    <w:p>
      <w:pPr>
        <w:pStyle w:val="Heading2"/>
        <w:keepNext/>
        <w:spacing w:before="240" w:after="120"/>
      </w:pPr>
      <w:r>
        <w:rPr>
          <w:rFonts w:ascii="Segoe UI" w:hAnsi="Segoe UI"/>
          <w:b/>
          <w:color w:val="1E293B"/>
          <w:sz w:val="28"/>
        </w:rPr>
        <w:t>5.1 Limitations</w:t>
      </w:r>
    </w:p>
    <w:p>
      <w:pPr>
        <w:pStyle w:val="ListBullet"/>
        <w:spacing w:after="60"/>
      </w:pPr>
      <w:r>
        <w:t>Browser Geolocation relies on active user permission, which can be denied by default in strict environments.</w:t>
      </w:r>
    </w:p>
    <w:p>
      <w:pPr>
        <w:pStyle w:val="ListBullet"/>
        <w:spacing w:after="60"/>
      </w:pPr>
      <w:r>
        <w:t>The AI Email Drafts are template-driven mockups generated locally; there is no live integration with LLM APIs.</w:t>
      </w:r>
    </w:p>
    <w:p>
      <w:pPr>
        <w:pStyle w:val="ListBullet"/>
        <w:spacing w:after="160"/>
      </w:pPr>
      <w:r>
        <w:t>User session logging is mock-based; it lacks enterprise-grade OAuth, session cookies, or JWT-token verification.</w:t>
      </w:r>
    </w:p>
    <w:p>
      <w:pPr>
        <w:pStyle w:val="Heading2"/>
        <w:keepNext/>
        <w:spacing w:before="240" w:after="120"/>
      </w:pPr>
      <w:r>
        <w:rPr>
          <w:rFonts w:ascii="Segoe UI" w:hAnsi="Segoe UI"/>
          <w:b/>
          <w:color w:val="1E293B"/>
          <w:sz w:val="28"/>
        </w:rPr>
        <w:t>5.2 Future Scope</w:t>
      </w:r>
    </w:p>
    <w:p>
      <w:pPr>
        <w:pStyle w:val="ListBullet"/>
        <w:spacing w:after="60"/>
      </w:pPr>
      <w:r>
        <w:t>Live AI Integration: Connecting backend prompts with Google Gemini API to write context-aware response drafts.</w:t>
      </w:r>
    </w:p>
    <w:p>
      <w:pPr>
        <w:pStyle w:val="ListBullet"/>
        <w:spacing w:after="60"/>
      </w:pPr>
      <w:r>
        <w:t>WebSockets integration: Pushing real-time notifications to the Agent Dashboard when new customer tickets arrive.</w:t>
      </w:r>
    </w:p>
    <w:p>
      <w:pPr>
        <w:pStyle w:val="ListBullet"/>
        <w:spacing w:after="160"/>
      </w:pPr>
      <w:r>
        <w:t>Role-Based Access Control (RBAC): Structuring database authentication using JWT keys for separation of Agent and Customer duties.</w:t>
      </w:r>
    </w:p>
    <w:p>
      <w:pPr>
        <w:pStyle w:val="Heading1"/>
        <w:keepNext/>
        <w:spacing w:before="240" w:after="120"/>
      </w:pPr>
      <w:r>
        <w:rPr>
          <w:rFonts w:ascii="Segoe UI" w:hAnsi="Segoe UI"/>
          <w:b/>
          <w:color w:val="1D4ED8"/>
          <w:sz w:val="36"/>
        </w:rPr>
        <w:t>6. AI Tools Used and Purpose</w:t>
      </w:r>
    </w:p>
    <w:p>
      <w:pPr>
        <w:spacing w:after="160"/>
      </w:pPr>
      <w:r>
        <w:t>Consistent with Responsible AI practices, the following AI assistance was utilized:</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40" w:type="dxa"/>
              <w:bottom w:w="140" w:type="dxa"/>
              <w:left w:w="150" w:type="dxa"/>
              <w:right w:w="150" w:type="dxa"/>
            </w:tcMar>
          </w:tcPr>
          <w:p>
            <w:r>
              <w:rPr>
                <w:b/>
              </w:rPr>
              <w:t>AI Tool</w:t>
            </w:r>
          </w:p>
        </w:tc>
        <w:tc>
          <w:tcPr>
            <w:tcW w:type="dxa" w:w="3120"/>
            <w:tcMar>
              <w:top w:w="140" w:type="dxa"/>
              <w:bottom w:w="140" w:type="dxa"/>
              <w:left w:w="150" w:type="dxa"/>
              <w:right w:w="150" w:type="dxa"/>
            </w:tcMar>
          </w:tcPr>
          <w:p>
            <w:r>
              <w:rPr>
                <w:b/>
              </w:rPr>
              <w:t>Area of Assistance</w:t>
            </w:r>
          </w:p>
        </w:tc>
        <w:tc>
          <w:tcPr>
            <w:tcW w:type="dxa" w:w="3120"/>
            <w:tcMar>
              <w:top w:w="140" w:type="dxa"/>
              <w:bottom w:w="140" w:type="dxa"/>
              <w:left w:w="150" w:type="dxa"/>
              <w:right w:w="150" w:type="dxa"/>
            </w:tcMar>
          </w:tcPr>
          <w:p>
            <w:r>
              <w:rPr>
                <w:b/>
              </w:rPr>
              <w:t>Detailed Purpose</w:t>
            </w:r>
          </w:p>
        </w:tc>
      </w:tr>
      <w:tr>
        <w:tc>
          <w:tcPr>
            <w:tcW w:type="dxa" w:w="3120"/>
            <w:tcMar>
              <w:top w:w="100" w:type="dxa"/>
              <w:bottom w:w="100" w:type="dxa"/>
              <w:left w:w="150" w:type="dxa"/>
              <w:right w:w="150" w:type="dxa"/>
            </w:tcMar>
          </w:tcPr>
          <w:p>
            <w:r>
              <w:t>Gemini (Antigravity)</w:t>
            </w:r>
          </w:p>
        </w:tc>
        <w:tc>
          <w:tcPr>
            <w:tcW w:type="dxa" w:w="3120"/>
            <w:tcMar>
              <w:top w:w="100" w:type="dxa"/>
              <w:bottom w:w="100" w:type="dxa"/>
              <w:left w:w="150" w:type="dxa"/>
              <w:right w:w="150" w:type="dxa"/>
            </w:tcMar>
          </w:tcPr>
          <w:p>
            <w:r>
              <w:t>Build &amp; Architecture Support</w:t>
            </w:r>
          </w:p>
        </w:tc>
        <w:tc>
          <w:tcPr>
            <w:tcW w:type="dxa" w:w="3120"/>
            <w:tcMar>
              <w:top w:w="100" w:type="dxa"/>
              <w:bottom w:w="100" w:type="dxa"/>
              <w:left w:w="150" w:type="dxa"/>
              <w:right w:w="150" w:type="dxa"/>
            </w:tcMar>
          </w:tcPr>
          <w:p>
            <w:r>
              <w:t>Assisted in local Tailwind CSS CLI build configurations to eliminate CDN scripts and avoid origin errors under file://. Guided on Mongoose connection resilience strategies.</w:t>
            </w:r>
          </w:p>
        </w:tc>
      </w:tr>
      <w:tr>
        <w:tc>
          <w:tcPr>
            <w:tcW w:type="dxa" w:w="3120"/>
            <w:tcMar>
              <w:top w:w="100" w:type="dxa"/>
              <w:bottom w:w="100" w:type="dxa"/>
              <w:left w:w="150" w:type="dxa"/>
              <w:right w:w="150" w:type="dxa"/>
            </w:tcMar>
          </w:tcPr>
          <w:p>
            <w:r>
              <w:t>Gemini (Antigravity)</w:t>
            </w:r>
          </w:p>
        </w:tc>
        <w:tc>
          <w:tcPr>
            <w:tcW w:type="dxa" w:w="3120"/>
            <w:tcMar>
              <w:top w:w="100" w:type="dxa"/>
              <w:bottom w:w="100" w:type="dxa"/>
              <w:left w:w="150" w:type="dxa"/>
              <w:right w:w="150" w:type="dxa"/>
            </w:tcMar>
          </w:tcPr>
          <w:p>
            <w:r>
              <w:t>CORS and API Sync</w:t>
            </w:r>
          </w:p>
        </w:tc>
        <w:tc>
          <w:tcPr>
            <w:tcW w:type="dxa" w:w="3120"/>
            <w:tcMar>
              <w:top w:w="100" w:type="dxa"/>
              <w:bottom w:w="100" w:type="dxa"/>
              <w:left w:w="150" w:type="dxa"/>
              <w:right w:w="150" w:type="dxa"/>
            </w:tcMar>
          </w:tcPr>
          <w:p>
            <w:r>
              <w:t>Aided in debugging CORS issues in client-side Javascript fetch requests and linking drag-and-drop state changes directly to Node.js backend PUT endpoints.</w:t>
            </w:r>
          </w:p>
        </w:tc>
      </w:tr>
      <w:tr>
        <w:tc>
          <w:tcPr>
            <w:tcW w:type="dxa" w:w="3120"/>
            <w:tcMar>
              <w:top w:w="100" w:type="dxa"/>
              <w:bottom w:w="100" w:type="dxa"/>
              <w:left w:w="150" w:type="dxa"/>
              <w:right w:w="150" w:type="dxa"/>
            </w:tcMar>
          </w:tcPr>
          <w:p>
            <w:r>
              <w:t>Gemini (Antigravity)</w:t>
            </w:r>
          </w:p>
        </w:tc>
        <w:tc>
          <w:tcPr>
            <w:tcW w:type="dxa" w:w="3120"/>
            <w:tcMar>
              <w:top w:w="100" w:type="dxa"/>
              <w:bottom w:w="100" w:type="dxa"/>
              <w:left w:w="150" w:type="dxa"/>
              <w:right w:w="150" w:type="dxa"/>
            </w:tcMar>
          </w:tcPr>
          <w:p>
            <w:r>
              <w:t>Windows DNS Resolution Debugging</w:t>
            </w:r>
          </w:p>
        </w:tc>
        <w:tc>
          <w:tcPr>
            <w:tcW w:type="dxa" w:w="3120"/>
            <w:tcMar>
              <w:top w:w="100" w:type="dxa"/>
              <w:bottom w:w="100" w:type="dxa"/>
              <w:left w:w="150" w:type="dxa"/>
              <w:right w:w="150" w:type="dxa"/>
            </w:tcMar>
          </w:tcPr>
          <w:p>
            <w:r>
              <w:t>Helped troubleshoot the querySrv ECONNREFUSED error on Windows by advising the bypass of SRV DNS resolution in favor of direct MongoDB shard connection URIs.</w:t>
            </w:r>
          </w:p>
        </w:tc>
      </w:tr>
    </w:tbl>
    <w:p>
      <w:pPr>
        <w:spacing w:after="240"/>
      </w:pPr>
    </w:p>
    <w:p>
      <w:pPr>
        <w:pStyle w:val="Heading1"/>
        <w:keepNext/>
        <w:spacing w:before="240" w:after="120"/>
      </w:pPr>
      <w:r>
        <w:rPr>
          <w:rFonts w:ascii="Segoe UI" w:hAnsi="Segoe UI"/>
          <w:b/>
          <w:color w:val="1D4ED8"/>
          <w:sz w:val="36"/>
        </w:rPr>
        <w:t>7. Learning Reflections</w:t>
      </w:r>
    </w:p>
    <w:p>
      <w:pPr>
        <w:spacing w:after="200" w:line="276" w:lineRule="auto"/>
      </w:pPr>
      <w:r>
        <w:t>Building NexusCRM has reinforced full-stack development best practices. Designing a self-healing backend that falls back to an in-memory database mock taught me to plan for infrastructure failures. Rather than allowing database connection downtime to crash the client, implementing graceful readyState checking ensured uninterrupted service.</w:t>
      </w:r>
    </w:p>
    <w:p>
      <w:pPr>
        <w:spacing w:after="200" w:line="276" w:lineRule="auto"/>
      </w:pPr>
      <w:r>
        <w:t>On the frontend, deploying Tailwind CSS v4 locally demonstrated the value of static builds over production CDNs, not only by eliminating security origin warnings under the file:// protocol but also by drastically reducing layout shifts and load times. Debugging Windows-specific Node DNS bugs highlighted the need to understand how libraries handle network addresses differently across OS environments.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