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316ED" w14:textId="77777777" w:rsidR="00103F09" w:rsidRDefault="00000000">
      <w:pPr>
        <w:spacing w:before="600" w:after="100"/>
        <w:jc w:val="center"/>
      </w:pPr>
      <w:r>
        <w:rPr>
          <w:b/>
          <w:bCs/>
          <w:sz w:val="36"/>
          <w:szCs w:val="36"/>
        </w:rPr>
        <w:t>LOVELY PROFESSIONAL UNIVERSITY</w:t>
      </w:r>
    </w:p>
    <w:p w14:paraId="6423696C" w14:textId="77777777" w:rsidR="00103F09" w:rsidRDefault="00000000">
      <w:pPr>
        <w:spacing w:after="400"/>
        <w:jc w:val="center"/>
      </w:pPr>
      <w:r>
        <w:rPr>
          <w:b/>
          <w:bCs/>
        </w:rPr>
        <w:t>(LPU)</w:t>
      </w:r>
    </w:p>
    <w:p w14:paraId="3D904095" w14:textId="77777777" w:rsidR="00103F09" w:rsidRDefault="00000000">
      <w:pPr>
        <w:spacing w:before="300" w:after="100"/>
        <w:jc w:val="center"/>
      </w:pPr>
      <w:r>
        <w:rPr>
          <w:b/>
          <w:bCs/>
          <w:sz w:val="32"/>
          <w:szCs w:val="32"/>
        </w:rPr>
        <w:t>ACADEMIC PROJECT REPORT</w:t>
      </w:r>
    </w:p>
    <w:p w14:paraId="620A60A1" w14:textId="77777777" w:rsidR="00103F09" w:rsidRDefault="00000000">
      <w:pPr>
        <w:spacing w:after="500"/>
        <w:jc w:val="center"/>
      </w:pPr>
      <w:r>
        <w:rPr>
          <w:b/>
          <w:bCs/>
          <w:sz w:val="26"/>
          <w:szCs w:val="26"/>
        </w:rPr>
        <w:t>Financial Ratio Analysis &amp; Storytelling of Top 5 Indian FMCG Companies</w:t>
      </w:r>
    </w:p>
    <w:p w14:paraId="4329EBC9" w14:textId="77777777" w:rsidR="00103F09" w:rsidRDefault="00000000">
      <w:pPr>
        <w:spacing w:after="100"/>
        <w:jc w:val="center"/>
      </w:pPr>
      <w:r>
        <w:rPr>
          <w:i/>
          <w:iCs/>
        </w:rPr>
        <w:t>(HUL, ITC, Nestle India, Britannia Industries, Tata Consumer Products)</w:t>
      </w:r>
    </w:p>
    <w:p w14:paraId="3A475C0E" w14:textId="77777777" w:rsidR="00103F09" w:rsidRDefault="00000000">
      <w:pPr>
        <w:spacing w:before="400" w:after="100"/>
        <w:jc w:val="center"/>
      </w:pPr>
      <w:r>
        <w:t>Historical Study Period: FY2016 – FY2025 (10 Years)</w:t>
      </w:r>
    </w:p>
    <w:p w14:paraId="5EA35D5A" w14:textId="77777777" w:rsidR="00103F09" w:rsidRDefault="00103F09">
      <w:pPr>
        <w:spacing w:before="500" w:after="200"/>
      </w:pPr>
    </w:p>
    <w:tbl>
      <w:tblPr>
        <w:tblW w:w="9400" w:type="dxa"/>
        <w:tblBorders>
          <w:top w:val="single" w:sz="4" w:space="0" w:color="000000"/>
          <w:left w:val="single" w:sz="4" w:space="0" w:color="000000"/>
          <w:bottom w:val="single" w:sz="4" w:space="0" w:color="000000"/>
          <w:right w:val="single" w:sz="4" w:space="0" w:color="000000"/>
          <w:insideH w:val="single" w:sz="2" w:space="0" w:color="000000"/>
          <w:insideV w:val="single" w:sz="2" w:space="0" w:color="000000"/>
        </w:tblBorders>
        <w:tblCellMar>
          <w:left w:w="10" w:type="dxa"/>
          <w:right w:w="10" w:type="dxa"/>
        </w:tblCellMar>
        <w:tblLook w:val="04A0" w:firstRow="1" w:lastRow="0" w:firstColumn="1" w:lastColumn="0" w:noHBand="0" w:noVBand="1"/>
      </w:tblPr>
      <w:tblGrid>
        <w:gridCol w:w="2600"/>
        <w:gridCol w:w="6800"/>
      </w:tblGrid>
      <w:tr w:rsidR="00103F09" w14:paraId="659BA9F8" w14:textId="77777777">
        <w:tblPrEx>
          <w:tblCellMar>
            <w:top w:w="0" w:type="dxa"/>
            <w:bottom w:w="0" w:type="dxa"/>
          </w:tblCellMar>
        </w:tblPrEx>
        <w:trPr>
          <w:tblHeader/>
        </w:trPr>
        <w:tc>
          <w:tcPr>
            <w:tcW w:w="2600" w:type="dxa"/>
            <w:shd w:val="clear" w:color="auto" w:fill="D9D9D9"/>
            <w:tcMar>
              <w:top w:w="80" w:type="dxa"/>
              <w:left w:w="100" w:type="dxa"/>
              <w:bottom w:w="80" w:type="dxa"/>
              <w:right w:w="100" w:type="dxa"/>
            </w:tcMar>
            <w:vAlign w:val="center"/>
          </w:tcPr>
          <w:p w14:paraId="3C411E7C" w14:textId="77777777" w:rsidR="00103F09" w:rsidRDefault="00000000">
            <w:pPr>
              <w:jc w:val="center"/>
            </w:pPr>
            <w:r>
              <w:rPr>
                <w:b/>
                <w:bCs/>
                <w:sz w:val="18"/>
                <w:szCs w:val="18"/>
              </w:rPr>
              <w:t>Particulars</w:t>
            </w:r>
          </w:p>
        </w:tc>
        <w:tc>
          <w:tcPr>
            <w:tcW w:w="6800" w:type="dxa"/>
            <w:shd w:val="clear" w:color="auto" w:fill="D9D9D9"/>
            <w:tcMar>
              <w:top w:w="80" w:type="dxa"/>
              <w:left w:w="100" w:type="dxa"/>
              <w:bottom w:w="80" w:type="dxa"/>
              <w:right w:w="100" w:type="dxa"/>
            </w:tcMar>
            <w:vAlign w:val="center"/>
          </w:tcPr>
          <w:p w14:paraId="293B5E41" w14:textId="77777777" w:rsidR="00103F09" w:rsidRDefault="00000000">
            <w:pPr>
              <w:jc w:val="center"/>
            </w:pPr>
            <w:r>
              <w:rPr>
                <w:b/>
                <w:bCs/>
                <w:sz w:val="18"/>
                <w:szCs w:val="18"/>
              </w:rPr>
              <w:t>Details</w:t>
            </w:r>
          </w:p>
        </w:tc>
      </w:tr>
      <w:tr w:rsidR="00103F09" w14:paraId="3B551A26" w14:textId="77777777">
        <w:tblPrEx>
          <w:tblCellMar>
            <w:top w:w="0" w:type="dxa"/>
            <w:bottom w:w="0" w:type="dxa"/>
          </w:tblCellMar>
        </w:tblPrEx>
        <w:tc>
          <w:tcPr>
            <w:tcW w:w="2600" w:type="dxa"/>
            <w:tcMar>
              <w:top w:w="80" w:type="dxa"/>
              <w:left w:w="100" w:type="dxa"/>
              <w:bottom w:w="80" w:type="dxa"/>
              <w:right w:w="100" w:type="dxa"/>
            </w:tcMar>
            <w:vAlign w:val="center"/>
          </w:tcPr>
          <w:p w14:paraId="1FD47E71" w14:textId="77777777" w:rsidR="00103F09" w:rsidRDefault="00000000">
            <w:r>
              <w:rPr>
                <w:sz w:val="18"/>
                <w:szCs w:val="18"/>
              </w:rPr>
              <w:t>Course Title</w:t>
            </w:r>
          </w:p>
        </w:tc>
        <w:tc>
          <w:tcPr>
            <w:tcW w:w="6800" w:type="dxa"/>
            <w:tcMar>
              <w:top w:w="80" w:type="dxa"/>
              <w:left w:w="100" w:type="dxa"/>
              <w:bottom w:w="80" w:type="dxa"/>
              <w:right w:w="100" w:type="dxa"/>
            </w:tcMar>
            <w:vAlign w:val="center"/>
          </w:tcPr>
          <w:p w14:paraId="36036561" w14:textId="77777777" w:rsidR="00103F09" w:rsidRDefault="00000000">
            <w:pPr>
              <w:jc w:val="center"/>
            </w:pPr>
            <w:r>
              <w:rPr>
                <w:sz w:val="18"/>
                <w:szCs w:val="18"/>
              </w:rPr>
              <w:t>Data Analytics Essentials with AI: SQL, Python, Power BI, Tableau and Excel</w:t>
            </w:r>
          </w:p>
        </w:tc>
      </w:tr>
      <w:tr w:rsidR="00103F09" w14:paraId="7E27A069"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4AD8EA76" w14:textId="77777777" w:rsidR="00103F09" w:rsidRDefault="00000000">
            <w:r>
              <w:rPr>
                <w:sz w:val="18"/>
                <w:szCs w:val="18"/>
              </w:rPr>
              <w:t>Course Code</w:t>
            </w:r>
          </w:p>
        </w:tc>
        <w:tc>
          <w:tcPr>
            <w:tcW w:w="6800" w:type="dxa"/>
            <w:shd w:val="clear" w:color="auto" w:fill="F2F2F2"/>
            <w:tcMar>
              <w:top w:w="80" w:type="dxa"/>
              <w:left w:w="100" w:type="dxa"/>
              <w:bottom w:w="80" w:type="dxa"/>
              <w:right w:w="100" w:type="dxa"/>
            </w:tcMar>
            <w:vAlign w:val="center"/>
          </w:tcPr>
          <w:p w14:paraId="7EA795B8" w14:textId="77777777" w:rsidR="00103F09" w:rsidRDefault="00000000">
            <w:pPr>
              <w:jc w:val="center"/>
            </w:pPr>
            <w:r>
              <w:rPr>
                <w:sz w:val="18"/>
                <w:szCs w:val="18"/>
              </w:rPr>
              <w:t>PETV103</w:t>
            </w:r>
          </w:p>
        </w:tc>
      </w:tr>
      <w:tr w:rsidR="00103F09" w14:paraId="55B05478" w14:textId="77777777">
        <w:tblPrEx>
          <w:tblCellMar>
            <w:top w:w="0" w:type="dxa"/>
            <w:bottom w:w="0" w:type="dxa"/>
          </w:tblCellMar>
        </w:tblPrEx>
        <w:tc>
          <w:tcPr>
            <w:tcW w:w="2600" w:type="dxa"/>
            <w:tcMar>
              <w:top w:w="80" w:type="dxa"/>
              <w:left w:w="100" w:type="dxa"/>
              <w:bottom w:w="80" w:type="dxa"/>
              <w:right w:w="100" w:type="dxa"/>
            </w:tcMar>
            <w:vAlign w:val="center"/>
          </w:tcPr>
          <w:p w14:paraId="5141E3FD" w14:textId="77777777" w:rsidR="00103F09" w:rsidRDefault="00000000">
            <w:r>
              <w:rPr>
                <w:sz w:val="18"/>
                <w:szCs w:val="18"/>
              </w:rPr>
              <w:t>Section</w:t>
            </w:r>
          </w:p>
        </w:tc>
        <w:tc>
          <w:tcPr>
            <w:tcW w:w="6800" w:type="dxa"/>
            <w:tcMar>
              <w:top w:w="80" w:type="dxa"/>
              <w:left w:w="100" w:type="dxa"/>
              <w:bottom w:w="80" w:type="dxa"/>
              <w:right w:w="100" w:type="dxa"/>
            </w:tcMar>
            <w:vAlign w:val="center"/>
          </w:tcPr>
          <w:p w14:paraId="67D446E3" w14:textId="77777777" w:rsidR="00103F09" w:rsidRDefault="00000000">
            <w:pPr>
              <w:jc w:val="center"/>
            </w:pPr>
            <w:r>
              <w:rPr>
                <w:sz w:val="18"/>
                <w:szCs w:val="18"/>
              </w:rPr>
              <w:t>9PV24</w:t>
            </w:r>
          </w:p>
        </w:tc>
      </w:tr>
      <w:tr w:rsidR="00103F09" w14:paraId="3203CF3A"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68A56FE9" w14:textId="77777777" w:rsidR="00103F09" w:rsidRDefault="00000000">
            <w:r>
              <w:rPr>
                <w:sz w:val="18"/>
                <w:szCs w:val="18"/>
              </w:rPr>
              <w:t>Evaluation Weightage</w:t>
            </w:r>
          </w:p>
        </w:tc>
        <w:tc>
          <w:tcPr>
            <w:tcW w:w="6800" w:type="dxa"/>
            <w:shd w:val="clear" w:color="auto" w:fill="F2F2F2"/>
            <w:tcMar>
              <w:top w:w="80" w:type="dxa"/>
              <w:left w:w="100" w:type="dxa"/>
              <w:bottom w:w="80" w:type="dxa"/>
              <w:right w:w="100" w:type="dxa"/>
            </w:tcMar>
            <w:vAlign w:val="center"/>
          </w:tcPr>
          <w:p w14:paraId="2DC32233" w14:textId="77777777" w:rsidR="00103F09" w:rsidRDefault="00000000">
            <w:pPr>
              <w:jc w:val="center"/>
            </w:pPr>
            <w:r>
              <w:rPr>
                <w:sz w:val="18"/>
                <w:szCs w:val="18"/>
              </w:rPr>
              <w:t>30 Marks (Project: 15 | Report: 5 | Viva: 10)</w:t>
            </w:r>
          </w:p>
        </w:tc>
      </w:tr>
      <w:tr w:rsidR="00103F09" w14:paraId="7C65ACB2" w14:textId="77777777">
        <w:tblPrEx>
          <w:tblCellMar>
            <w:top w:w="0" w:type="dxa"/>
            <w:bottom w:w="0" w:type="dxa"/>
          </w:tblCellMar>
        </w:tblPrEx>
        <w:tc>
          <w:tcPr>
            <w:tcW w:w="2600" w:type="dxa"/>
            <w:tcMar>
              <w:top w:w="80" w:type="dxa"/>
              <w:left w:w="100" w:type="dxa"/>
              <w:bottom w:w="80" w:type="dxa"/>
              <w:right w:w="100" w:type="dxa"/>
            </w:tcMar>
            <w:vAlign w:val="center"/>
          </w:tcPr>
          <w:p w14:paraId="5731AF99" w14:textId="77777777" w:rsidR="00103F09" w:rsidRDefault="00000000">
            <w:r>
              <w:rPr>
                <w:sz w:val="18"/>
                <w:szCs w:val="18"/>
              </w:rPr>
              <w:t>Submitted By</w:t>
            </w:r>
          </w:p>
        </w:tc>
        <w:tc>
          <w:tcPr>
            <w:tcW w:w="6800" w:type="dxa"/>
            <w:tcMar>
              <w:top w:w="80" w:type="dxa"/>
              <w:left w:w="100" w:type="dxa"/>
              <w:bottom w:w="80" w:type="dxa"/>
              <w:right w:w="100" w:type="dxa"/>
            </w:tcMar>
            <w:vAlign w:val="center"/>
          </w:tcPr>
          <w:p w14:paraId="282A5E05" w14:textId="0B203995" w:rsidR="00103F09" w:rsidRDefault="00103F09">
            <w:pPr>
              <w:jc w:val="center"/>
            </w:pPr>
          </w:p>
        </w:tc>
      </w:tr>
    </w:tbl>
    <w:p w14:paraId="639F226C" w14:textId="77777777" w:rsidR="00103F09" w:rsidRDefault="00000000">
      <w:pPr>
        <w:spacing w:before="800"/>
      </w:pPr>
      <w:r>
        <w:br w:type="page"/>
      </w:r>
    </w:p>
    <w:p w14:paraId="6AF86984" w14:textId="77777777" w:rsidR="00103F09" w:rsidRDefault="00000000">
      <w:pPr>
        <w:pStyle w:val="Heading1"/>
        <w:pBdr>
          <w:bottom w:val="single" w:sz="8" w:space="4" w:color="000000"/>
        </w:pBdr>
        <w:spacing w:before="400" w:after="200"/>
      </w:pPr>
      <w:r>
        <w:lastRenderedPageBreak/>
        <w:t>1. Executive Summary &amp; Objectives</w:t>
      </w:r>
    </w:p>
    <w:p w14:paraId="56F4D673" w14:textId="77777777" w:rsidR="00103F09" w:rsidRDefault="00000000">
      <w:pPr>
        <w:pStyle w:val="Heading2"/>
        <w:spacing w:before="260" w:after="140"/>
      </w:pPr>
      <w:r>
        <w:t>1.1 Executive Summary</w:t>
      </w:r>
    </w:p>
    <w:p w14:paraId="09D3F064" w14:textId="77777777" w:rsidR="00103F09" w:rsidRDefault="00000000">
      <w:pPr>
        <w:spacing w:after="160" w:line="300" w:lineRule="auto"/>
        <w:jc w:val="both"/>
      </w:pPr>
      <w:r>
        <w:t>The Fast-Moving Consumer Goods (FMCG) sector constitutes the fourth largest sector in the Indian economy, contributing significantly to national GDP and employment generation across urban and rural markets. The sector is widely regarded as a defensive investment category because it caters to non-discretionary consumption items such as food, personal care, and household products, which exhibit stable demand even during periods of macroeconomic volatility. Over the past decade, the Indian FMCG landscape has been shaped by two dominant structural trends: premiumization, wherein consumers are progressively trading up from mass-market products to higher-margin premium offerings, and rural penetration, driven by rising disposable incomes and improved distribution infrastructure.</w:t>
      </w:r>
    </w:p>
    <w:p w14:paraId="22B9F469" w14:textId="77777777" w:rsidR="00103F09" w:rsidRDefault="00000000">
      <w:pPr>
        <w:spacing w:after="160" w:line="300" w:lineRule="auto"/>
        <w:jc w:val="both"/>
      </w:pPr>
      <w:r>
        <w:t>This project undertakes a comprehensive financial ratio analysis and storytelling exercise for five leading Indian FMCG companies — Hindustan Unilever Limited (HUL), ITC Limited, Nestle India Limited, Britannia Industries Limited, and Tata Consumer Products Limited (TCPL) — using ten years of historical financial data spanning FY2016 to FY2025. The analysis integrates profitability, efficiency, valuation, and capital structure metrics to construct a holistic financial narrative for each company, supported by DuPont decomposition to isolate the specific drivers of shareholder returns.</w:t>
      </w:r>
    </w:p>
    <w:p w14:paraId="52E22FF1" w14:textId="77777777" w:rsidR="00103F09" w:rsidRDefault="00000000">
      <w:pPr>
        <w:spacing w:after="160" w:line="300" w:lineRule="auto"/>
        <w:jc w:val="both"/>
      </w:pPr>
      <w:r>
        <w:t>The study employs a multi-tool analytics approach consistent with the course curriculum, combining SQL-based data structuring, Python for computational analysis, and Power BI/Tableau-style dashboarding principles (implemented through a custom HTML5/CSS/JS interactive dashboard) to convert raw financial statement data into decision-relevant business intelligence. The findings reveal considerable divergence in capital efficiency across the peer set — ranging from Nestle India's exceptionally lean, high-turnover business model to Tata Consumer's transitional, acquisition-heavy balance sheet — offering rich material for comparative corporate finance analysis.</w:t>
      </w:r>
    </w:p>
    <w:p w14:paraId="4A561B8C" w14:textId="77777777" w:rsidR="00103F09" w:rsidRDefault="00000000">
      <w:pPr>
        <w:pStyle w:val="Heading2"/>
        <w:spacing w:before="260" w:after="140"/>
      </w:pPr>
      <w:r>
        <w:t>1.2 Academic Objectives</w:t>
      </w:r>
    </w:p>
    <w:p w14:paraId="646BB262" w14:textId="77777777" w:rsidR="00103F09" w:rsidRDefault="00000000">
      <w:pPr>
        <w:pStyle w:val="ListParagraph"/>
        <w:numPr>
          <w:ilvl w:val="0"/>
          <w:numId w:val="2"/>
        </w:numPr>
        <w:spacing w:after="100" w:line="280" w:lineRule="auto"/>
      </w:pPr>
      <w:r>
        <w:t>To collect, clean, and structure ten years (FY2016–FY2025) of financial statement data for five major Indian FMCG companies from verified public sources.</w:t>
      </w:r>
    </w:p>
    <w:p w14:paraId="12A7425B" w14:textId="77777777" w:rsidR="00103F09" w:rsidRDefault="00000000">
      <w:pPr>
        <w:pStyle w:val="ListParagraph"/>
        <w:numPr>
          <w:ilvl w:val="0"/>
          <w:numId w:val="2"/>
        </w:numPr>
        <w:spacing w:after="100" w:line="280" w:lineRule="auto"/>
      </w:pPr>
      <w:r>
        <w:t>To compute and interpret key financial ratios, including profitability ratios (OPM, NPM, ROE, ROCE), valuation ratios (P/E, P/B), and solvency ratios (Debt-to-Equity).</w:t>
      </w:r>
    </w:p>
    <w:p w14:paraId="35A94DFD" w14:textId="77777777" w:rsidR="00103F09" w:rsidRDefault="00000000">
      <w:pPr>
        <w:pStyle w:val="ListParagraph"/>
        <w:numPr>
          <w:ilvl w:val="0"/>
          <w:numId w:val="2"/>
        </w:numPr>
        <w:spacing w:after="100" w:line="280" w:lineRule="auto"/>
      </w:pPr>
      <w:r>
        <w:t>To perform a three-factor DuPont decomposition of Return on Equity (ROE) into Net Profit Margin, Asset Turnover, and Equity Multiplier for each company.</w:t>
      </w:r>
    </w:p>
    <w:p w14:paraId="3B21ADD7" w14:textId="77777777" w:rsidR="00103F09" w:rsidRDefault="00000000">
      <w:pPr>
        <w:pStyle w:val="ListParagraph"/>
        <w:numPr>
          <w:ilvl w:val="0"/>
          <w:numId w:val="2"/>
        </w:numPr>
        <w:spacing w:after="100" w:line="280" w:lineRule="auto"/>
      </w:pPr>
      <w:r>
        <w:t>To conduct peer benchmarking across the five companies in order to identify relative strengths, weaknesses, and business model differences within the FMCG sector.</w:t>
      </w:r>
    </w:p>
    <w:p w14:paraId="1616DD29" w14:textId="77777777" w:rsidR="00103F09" w:rsidRDefault="00000000">
      <w:pPr>
        <w:pStyle w:val="ListParagraph"/>
        <w:numPr>
          <w:ilvl w:val="0"/>
          <w:numId w:val="2"/>
        </w:numPr>
        <w:spacing w:after="100" w:line="280" w:lineRule="auto"/>
      </w:pPr>
      <w:r>
        <w:t>To translate quantitative findings into qualitative corporate narratives (financial storytelling) that explain the business logic behind the numbers.</w:t>
      </w:r>
    </w:p>
    <w:p w14:paraId="062F2F63" w14:textId="77777777" w:rsidR="00103F09" w:rsidRDefault="00000000">
      <w:pPr>
        <w:pStyle w:val="ListParagraph"/>
        <w:numPr>
          <w:ilvl w:val="0"/>
          <w:numId w:val="2"/>
        </w:numPr>
        <w:spacing w:after="100" w:line="280" w:lineRule="auto"/>
      </w:pPr>
      <w:r>
        <w:t>To design and build an interactive, offline-compatible web dashboard for visual exploration of the dataset, incorporating dynamic charts and DuPont sensitivity sliders.</w:t>
      </w:r>
    </w:p>
    <w:p w14:paraId="5B399300" w14:textId="77777777" w:rsidR="00103F09" w:rsidRDefault="00000000">
      <w:pPr>
        <w:pStyle w:val="Heading1"/>
        <w:pBdr>
          <w:bottom w:val="single" w:sz="8" w:space="4" w:color="000000"/>
        </w:pBdr>
        <w:spacing w:before="400" w:after="200"/>
      </w:pPr>
      <w:r>
        <w:lastRenderedPageBreak/>
        <w:t>2. Data Sourcing &amp; Methodology</w:t>
      </w:r>
    </w:p>
    <w:p w14:paraId="4AC93D04" w14:textId="77777777" w:rsidR="00103F09" w:rsidRDefault="00000000">
      <w:pPr>
        <w:pStyle w:val="Heading2"/>
        <w:spacing w:before="260" w:after="140"/>
      </w:pPr>
      <w:r>
        <w:t>2.1 Data Sourcing</w:t>
      </w:r>
    </w:p>
    <w:p w14:paraId="2536B060" w14:textId="77777777" w:rsidR="00103F09" w:rsidRDefault="00000000">
      <w:pPr>
        <w:spacing w:after="160" w:line="300" w:lineRule="auto"/>
        <w:jc w:val="both"/>
      </w:pPr>
      <w:r>
        <w:t>All financial data used in this project has been sourced from verified public corporate filings, including annual reports, audited financial statements, and stock exchange disclosures of the respective companies. The primary financial aggregation and cross-verification portal used for structuring and validating this dataset is Screener.in (URL: https://www.screener.in), a widely recognized platform among Indian equity researchers and academic analysts for consolidated historical financial data. Data points including Market Capitalization, Current Market Price (CMP), Price-to-Earnings (P/E) ratio, Price-to-Book (P/B) ratio, Operating Profit Margin (OPM), Return on Equity (ROE), Return on Capital Employed (ROCE), Net Worth, and Borrowings were extracted for the FY2025 snapshot, along with the ten-year historical trend from FY2016 to FY2025.</w:t>
      </w:r>
    </w:p>
    <w:p w14:paraId="3E191842" w14:textId="77777777" w:rsidR="00103F09" w:rsidRDefault="00000000">
      <w:pPr>
        <w:spacing w:after="160" w:line="300" w:lineRule="auto"/>
        <w:jc w:val="both"/>
      </w:pPr>
      <w:r>
        <w:t>The methodology follows a standard analytics pipeline: raw data extraction, data cleaning (handling of missing values, unit standardization in ₹ Crores, and outlier verification), ratio computation, DuPont decomposition, and finally, visual storytelling through dashboard design.</w:t>
      </w:r>
    </w:p>
    <w:p w14:paraId="63C47D75" w14:textId="77777777" w:rsidR="00103F09" w:rsidRDefault="00000000">
      <w:pPr>
        <w:pStyle w:val="Heading2"/>
        <w:spacing w:before="260" w:after="140"/>
      </w:pPr>
      <w:r>
        <w:t>2.2 Formulae Used</w:t>
      </w:r>
    </w:p>
    <w:p w14:paraId="040DD769" w14:textId="77777777" w:rsidR="00103F09" w:rsidRDefault="00000000">
      <w:pPr>
        <w:spacing w:after="120"/>
        <w:jc w:val="both"/>
      </w:pPr>
      <w:r>
        <w:t>The following standard financial formulae were applied throughout the analysis:</w:t>
      </w:r>
    </w:p>
    <w:p w14:paraId="220D8BD2" w14:textId="77777777" w:rsidR="00103F09" w:rsidRDefault="00000000">
      <w:pPr>
        <w:pStyle w:val="ListParagraph"/>
        <w:numPr>
          <w:ilvl w:val="0"/>
          <w:numId w:val="2"/>
        </w:numPr>
        <w:spacing w:after="100" w:line="280" w:lineRule="auto"/>
      </w:pPr>
      <w:r>
        <w:t>Operating Profit Margin (OPM) = (Operating Profit ÷ Net Sales) × 100</w:t>
      </w:r>
    </w:p>
    <w:p w14:paraId="7CB9C55C" w14:textId="77777777" w:rsidR="00103F09" w:rsidRDefault="00000000">
      <w:pPr>
        <w:pStyle w:val="ListParagraph"/>
        <w:numPr>
          <w:ilvl w:val="0"/>
          <w:numId w:val="2"/>
        </w:numPr>
        <w:spacing w:after="100" w:line="280" w:lineRule="auto"/>
      </w:pPr>
      <w:r>
        <w:t>Net Profit Margin (NPM) = (Net Profit ÷ Net Sales) × 100</w:t>
      </w:r>
    </w:p>
    <w:p w14:paraId="7DD564F6" w14:textId="77777777" w:rsidR="00103F09" w:rsidRDefault="00000000">
      <w:pPr>
        <w:pStyle w:val="ListParagraph"/>
        <w:numPr>
          <w:ilvl w:val="0"/>
          <w:numId w:val="2"/>
        </w:numPr>
        <w:spacing w:after="100" w:line="280" w:lineRule="auto"/>
      </w:pPr>
      <w:r>
        <w:t>Return on Equity (ROE) = (Net Profit ÷ Shareholders' Equity) × 100</w:t>
      </w:r>
    </w:p>
    <w:p w14:paraId="7E8F2C05" w14:textId="77777777" w:rsidR="00103F09" w:rsidRDefault="00000000">
      <w:pPr>
        <w:pStyle w:val="ListParagraph"/>
        <w:numPr>
          <w:ilvl w:val="0"/>
          <w:numId w:val="2"/>
        </w:numPr>
        <w:spacing w:after="100" w:line="280" w:lineRule="auto"/>
      </w:pPr>
      <w:r>
        <w:t>Return on Capital Employed (ROCE) = (Earnings Before Interest and Tax ÷ Capital Employed) × 100</w:t>
      </w:r>
    </w:p>
    <w:p w14:paraId="5598C95B" w14:textId="77777777" w:rsidR="00103F09" w:rsidRDefault="00000000">
      <w:pPr>
        <w:pStyle w:val="ListParagraph"/>
        <w:numPr>
          <w:ilvl w:val="0"/>
          <w:numId w:val="2"/>
        </w:numPr>
        <w:spacing w:after="100" w:line="280" w:lineRule="auto"/>
      </w:pPr>
      <w:r>
        <w:t>Debt-to-Equity Ratio (D/E) = Total Borrowings ÷ Shareholders' Equity</w:t>
      </w:r>
    </w:p>
    <w:p w14:paraId="6171868B" w14:textId="77777777" w:rsidR="00103F09" w:rsidRDefault="00000000">
      <w:pPr>
        <w:pStyle w:val="ListParagraph"/>
        <w:numPr>
          <w:ilvl w:val="0"/>
          <w:numId w:val="2"/>
        </w:numPr>
        <w:spacing w:after="100" w:line="280" w:lineRule="auto"/>
      </w:pPr>
      <w:r>
        <w:t>DuPont Analysis: ROE = Net Profit Margin × Asset Turnover × Equity Multiplier</w:t>
      </w:r>
    </w:p>
    <w:p w14:paraId="5B435E35" w14:textId="77777777" w:rsidR="00103F09" w:rsidRDefault="00000000">
      <w:pPr>
        <w:pStyle w:val="ListParagraph"/>
        <w:numPr>
          <w:ilvl w:val="0"/>
          <w:numId w:val="2"/>
        </w:numPr>
        <w:spacing w:after="100" w:line="280" w:lineRule="auto"/>
      </w:pPr>
      <w:r>
        <w:t xml:space="preserve">  where Asset Turnover = Net Sales ÷ Total Assets, and Equity Multiplier = Total Assets ÷ Shareholders' Equity</w:t>
      </w:r>
    </w:p>
    <w:p w14:paraId="4281FDAE" w14:textId="77777777" w:rsidR="00103F09" w:rsidRDefault="00000000">
      <w:pPr>
        <w:pStyle w:val="Heading1"/>
        <w:pBdr>
          <w:bottom w:val="single" w:sz="8" w:space="4" w:color="000000"/>
        </w:pBdr>
        <w:spacing w:before="400" w:after="200"/>
      </w:pPr>
      <w:r>
        <w:t>3. Peer Comparison &amp; Financial Matrix</w:t>
      </w:r>
    </w:p>
    <w:p w14:paraId="0FEDE1AB" w14:textId="77777777" w:rsidR="00103F09" w:rsidRDefault="00000000">
      <w:pPr>
        <w:pStyle w:val="Heading2"/>
        <w:spacing w:before="260" w:after="140"/>
      </w:pPr>
      <w:r>
        <w:t>3.1 FY2025 Peer Comparison Table</w:t>
      </w:r>
    </w:p>
    <w:tbl>
      <w:tblPr>
        <w:tblW w:w="10000" w:type="dxa"/>
        <w:tblBorders>
          <w:top w:val="single" w:sz="4" w:space="0" w:color="000000"/>
          <w:left w:val="single" w:sz="4" w:space="0" w:color="000000"/>
          <w:bottom w:val="single" w:sz="4" w:space="0" w:color="000000"/>
          <w:right w:val="single" w:sz="4" w:space="0" w:color="000000"/>
          <w:insideH w:val="single" w:sz="2" w:space="0" w:color="000000"/>
          <w:insideV w:val="single" w:sz="2" w:space="0" w:color="000000"/>
        </w:tblBorders>
        <w:tblCellMar>
          <w:left w:w="10" w:type="dxa"/>
          <w:right w:w="10" w:type="dxa"/>
        </w:tblCellMar>
        <w:tblLook w:val="04A0" w:firstRow="1" w:lastRow="0" w:firstColumn="1" w:lastColumn="0" w:noHBand="0" w:noVBand="1"/>
      </w:tblPr>
      <w:tblGrid>
        <w:gridCol w:w="1900"/>
        <w:gridCol w:w="1500"/>
        <w:gridCol w:w="1200"/>
        <w:gridCol w:w="1000"/>
        <w:gridCol w:w="1000"/>
        <w:gridCol w:w="1100"/>
        <w:gridCol w:w="1100"/>
        <w:gridCol w:w="1200"/>
      </w:tblGrid>
      <w:tr w:rsidR="00103F09" w14:paraId="10FD0D74" w14:textId="77777777">
        <w:tblPrEx>
          <w:tblCellMar>
            <w:top w:w="0" w:type="dxa"/>
            <w:bottom w:w="0" w:type="dxa"/>
          </w:tblCellMar>
        </w:tblPrEx>
        <w:trPr>
          <w:tblHeader/>
        </w:trPr>
        <w:tc>
          <w:tcPr>
            <w:tcW w:w="1900" w:type="dxa"/>
            <w:shd w:val="clear" w:color="auto" w:fill="D9D9D9"/>
            <w:tcMar>
              <w:top w:w="80" w:type="dxa"/>
              <w:left w:w="100" w:type="dxa"/>
              <w:bottom w:w="80" w:type="dxa"/>
              <w:right w:w="100" w:type="dxa"/>
            </w:tcMar>
            <w:vAlign w:val="center"/>
          </w:tcPr>
          <w:p w14:paraId="33F70E5A" w14:textId="77777777" w:rsidR="00103F09" w:rsidRDefault="00000000">
            <w:pPr>
              <w:jc w:val="center"/>
            </w:pPr>
            <w:r>
              <w:rPr>
                <w:b/>
                <w:bCs/>
                <w:sz w:val="18"/>
                <w:szCs w:val="18"/>
              </w:rPr>
              <w:t>Company</w:t>
            </w:r>
          </w:p>
        </w:tc>
        <w:tc>
          <w:tcPr>
            <w:tcW w:w="1500" w:type="dxa"/>
            <w:shd w:val="clear" w:color="auto" w:fill="D9D9D9"/>
            <w:tcMar>
              <w:top w:w="80" w:type="dxa"/>
              <w:left w:w="100" w:type="dxa"/>
              <w:bottom w:w="80" w:type="dxa"/>
              <w:right w:w="100" w:type="dxa"/>
            </w:tcMar>
            <w:vAlign w:val="center"/>
          </w:tcPr>
          <w:p w14:paraId="27EE5323" w14:textId="77777777" w:rsidR="00103F09" w:rsidRDefault="00000000">
            <w:pPr>
              <w:jc w:val="center"/>
            </w:pPr>
            <w:r>
              <w:rPr>
                <w:b/>
                <w:bCs/>
                <w:sz w:val="18"/>
                <w:szCs w:val="18"/>
              </w:rPr>
              <w:t>Mkt Cap (₹ Cr)</w:t>
            </w:r>
          </w:p>
        </w:tc>
        <w:tc>
          <w:tcPr>
            <w:tcW w:w="1200" w:type="dxa"/>
            <w:shd w:val="clear" w:color="auto" w:fill="D9D9D9"/>
            <w:tcMar>
              <w:top w:w="80" w:type="dxa"/>
              <w:left w:w="100" w:type="dxa"/>
              <w:bottom w:w="80" w:type="dxa"/>
              <w:right w:w="100" w:type="dxa"/>
            </w:tcMar>
            <w:vAlign w:val="center"/>
          </w:tcPr>
          <w:p w14:paraId="7CF82148" w14:textId="77777777" w:rsidR="00103F09" w:rsidRDefault="00000000">
            <w:pPr>
              <w:jc w:val="center"/>
            </w:pPr>
            <w:r>
              <w:rPr>
                <w:b/>
                <w:bCs/>
                <w:sz w:val="18"/>
                <w:szCs w:val="18"/>
              </w:rPr>
              <w:t>CMP (₹)</w:t>
            </w:r>
          </w:p>
        </w:tc>
        <w:tc>
          <w:tcPr>
            <w:tcW w:w="1000" w:type="dxa"/>
            <w:shd w:val="clear" w:color="auto" w:fill="D9D9D9"/>
            <w:tcMar>
              <w:top w:w="80" w:type="dxa"/>
              <w:left w:w="100" w:type="dxa"/>
              <w:bottom w:w="80" w:type="dxa"/>
              <w:right w:w="100" w:type="dxa"/>
            </w:tcMar>
            <w:vAlign w:val="center"/>
          </w:tcPr>
          <w:p w14:paraId="5621B081" w14:textId="77777777" w:rsidR="00103F09" w:rsidRDefault="00000000">
            <w:pPr>
              <w:jc w:val="center"/>
            </w:pPr>
            <w:r>
              <w:rPr>
                <w:b/>
                <w:bCs/>
                <w:sz w:val="18"/>
                <w:szCs w:val="18"/>
              </w:rPr>
              <w:t>P/E</w:t>
            </w:r>
          </w:p>
        </w:tc>
        <w:tc>
          <w:tcPr>
            <w:tcW w:w="1000" w:type="dxa"/>
            <w:shd w:val="clear" w:color="auto" w:fill="D9D9D9"/>
            <w:tcMar>
              <w:top w:w="80" w:type="dxa"/>
              <w:left w:w="100" w:type="dxa"/>
              <w:bottom w:w="80" w:type="dxa"/>
              <w:right w:w="100" w:type="dxa"/>
            </w:tcMar>
            <w:vAlign w:val="center"/>
          </w:tcPr>
          <w:p w14:paraId="657D2DB0" w14:textId="77777777" w:rsidR="00103F09" w:rsidRDefault="00000000">
            <w:pPr>
              <w:jc w:val="center"/>
            </w:pPr>
            <w:r>
              <w:rPr>
                <w:b/>
                <w:bCs/>
                <w:sz w:val="18"/>
                <w:szCs w:val="18"/>
              </w:rPr>
              <w:t>P/B</w:t>
            </w:r>
          </w:p>
        </w:tc>
        <w:tc>
          <w:tcPr>
            <w:tcW w:w="1100" w:type="dxa"/>
            <w:shd w:val="clear" w:color="auto" w:fill="D9D9D9"/>
            <w:tcMar>
              <w:top w:w="80" w:type="dxa"/>
              <w:left w:w="100" w:type="dxa"/>
              <w:bottom w:w="80" w:type="dxa"/>
              <w:right w:w="100" w:type="dxa"/>
            </w:tcMar>
            <w:vAlign w:val="center"/>
          </w:tcPr>
          <w:p w14:paraId="0E4E9733" w14:textId="77777777" w:rsidR="00103F09" w:rsidRDefault="00000000">
            <w:pPr>
              <w:jc w:val="center"/>
            </w:pPr>
            <w:r>
              <w:rPr>
                <w:b/>
                <w:bCs/>
                <w:sz w:val="18"/>
                <w:szCs w:val="18"/>
              </w:rPr>
              <w:t>OPM %</w:t>
            </w:r>
          </w:p>
        </w:tc>
        <w:tc>
          <w:tcPr>
            <w:tcW w:w="1100" w:type="dxa"/>
            <w:shd w:val="clear" w:color="auto" w:fill="D9D9D9"/>
            <w:tcMar>
              <w:top w:w="80" w:type="dxa"/>
              <w:left w:w="100" w:type="dxa"/>
              <w:bottom w:w="80" w:type="dxa"/>
              <w:right w:w="100" w:type="dxa"/>
            </w:tcMar>
            <w:vAlign w:val="center"/>
          </w:tcPr>
          <w:p w14:paraId="780B4655" w14:textId="77777777" w:rsidR="00103F09" w:rsidRDefault="00000000">
            <w:pPr>
              <w:jc w:val="center"/>
            </w:pPr>
            <w:r>
              <w:rPr>
                <w:b/>
                <w:bCs/>
                <w:sz w:val="18"/>
                <w:szCs w:val="18"/>
              </w:rPr>
              <w:t>ROE %</w:t>
            </w:r>
          </w:p>
        </w:tc>
        <w:tc>
          <w:tcPr>
            <w:tcW w:w="1200" w:type="dxa"/>
            <w:shd w:val="clear" w:color="auto" w:fill="D9D9D9"/>
            <w:tcMar>
              <w:top w:w="80" w:type="dxa"/>
              <w:left w:w="100" w:type="dxa"/>
              <w:bottom w:w="80" w:type="dxa"/>
              <w:right w:w="100" w:type="dxa"/>
            </w:tcMar>
            <w:vAlign w:val="center"/>
          </w:tcPr>
          <w:p w14:paraId="63961DAB" w14:textId="77777777" w:rsidR="00103F09" w:rsidRDefault="00000000">
            <w:pPr>
              <w:jc w:val="center"/>
            </w:pPr>
            <w:r>
              <w:rPr>
                <w:b/>
                <w:bCs/>
                <w:sz w:val="18"/>
                <w:szCs w:val="18"/>
              </w:rPr>
              <w:t>ROCE %</w:t>
            </w:r>
          </w:p>
        </w:tc>
      </w:tr>
      <w:tr w:rsidR="00103F09" w14:paraId="5CF7133D" w14:textId="77777777">
        <w:tblPrEx>
          <w:tblCellMar>
            <w:top w:w="0" w:type="dxa"/>
            <w:bottom w:w="0" w:type="dxa"/>
          </w:tblCellMar>
        </w:tblPrEx>
        <w:tc>
          <w:tcPr>
            <w:tcW w:w="1900" w:type="dxa"/>
            <w:tcMar>
              <w:top w:w="80" w:type="dxa"/>
              <w:left w:w="100" w:type="dxa"/>
              <w:bottom w:w="80" w:type="dxa"/>
              <w:right w:w="100" w:type="dxa"/>
            </w:tcMar>
            <w:vAlign w:val="center"/>
          </w:tcPr>
          <w:p w14:paraId="56F9D6EF" w14:textId="77777777" w:rsidR="00103F09" w:rsidRDefault="00000000">
            <w:r>
              <w:rPr>
                <w:sz w:val="18"/>
                <w:szCs w:val="18"/>
              </w:rPr>
              <w:t>HUL</w:t>
            </w:r>
          </w:p>
        </w:tc>
        <w:tc>
          <w:tcPr>
            <w:tcW w:w="1500" w:type="dxa"/>
            <w:tcMar>
              <w:top w:w="80" w:type="dxa"/>
              <w:left w:w="100" w:type="dxa"/>
              <w:bottom w:w="80" w:type="dxa"/>
              <w:right w:w="100" w:type="dxa"/>
            </w:tcMar>
            <w:vAlign w:val="center"/>
          </w:tcPr>
          <w:p w14:paraId="49B766B7" w14:textId="77777777" w:rsidR="00103F09" w:rsidRDefault="00000000">
            <w:pPr>
              <w:jc w:val="center"/>
            </w:pPr>
            <w:r>
              <w:rPr>
                <w:sz w:val="18"/>
                <w:szCs w:val="18"/>
              </w:rPr>
              <w:t>5,92,100</w:t>
            </w:r>
          </w:p>
        </w:tc>
        <w:tc>
          <w:tcPr>
            <w:tcW w:w="1200" w:type="dxa"/>
            <w:tcMar>
              <w:top w:w="80" w:type="dxa"/>
              <w:left w:w="100" w:type="dxa"/>
              <w:bottom w:w="80" w:type="dxa"/>
              <w:right w:w="100" w:type="dxa"/>
            </w:tcMar>
            <w:vAlign w:val="center"/>
          </w:tcPr>
          <w:p w14:paraId="1BEC56CB" w14:textId="77777777" w:rsidR="00103F09" w:rsidRDefault="00000000">
            <w:pPr>
              <w:jc w:val="center"/>
            </w:pPr>
            <w:r>
              <w:rPr>
                <w:sz w:val="18"/>
                <w:szCs w:val="18"/>
              </w:rPr>
              <w:t>2,520.00</w:t>
            </w:r>
          </w:p>
        </w:tc>
        <w:tc>
          <w:tcPr>
            <w:tcW w:w="1000" w:type="dxa"/>
            <w:tcMar>
              <w:top w:w="80" w:type="dxa"/>
              <w:left w:w="100" w:type="dxa"/>
              <w:bottom w:w="80" w:type="dxa"/>
              <w:right w:w="100" w:type="dxa"/>
            </w:tcMar>
            <w:vAlign w:val="center"/>
          </w:tcPr>
          <w:p w14:paraId="54CA7B31" w14:textId="77777777" w:rsidR="00103F09" w:rsidRDefault="00000000">
            <w:pPr>
              <w:jc w:val="center"/>
            </w:pPr>
            <w:r>
              <w:rPr>
                <w:sz w:val="18"/>
                <w:szCs w:val="18"/>
              </w:rPr>
              <w:t>57.5</w:t>
            </w:r>
          </w:p>
        </w:tc>
        <w:tc>
          <w:tcPr>
            <w:tcW w:w="1000" w:type="dxa"/>
            <w:tcMar>
              <w:top w:w="80" w:type="dxa"/>
              <w:left w:w="100" w:type="dxa"/>
              <w:bottom w:w="80" w:type="dxa"/>
              <w:right w:w="100" w:type="dxa"/>
            </w:tcMar>
            <w:vAlign w:val="center"/>
          </w:tcPr>
          <w:p w14:paraId="76E4F1A5" w14:textId="77777777" w:rsidR="00103F09" w:rsidRDefault="00000000">
            <w:pPr>
              <w:jc w:val="center"/>
            </w:pPr>
            <w:r>
              <w:rPr>
                <w:sz w:val="18"/>
                <w:szCs w:val="18"/>
              </w:rPr>
              <w:t>11.3</w:t>
            </w:r>
          </w:p>
        </w:tc>
        <w:tc>
          <w:tcPr>
            <w:tcW w:w="1100" w:type="dxa"/>
            <w:tcMar>
              <w:top w:w="80" w:type="dxa"/>
              <w:left w:w="100" w:type="dxa"/>
              <w:bottom w:w="80" w:type="dxa"/>
              <w:right w:w="100" w:type="dxa"/>
            </w:tcMar>
            <w:vAlign w:val="center"/>
          </w:tcPr>
          <w:p w14:paraId="481747E5" w14:textId="77777777" w:rsidR="00103F09" w:rsidRDefault="00000000">
            <w:pPr>
              <w:jc w:val="center"/>
            </w:pPr>
            <w:r>
              <w:rPr>
                <w:sz w:val="18"/>
                <w:szCs w:val="18"/>
              </w:rPr>
              <w:t>24.0%</w:t>
            </w:r>
          </w:p>
        </w:tc>
        <w:tc>
          <w:tcPr>
            <w:tcW w:w="1100" w:type="dxa"/>
            <w:tcMar>
              <w:top w:w="80" w:type="dxa"/>
              <w:left w:w="100" w:type="dxa"/>
              <w:bottom w:w="80" w:type="dxa"/>
              <w:right w:w="100" w:type="dxa"/>
            </w:tcMar>
            <w:vAlign w:val="center"/>
          </w:tcPr>
          <w:p w14:paraId="402DE6E5" w14:textId="77777777" w:rsidR="00103F09" w:rsidRDefault="00000000">
            <w:pPr>
              <w:jc w:val="center"/>
            </w:pPr>
            <w:r>
              <w:rPr>
                <w:sz w:val="18"/>
                <w:szCs w:val="18"/>
              </w:rPr>
              <w:t>32.8%</w:t>
            </w:r>
          </w:p>
        </w:tc>
        <w:tc>
          <w:tcPr>
            <w:tcW w:w="1200" w:type="dxa"/>
            <w:tcMar>
              <w:top w:w="80" w:type="dxa"/>
              <w:left w:w="100" w:type="dxa"/>
              <w:bottom w:w="80" w:type="dxa"/>
              <w:right w:w="100" w:type="dxa"/>
            </w:tcMar>
            <w:vAlign w:val="center"/>
          </w:tcPr>
          <w:p w14:paraId="3BFFBCB4" w14:textId="77777777" w:rsidR="00103F09" w:rsidRDefault="00000000">
            <w:pPr>
              <w:jc w:val="center"/>
            </w:pPr>
            <w:r>
              <w:rPr>
                <w:sz w:val="18"/>
                <w:szCs w:val="18"/>
              </w:rPr>
              <w:t>36.5%</w:t>
            </w:r>
          </w:p>
        </w:tc>
      </w:tr>
      <w:tr w:rsidR="00103F09" w14:paraId="4ABCD06B" w14:textId="77777777">
        <w:tblPrEx>
          <w:tblCellMar>
            <w:top w:w="0" w:type="dxa"/>
            <w:bottom w:w="0" w:type="dxa"/>
          </w:tblCellMar>
        </w:tblPrEx>
        <w:tc>
          <w:tcPr>
            <w:tcW w:w="1900" w:type="dxa"/>
            <w:shd w:val="clear" w:color="auto" w:fill="F2F2F2"/>
            <w:tcMar>
              <w:top w:w="80" w:type="dxa"/>
              <w:left w:w="100" w:type="dxa"/>
              <w:bottom w:w="80" w:type="dxa"/>
              <w:right w:w="100" w:type="dxa"/>
            </w:tcMar>
            <w:vAlign w:val="center"/>
          </w:tcPr>
          <w:p w14:paraId="0DAA00CD" w14:textId="77777777" w:rsidR="00103F09" w:rsidRDefault="00000000">
            <w:r>
              <w:rPr>
                <w:sz w:val="18"/>
                <w:szCs w:val="18"/>
              </w:rPr>
              <w:t>ITC</w:t>
            </w:r>
          </w:p>
        </w:tc>
        <w:tc>
          <w:tcPr>
            <w:tcW w:w="1500" w:type="dxa"/>
            <w:shd w:val="clear" w:color="auto" w:fill="F2F2F2"/>
            <w:tcMar>
              <w:top w:w="80" w:type="dxa"/>
              <w:left w:w="100" w:type="dxa"/>
              <w:bottom w:w="80" w:type="dxa"/>
              <w:right w:w="100" w:type="dxa"/>
            </w:tcMar>
            <w:vAlign w:val="center"/>
          </w:tcPr>
          <w:p w14:paraId="4DED72B1" w14:textId="77777777" w:rsidR="00103F09" w:rsidRDefault="00000000">
            <w:pPr>
              <w:jc w:val="center"/>
            </w:pPr>
            <w:r>
              <w:rPr>
                <w:sz w:val="18"/>
                <w:szCs w:val="18"/>
              </w:rPr>
              <w:t>5,43,000</w:t>
            </w:r>
          </w:p>
        </w:tc>
        <w:tc>
          <w:tcPr>
            <w:tcW w:w="1200" w:type="dxa"/>
            <w:shd w:val="clear" w:color="auto" w:fill="F2F2F2"/>
            <w:tcMar>
              <w:top w:w="80" w:type="dxa"/>
              <w:left w:w="100" w:type="dxa"/>
              <w:bottom w:w="80" w:type="dxa"/>
              <w:right w:w="100" w:type="dxa"/>
            </w:tcMar>
            <w:vAlign w:val="center"/>
          </w:tcPr>
          <w:p w14:paraId="2955CF50" w14:textId="77777777" w:rsidR="00103F09" w:rsidRDefault="00000000">
            <w:pPr>
              <w:jc w:val="center"/>
            </w:pPr>
            <w:r>
              <w:rPr>
                <w:sz w:val="18"/>
                <w:szCs w:val="18"/>
              </w:rPr>
              <w:t>435.00</w:t>
            </w:r>
          </w:p>
        </w:tc>
        <w:tc>
          <w:tcPr>
            <w:tcW w:w="1000" w:type="dxa"/>
            <w:shd w:val="clear" w:color="auto" w:fill="F2F2F2"/>
            <w:tcMar>
              <w:top w:w="80" w:type="dxa"/>
              <w:left w:w="100" w:type="dxa"/>
              <w:bottom w:w="80" w:type="dxa"/>
              <w:right w:w="100" w:type="dxa"/>
            </w:tcMar>
            <w:vAlign w:val="center"/>
          </w:tcPr>
          <w:p w14:paraId="5BFEEFD3" w14:textId="77777777" w:rsidR="00103F09" w:rsidRDefault="00000000">
            <w:pPr>
              <w:jc w:val="center"/>
            </w:pPr>
            <w:r>
              <w:rPr>
                <w:sz w:val="18"/>
                <w:szCs w:val="18"/>
              </w:rPr>
              <w:t>25.8</w:t>
            </w:r>
          </w:p>
        </w:tc>
        <w:tc>
          <w:tcPr>
            <w:tcW w:w="1000" w:type="dxa"/>
            <w:shd w:val="clear" w:color="auto" w:fill="F2F2F2"/>
            <w:tcMar>
              <w:top w:w="80" w:type="dxa"/>
              <w:left w:w="100" w:type="dxa"/>
              <w:bottom w:w="80" w:type="dxa"/>
              <w:right w:w="100" w:type="dxa"/>
            </w:tcMar>
            <w:vAlign w:val="center"/>
          </w:tcPr>
          <w:p w14:paraId="5E436198" w14:textId="77777777" w:rsidR="00103F09" w:rsidRDefault="00000000">
            <w:pPr>
              <w:jc w:val="center"/>
            </w:pPr>
            <w:r>
              <w:rPr>
                <w:sz w:val="18"/>
                <w:szCs w:val="18"/>
              </w:rPr>
              <w:t>6.9</w:t>
            </w:r>
          </w:p>
        </w:tc>
        <w:tc>
          <w:tcPr>
            <w:tcW w:w="1100" w:type="dxa"/>
            <w:shd w:val="clear" w:color="auto" w:fill="F2F2F2"/>
            <w:tcMar>
              <w:top w:w="80" w:type="dxa"/>
              <w:left w:w="100" w:type="dxa"/>
              <w:bottom w:w="80" w:type="dxa"/>
              <w:right w:w="100" w:type="dxa"/>
            </w:tcMar>
            <w:vAlign w:val="center"/>
          </w:tcPr>
          <w:p w14:paraId="5A03EC4B" w14:textId="77777777" w:rsidR="00103F09" w:rsidRDefault="00000000">
            <w:pPr>
              <w:jc w:val="center"/>
            </w:pPr>
            <w:r>
              <w:rPr>
                <w:sz w:val="18"/>
                <w:szCs w:val="18"/>
              </w:rPr>
              <w:t>37.5%</w:t>
            </w:r>
          </w:p>
        </w:tc>
        <w:tc>
          <w:tcPr>
            <w:tcW w:w="1100" w:type="dxa"/>
            <w:shd w:val="clear" w:color="auto" w:fill="F2F2F2"/>
            <w:tcMar>
              <w:top w:w="80" w:type="dxa"/>
              <w:left w:w="100" w:type="dxa"/>
              <w:bottom w:w="80" w:type="dxa"/>
              <w:right w:w="100" w:type="dxa"/>
            </w:tcMar>
            <w:vAlign w:val="center"/>
          </w:tcPr>
          <w:p w14:paraId="638CDE8C" w14:textId="77777777" w:rsidR="00103F09" w:rsidRDefault="00000000">
            <w:pPr>
              <w:jc w:val="center"/>
            </w:pPr>
            <w:r>
              <w:rPr>
                <w:sz w:val="18"/>
                <w:szCs w:val="18"/>
              </w:rPr>
              <w:t>29.4%</w:t>
            </w:r>
          </w:p>
        </w:tc>
        <w:tc>
          <w:tcPr>
            <w:tcW w:w="1200" w:type="dxa"/>
            <w:shd w:val="clear" w:color="auto" w:fill="F2F2F2"/>
            <w:tcMar>
              <w:top w:w="80" w:type="dxa"/>
              <w:left w:w="100" w:type="dxa"/>
              <w:bottom w:w="80" w:type="dxa"/>
              <w:right w:w="100" w:type="dxa"/>
            </w:tcMar>
            <w:vAlign w:val="center"/>
          </w:tcPr>
          <w:p w14:paraId="2E4290E1" w14:textId="77777777" w:rsidR="00103F09" w:rsidRDefault="00000000">
            <w:pPr>
              <w:jc w:val="center"/>
            </w:pPr>
            <w:r>
              <w:rPr>
                <w:sz w:val="18"/>
                <w:szCs w:val="18"/>
              </w:rPr>
              <w:t>35.2%</w:t>
            </w:r>
          </w:p>
        </w:tc>
      </w:tr>
      <w:tr w:rsidR="00103F09" w14:paraId="05EE7719" w14:textId="77777777">
        <w:tblPrEx>
          <w:tblCellMar>
            <w:top w:w="0" w:type="dxa"/>
            <w:bottom w:w="0" w:type="dxa"/>
          </w:tblCellMar>
        </w:tblPrEx>
        <w:tc>
          <w:tcPr>
            <w:tcW w:w="1900" w:type="dxa"/>
            <w:tcMar>
              <w:top w:w="80" w:type="dxa"/>
              <w:left w:w="100" w:type="dxa"/>
              <w:bottom w:w="80" w:type="dxa"/>
              <w:right w:w="100" w:type="dxa"/>
            </w:tcMar>
            <w:vAlign w:val="center"/>
          </w:tcPr>
          <w:p w14:paraId="48947A0E" w14:textId="77777777" w:rsidR="00103F09" w:rsidRDefault="00000000">
            <w:r>
              <w:rPr>
                <w:sz w:val="18"/>
                <w:szCs w:val="18"/>
              </w:rPr>
              <w:t>Nestle India</w:t>
            </w:r>
          </w:p>
        </w:tc>
        <w:tc>
          <w:tcPr>
            <w:tcW w:w="1500" w:type="dxa"/>
            <w:tcMar>
              <w:top w:w="80" w:type="dxa"/>
              <w:left w:w="100" w:type="dxa"/>
              <w:bottom w:w="80" w:type="dxa"/>
              <w:right w:w="100" w:type="dxa"/>
            </w:tcMar>
            <w:vAlign w:val="center"/>
          </w:tcPr>
          <w:p w14:paraId="031B351E" w14:textId="77777777" w:rsidR="00103F09" w:rsidRDefault="00000000">
            <w:pPr>
              <w:jc w:val="center"/>
            </w:pPr>
            <w:r>
              <w:rPr>
                <w:sz w:val="18"/>
                <w:szCs w:val="18"/>
              </w:rPr>
              <w:t>2,26,600</w:t>
            </w:r>
          </w:p>
        </w:tc>
        <w:tc>
          <w:tcPr>
            <w:tcW w:w="1200" w:type="dxa"/>
            <w:tcMar>
              <w:top w:w="80" w:type="dxa"/>
              <w:left w:w="100" w:type="dxa"/>
              <w:bottom w:w="80" w:type="dxa"/>
              <w:right w:w="100" w:type="dxa"/>
            </w:tcMar>
            <w:vAlign w:val="center"/>
          </w:tcPr>
          <w:p w14:paraId="45D1850F" w14:textId="77777777" w:rsidR="00103F09" w:rsidRDefault="00000000">
            <w:pPr>
              <w:jc w:val="center"/>
            </w:pPr>
            <w:r>
              <w:rPr>
                <w:sz w:val="18"/>
                <w:szCs w:val="18"/>
              </w:rPr>
              <w:t>2,350.00</w:t>
            </w:r>
          </w:p>
        </w:tc>
        <w:tc>
          <w:tcPr>
            <w:tcW w:w="1000" w:type="dxa"/>
            <w:tcMar>
              <w:top w:w="80" w:type="dxa"/>
              <w:left w:w="100" w:type="dxa"/>
              <w:bottom w:w="80" w:type="dxa"/>
              <w:right w:w="100" w:type="dxa"/>
            </w:tcMar>
            <w:vAlign w:val="center"/>
          </w:tcPr>
          <w:p w14:paraId="11EA5D08" w14:textId="77777777" w:rsidR="00103F09" w:rsidRDefault="00000000">
            <w:pPr>
              <w:jc w:val="center"/>
            </w:pPr>
            <w:r>
              <w:rPr>
                <w:sz w:val="18"/>
                <w:szCs w:val="18"/>
              </w:rPr>
              <w:t>70.8</w:t>
            </w:r>
          </w:p>
        </w:tc>
        <w:tc>
          <w:tcPr>
            <w:tcW w:w="1000" w:type="dxa"/>
            <w:tcMar>
              <w:top w:w="80" w:type="dxa"/>
              <w:left w:w="100" w:type="dxa"/>
              <w:bottom w:w="80" w:type="dxa"/>
              <w:right w:w="100" w:type="dxa"/>
            </w:tcMar>
            <w:vAlign w:val="center"/>
          </w:tcPr>
          <w:p w14:paraId="66FFB872" w14:textId="77777777" w:rsidR="00103F09" w:rsidRDefault="00000000">
            <w:pPr>
              <w:jc w:val="center"/>
            </w:pPr>
            <w:r>
              <w:rPr>
                <w:sz w:val="18"/>
                <w:szCs w:val="18"/>
              </w:rPr>
              <w:t>64.7</w:t>
            </w:r>
          </w:p>
        </w:tc>
        <w:tc>
          <w:tcPr>
            <w:tcW w:w="1100" w:type="dxa"/>
            <w:tcMar>
              <w:top w:w="80" w:type="dxa"/>
              <w:left w:w="100" w:type="dxa"/>
              <w:bottom w:w="80" w:type="dxa"/>
              <w:right w:w="100" w:type="dxa"/>
            </w:tcMar>
            <w:vAlign w:val="center"/>
          </w:tcPr>
          <w:p w14:paraId="7B53E49F" w14:textId="77777777" w:rsidR="00103F09" w:rsidRDefault="00000000">
            <w:pPr>
              <w:jc w:val="center"/>
            </w:pPr>
            <w:r>
              <w:rPr>
                <w:sz w:val="18"/>
                <w:szCs w:val="18"/>
              </w:rPr>
              <w:t>23.5%</w:t>
            </w:r>
          </w:p>
        </w:tc>
        <w:tc>
          <w:tcPr>
            <w:tcW w:w="1100" w:type="dxa"/>
            <w:tcMar>
              <w:top w:w="80" w:type="dxa"/>
              <w:left w:w="100" w:type="dxa"/>
              <w:bottom w:w="80" w:type="dxa"/>
              <w:right w:w="100" w:type="dxa"/>
            </w:tcMar>
            <w:vAlign w:val="center"/>
          </w:tcPr>
          <w:p w14:paraId="5C76A797" w14:textId="77777777" w:rsidR="00103F09" w:rsidRDefault="00000000">
            <w:pPr>
              <w:jc w:val="center"/>
            </w:pPr>
            <w:r>
              <w:rPr>
                <w:sz w:val="18"/>
                <w:szCs w:val="18"/>
              </w:rPr>
              <w:t>94.2%</w:t>
            </w:r>
          </w:p>
        </w:tc>
        <w:tc>
          <w:tcPr>
            <w:tcW w:w="1200" w:type="dxa"/>
            <w:tcMar>
              <w:top w:w="80" w:type="dxa"/>
              <w:left w:w="100" w:type="dxa"/>
              <w:bottom w:w="80" w:type="dxa"/>
              <w:right w:w="100" w:type="dxa"/>
            </w:tcMar>
            <w:vAlign w:val="center"/>
          </w:tcPr>
          <w:p w14:paraId="4F082133" w14:textId="77777777" w:rsidR="00103F09" w:rsidRDefault="00000000">
            <w:pPr>
              <w:jc w:val="center"/>
            </w:pPr>
            <w:r>
              <w:rPr>
                <w:sz w:val="18"/>
                <w:szCs w:val="18"/>
              </w:rPr>
              <w:t>53.6%</w:t>
            </w:r>
          </w:p>
        </w:tc>
      </w:tr>
      <w:tr w:rsidR="00103F09" w14:paraId="7269DA9F" w14:textId="77777777">
        <w:tblPrEx>
          <w:tblCellMar>
            <w:top w:w="0" w:type="dxa"/>
            <w:bottom w:w="0" w:type="dxa"/>
          </w:tblCellMar>
        </w:tblPrEx>
        <w:tc>
          <w:tcPr>
            <w:tcW w:w="1900" w:type="dxa"/>
            <w:shd w:val="clear" w:color="auto" w:fill="F2F2F2"/>
            <w:tcMar>
              <w:top w:w="80" w:type="dxa"/>
              <w:left w:w="100" w:type="dxa"/>
              <w:bottom w:w="80" w:type="dxa"/>
              <w:right w:w="100" w:type="dxa"/>
            </w:tcMar>
            <w:vAlign w:val="center"/>
          </w:tcPr>
          <w:p w14:paraId="285BBE32" w14:textId="77777777" w:rsidR="00103F09" w:rsidRDefault="00000000">
            <w:r>
              <w:rPr>
                <w:sz w:val="18"/>
                <w:szCs w:val="18"/>
              </w:rPr>
              <w:t>Britannia</w:t>
            </w:r>
          </w:p>
        </w:tc>
        <w:tc>
          <w:tcPr>
            <w:tcW w:w="1500" w:type="dxa"/>
            <w:shd w:val="clear" w:color="auto" w:fill="F2F2F2"/>
            <w:tcMar>
              <w:top w:w="80" w:type="dxa"/>
              <w:left w:w="100" w:type="dxa"/>
              <w:bottom w:w="80" w:type="dxa"/>
              <w:right w:w="100" w:type="dxa"/>
            </w:tcMar>
            <w:vAlign w:val="center"/>
          </w:tcPr>
          <w:p w14:paraId="629C3BE9" w14:textId="77777777" w:rsidR="00103F09" w:rsidRDefault="00000000">
            <w:pPr>
              <w:jc w:val="center"/>
            </w:pPr>
            <w:r>
              <w:rPr>
                <w:sz w:val="18"/>
                <w:szCs w:val="18"/>
              </w:rPr>
              <w:t>1,19,200</w:t>
            </w:r>
          </w:p>
        </w:tc>
        <w:tc>
          <w:tcPr>
            <w:tcW w:w="1200" w:type="dxa"/>
            <w:shd w:val="clear" w:color="auto" w:fill="F2F2F2"/>
            <w:tcMar>
              <w:top w:w="80" w:type="dxa"/>
              <w:left w:w="100" w:type="dxa"/>
              <w:bottom w:w="80" w:type="dxa"/>
              <w:right w:w="100" w:type="dxa"/>
            </w:tcMar>
            <w:vAlign w:val="center"/>
          </w:tcPr>
          <w:p w14:paraId="1EB338E1" w14:textId="77777777" w:rsidR="00103F09" w:rsidRDefault="00000000">
            <w:pPr>
              <w:jc w:val="center"/>
            </w:pPr>
            <w:r>
              <w:rPr>
                <w:sz w:val="18"/>
                <w:szCs w:val="18"/>
              </w:rPr>
              <w:t>4,950.00</w:t>
            </w:r>
          </w:p>
        </w:tc>
        <w:tc>
          <w:tcPr>
            <w:tcW w:w="1000" w:type="dxa"/>
            <w:shd w:val="clear" w:color="auto" w:fill="F2F2F2"/>
            <w:tcMar>
              <w:top w:w="80" w:type="dxa"/>
              <w:left w:w="100" w:type="dxa"/>
              <w:bottom w:w="80" w:type="dxa"/>
              <w:right w:w="100" w:type="dxa"/>
            </w:tcMar>
            <w:vAlign w:val="center"/>
          </w:tcPr>
          <w:p w14:paraId="5C99E468" w14:textId="77777777" w:rsidR="00103F09" w:rsidRDefault="00000000">
            <w:pPr>
              <w:jc w:val="center"/>
            </w:pPr>
            <w:r>
              <w:rPr>
                <w:sz w:val="18"/>
                <w:szCs w:val="18"/>
              </w:rPr>
              <w:t>54.2</w:t>
            </w:r>
          </w:p>
        </w:tc>
        <w:tc>
          <w:tcPr>
            <w:tcW w:w="1000" w:type="dxa"/>
            <w:shd w:val="clear" w:color="auto" w:fill="F2F2F2"/>
            <w:tcMar>
              <w:top w:w="80" w:type="dxa"/>
              <w:left w:w="100" w:type="dxa"/>
              <w:bottom w:w="80" w:type="dxa"/>
              <w:right w:w="100" w:type="dxa"/>
            </w:tcMar>
            <w:vAlign w:val="center"/>
          </w:tcPr>
          <w:p w14:paraId="16DC4D5D" w14:textId="77777777" w:rsidR="00103F09" w:rsidRDefault="00000000">
            <w:pPr>
              <w:jc w:val="center"/>
            </w:pPr>
            <w:r>
              <w:rPr>
                <w:sz w:val="18"/>
                <w:szCs w:val="18"/>
              </w:rPr>
              <w:t>31.4</w:t>
            </w:r>
          </w:p>
        </w:tc>
        <w:tc>
          <w:tcPr>
            <w:tcW w:w="1100" w:type="dxa"/>
            <w:shd w:val="clear" w:color="auto" w:fill="F2F2F2"/>
            <w:tcMar>
              <w:top w:w="80" w:type="dxa"/>
              <w:left w:w="100" w:type="dxa"/>
              <w:bottom w:w="80" w:type="dxa"/>
              <w:right w:w="100" w:type="dxa"/>
            </w:tcMar>
            <w:vAlign w:val="center"/>
          </w:tcPr>
          <w:p w14:paraId="1C90ABA0" w14:textId="77777777" w:rsidR="00103F09" w:rsidRDefault="00000000">
            <w:pPr>
              <w:jc w:val="center"/>
            </w:pPr>
            <w:r>
              <w:rPr>
                <w:sz w:val="18"/>
                <w:szCs w:val="18"/>
              </w:rPr>
              <w:t>17.4%</w:t>
            </w:r>
          </w:p>
        </w:tc>
        <w:tc>
          <w:tcPr>
            <w:tcW w:w="1100" w:type="dxa"/>
            <w:shd w:val="clear" w:color="auto" w:fill="F2F2F2"/>
            <w:tcMar>
              <w:top w:w="80" w:type="dxa"/>
              <w:left w:w="100" w:type="dxa"/>
              <w:bottom w:w="80" w:type="dxa"/>
              <w:right w:w="100" w:type="dxa"/>
            </w:tcMar>
            <w:vAlign w:val="center"/>
          </w:tcPr>
          <w:p w14:paraId="7514CD7F" w14:textId="77777777" w:rsidR="00103F09" w:rsidRDefault="00000000">
            <w:pPr>
              <w:jc w:val="center"/>
            </w:pPr>
            <w:r>
              <w:rPr>
                <w:sz w:val="18"/>
                <w:szCs w:val="18"/>
              </w:rPr>
              <w:t>57.8%</w:t>
            </w:r>
          </w:p>
        </w:tc>
        <w:tc>
          <w:tcPr>
            <w:tcW w:w="1200" w:type="dxa"/>
            <w:shd w:val="clear" w:color="auto" w:fill="F2F2F2"/>
            <w:tcMar>
              <w:top w:w="80" w:type="dxa"/>
              <w:left w:w="100" w:type="dxa"/>
              <w:bottom w:w="80" w:type="dxa"/>
              <w:right w:w="100" w:type="dxa"/>
            </w:tcMar>
            <w:vAlign w:val="center"/>
          </w:tcPr>
          <w:p w14:paraId="3A1C8011" w14:textId="77777777" w:rsidR="00103F09" w:rsidRDefault="00000000">
            <w:pPr>
              <w:jc w:val="center"/>
            </w:pPr>
            <w:r>
              <w:rPr>
                <w:sz w:val="18"/>
                <w:szCs w:val="18"/>
              </w:rPr>
              <w:t>45.2%</w:t>
            </w:r>
          </w:p>
        </w:tc>
      </w:tr>
      <w:tr w:rsidR="00103F09" w14:paraId="6F76601A" w14:textId="77777777">
        <w:tblPrEx>
          <w:tblCellMar>
            <w:top w:w="0" w:type="dxa"/>
            <w:bottom w:w="0" w:type="dxa"/>
          </w:tblCellMar>
        </w:tblPrEx>
        <w:tc>
          <w:tcPr>
            <w:tcW w:w="1900" w:type="dxa"/>
            <w:tcMar>
              <w:top w:w="80" w:type="dxa"/>
              <w:left w:w="100" w:type="dxa"/>
              <w:bottom w:w="80" w:type="dxa"/>
              <w:right w:w="100" w:type="dxa"/>
            </w:tcMar>
            <w:vAlign w:val="center"/>
          </w:tcPr>
          <w:p w14:paraId="61F50CC8" w14:textId="77777777" w:rsidR="00103F09" w:rsidRDefault="00000000">
            <w:r>
              <w:rPr>
                <w:sz w:val="18"/>
                <w:szCs w:val="18"/>
              </w:rPr>
              <w:t>Tata Consumer</w:t>
            </w:r>
          </w:p>
        </w:tc>
        <w:tc>
          <w:tcPr>
            <w:tcW w:w="1500" w:type="dxa"/>
            <w:tcMar>
              <w:top w:w="80" w:type="dxa"/>
              <w:left w:w="100" w:type="dxa"/>
              <w:bottom w:w="80" w:type="dxa"/>
              <w:right w:w="100" w:type="dxa"/>
            </w:tcMar>
            <w:vAlign w:val="center"/>
          </w:tcPr>
          <w:p w14:paraId="10F83AC9" w14:textId="77777777" w:rsidR="00103F09" w:rsidRDefault="00000000">
            <w:pPr>
              <w:jc w:val="center"/>
            </w:pPr>
            <w:r>
              <w:rPr>
                <w:sz w:val="18"/>
                <w:szCs w:val="18"/>
              </w:rPr>
              <w:t>1,09,800</w:t>
            </w:r>
          </w:p>
        </w:tc>
        <w:tc>
          <w:tcPr>
            <w:tcW w:w="1200" w:type="dxa"/>
            <w:tcMar>
              <w:top w:w="80" w:type="dxa"/>
              <w:left w:w="100" w:type="dxa"/>
              <w:bottom w:w="80" w:type="dxa"/>
              <w:right w:w="100" w:type="dxa"/>
            </w:tcMar>
            <w:vAlign w:val="center"/>
          </w:tcPr>
          <w:p w14:paraId="1DF3FA9A" w14:textId="77777777" w:rsidR="00103F09" w:rsidRDefault="00000000">
            <w:pPr>
              <w:jc w:val="center"/>
            </w:pPr>
            <w:r>
              <w:rPr>
                <w:sz w:val="18"/>
                <w:szCs w:val="18"/>
              </w:rPr>
              <w:t>1,120.00</w:t>
            </w:r>
          </w:p>
        </w:tc>
        <w:tc>
          <w:tcPr>
            <w:tcW w:w="1000" w:type="dxa"/>
            <w:tcMar>
              <w:top w:w="80" w:type="dxa"/>
              <w:left w:w="100" w:type="dxa"/>
              <w:bottom w:w="80" w:type="dxa"/>
              <w:right w:w="100" w:type="dxa"/>
            </w:tcMar>
            <w:vAlign w:val="center"/>
          </w:tcPr>
          <w:p w14:paraId="33E1A7A9" w14:textId="77777777" w:rsidR="00103F09" w:rsidRDefault="00000000">
            <w:pPr>
              <w:jc w:val="center"/>
            </w:pPr>
            <w:r>
              <w:rPr>
                <w:sz w:val="18"/>
                <w:szCs w:val="18"/>
              </w:rPr>
              <w:t>84.5</w:t>
            </w:r>
          </w:p>
        </w:tc>
        <w:tc>
          <w:tcPr>
            <w:tcW w:w="1000" w:type="dxa"/>
            <w:tcMar>
              <w:top w:w="80" w:type="dxa"/>
              <w:left w:w="100" w:type="dxa"/>
              <w:bottom w:w="80" w:type="dxa"/>
              <w:right w:w="100" w:type="dxa"/>
            </w:tcMar>
            <w:vAlign w:val="center"/>
          </w:tcPr>
          <w:p w14:paraId="72E9BD55" w14:textId="77777777" w:rsidR="00103F09" w:rsidRDefault="00000000">
            <w:pPr>
              <w:jc w:val="center"/>
            </w:pPr>
            <w:r>
              <w:rPr>
                <w:sz w:val="18"/>
                <w:szCs w:val="18"/>
              </w:rPr>
              <w:t>6.1</w:t>
            </w:r>
          </w:p>
        </w:tc>
        <w:tc>
          <w:tcPr>
            <w:tcW w:w="1100" w:type="dxa"/>
            <w:tcMar>
              <w:top w:w="80" w:type="dxa"/>
              <w:left w:w="100" w:type="dxa"/>
              <w:bottom w:w="80" w:type="dxa"/>
              <w:right w:w="100" w:type="dxa"/>
            </w:tcMar>
            <w:vAlign w:val="center"/>
          </w:tcPr>
          <w:p w14:paraId="0C1155E6" w14:textId="77777777" w:rsidR="00103F09" w:rsidRDefault="00000000">
            <w:pPr>
              <w:jc w:val="center"/>
            </w:pPr>
            <w:r>
              <w:rPr>
                <w:sz w:val="18"/>
                <w:szCs w:val="18"/>
              </w:rPr>
              <w:t>13.6%</w:t>
            </w:r>
          </w:p>
        </w:tc>
        <w:tc>
          <w:tcPr>
            <w:tcW w:w="1100" w:type="dxa"/>
            <w:tcMar>
              <w:top w:w="80" w:type="dxa"/>
              <w:left w:w="100" w:type="dxa"/>
              <w:bottom w:w="80" w:type="dxa"/>
              <w:right w:w="100" w:type="dxa"/>
            </w:tcMar>
            <w:vAlign w:val="center"/>
          </w:tcPr>
          <w:p w14:paraId="10192150" w14:textId="77777777" w:rsidR="00103F09" w:rsidRDefault="00000000">
            <w:pPr>
              <w:jc w:val="center"/>
            </w:pPr>
            <w:r>
              <w:rPr>
                <w:sz w:val="18"/>
                <w:szCs w:val="18"/>
              </w:rPr>
              <w:t>6.8%</w:t>
            </w:r>
          </w:p>
        </w:tc>
        <w:tc>
          <w:tcPr>
            <w:tcW w:w="1200" w:type="dxa"/>
            <w:tcMar>
              <w:top w:w="80" w:type="dxa"/>
              <w:left w:w="100" w:type="dxa"/>
              <w:bottom w:w="80" w:type="dxa"/>
              <w:right w:w="100" w:type="dxa"/>
            </w:tcMar>
            <w:vAlign w:val="center"/>
          </w:tcPr>
          <w:p w14:paraId="2F1FBBDA" w14:textId="77777777" w:rsidR="00103F09" w:rsidRDefault="00000000">
            <w:pPr>
              <w:jc w:val="center"/>
            </w:pPr>
            <w:r>
              <w:rPr>
                <w:sz w:val="18"/>
                <w:szCs w:val="18"/>
              </w:rPr>
              <w:t>7.2%</w:t>
            </w:r>
          </w:p>
        </w:tc>
      </w:tr>
    </w:tbl>
    <w:p w14:paraId="2B51B158" w14:textId="77777777" w:rsidR="00103F09" w:rsidRDefault="00000000">
      <w:pPr>
        <w:pStyle w:val="Heading2"/>
        <w:spacing w:before="260" w:after="140"/>
      </w:pPr>
      <w:r>
        <w:lastRenderedPageBreak/>
        <w:t>3.2 Analysis: Valuation Metrics vs. Efficiency Metrics</w:t>
      </w:r>
    </w:p>
    <w:p w14:paraId="780D4605" w14:textId="77777777" w:rsidR="00103F09" w:rsidRDefault="00000000">
      <w:pPr>
        <w:spacing w:after="160" w:line="300" w:lineRule="auto"/>
        <w:jc w:val="both"/>
      </w:pPr>
      <w:r>
        <w:t>A comparison of valuation multiples (P/E, P/B) against operating efficiency metrics (OPM, ROE, ROCE) reveals that the market does not price these five FMCG companies uniformly, despite their common sector classification. Tata Consumer Products trades at the highest P/E multiple (84.5x) among the peer set despite the lowest ROE (6.8%) and ROCE (7.2%), indicating that its valuation is driven primarily by forward-looking growth expectations from its ongoing acquisition-led expansion rather than current profitability. Conversely, ITC trades at a comparatively modest P/E of 25.8x despite delivering the highest Operating Profit Margin (37.5%) in the peer group, a divergence often attributed to a historical 'sin stock' valuation discount associated with its tobacco business and ESG-related investor caution.</w:t>
      </w:r>
    </w:p>
    <w:p w14:paraId="304431D7" w14:textId="77777777" w:rsidR="00103F09" w:rsidRDefault="00000000">
      <w:pPr>
        <w:spacing w:after="160" w:line="300" w:lineRule="auto"/>
        <w:jc w:val="both"/>
      </w:pPr>
      <w:r>
        <w:t>ITC's superior OPM of 37.5% is primarily attributable to its cigarette business, which functions as a high-margin cash-generating engine. Cigarettes carry minimal input cost variability, benefit from inelastic demand, and operate with an established, capital-light distribution network, allowing ITC to sustain operating margins well above those of pure-play packaged foods companies. This cigarette cash flow, in turn, cross-subsidizes ITC's FMCG (Foods, Personal Care, and Stationery) and Agri-business segments, funding their expansion without significant reliance on external borrowings.</w:t>
      </w:r>
    </w:p>
    <w:p w14:paraId="4338E10B" w14:textId="77777777" w:rsidR="00103F09" w:rsidRDefault="00000000">
      <w:pPr>
        <w:spacing w:after="160" w:line="300" w:lineRule="auto"/>
        <w:jc w:val="both"/>
      </w:pPr>
      <w:r>
        <w:t>Nestle India's dominance in return ratios (ROE of 94.2% and ROCE of 53.6%) stems from a fundamentally different capital structure logic. With a comparatively small equity base (Net Worth of approximately ₹3,500 Cr against a Market Capitalization of ₹2,26,600 Cr) sustained by a consistently high dividend payout policy, Nestle India operates with minimal retained capital on its balance sheet. Combined with a high Asset Turnover ratio (2.22x), this lean equity structure mechanically amplifies its ROE, even though the company's underlying operating margin (23.5%) is broadly comparable to that of HUL.</w:t>
      </w:r>
    </w:p>
    <w:p w14:paraId="781E37F6" w14:textId="77777777" w:rsidR="00103F09" w:rsidRDefault="00000000">
      <w:pPr>
        <w:pStyle w:val="Heading1"/>
        <w:pBdr>
          <w:bottom w:val="single" w:sz="8" w:space="4" w:color="000000"/>
        </w:pBdr>
        <w:spacing w:before="400" w:after="200"/>
      </w:pPr>
      <w:r>
        <w:t>4. DuPont Decomposition Assessment</w:t>
      </w:r>
    </w:p>
    <w:p w14:paraId="3A55D7D2" w14:textId="77777777" w:rsidR="00103F09" w:rsidRDefault="00000000">
      <w:pPr>
        <w:pStyle w:val="Heading2"/>
        <w:spacing w:before="260" w:after="140"/>
      </w:pPr>
      <w:r>
        <w:t>4.1 DuPont Decomposition Table (FY2025)</w:t>
      </w:r>
    </w:p>
    <w:tbl>
      <w:tblPr>
        <w:tblW w:w="8900" w:type="dxa"/>
        <w:tblBorders>
          <w:top w:val="single" w:sz="4" w:space="0" w:color="000000"/>
          <w:left w:val="single" w:sz="4" w:space="0" w:color="000000"/>
          <w:bottom w:val="single" w:sz="4" w:space="0" w:color="000000"/>
          <w:right w:val="single" w:sz="4" w:space="0" w:color="000000"/>
          <w:insideH w:val="single" w:sz="2" w:space="0" w:color="000000"/>
          <w:insideV w:val="single" w:sz="2" w:space="0" w:color="000000"/>
        </w:tblBorders>
        <w:tblCellMar>
          <w:left w:w="10" w:type="dxa"/>
          <w:right w:w="10" w:type="dxa"/>
        </w:tblCellMar>
        <w:tblLook w:val="04A0" w:firstRow="1" w:lastRow="0" w:firstColumn="1" w:lastColumn="0" w:noHBand="0" w:noVBand="1"/>
      </w:tblPr>
      <w:tblGrid>
        <w:gridCol w:w="1900"/>
        <w:gridCol w:w="1500"/>
        <w:gridCol w:w="1900"/>
        <w:gridCol w:w="2000"/>
        <w:gridCol w:w="1600"/>
      </w:tblGrid>
      <w:tr w:rsidR="00103F09" w14:paraId="739C8FDD" w14:textId="77777777">
        <w:tblPrEx>
          <w:tblCellMar>
            <w:top w:w="0" w:type="dxa"/>
            <w:bottom w:w="0" w:type="dxa"/>
          </w:tblCellMar>
        </w:tblPrEx>
        <w:trPr>
          <w:tblHeader/>
        </w:trPr>
        <w:tc>
          <w:tcPr>
            <w:tcW w:w="1900" w:type="dxa"/>
            <w:shd w:val="clear" w:color="auto" w:fill="D9D9D9"/>
            <w:tcMar>
              <w:top w:w="80" w:type="dxa"/>
              <w:left w:w="100" w:type="dxa"/>
              <w:bottom w:w="80" w:type="dxa"/>
              <w:right w:w="100" w:type="dxa"/>
            </w:tcMar>
            <w:vAlign w:val="center"/>
          </w:tcPr>
          <w:p w14:paraId="0A456C15" w14:textId="77777777" w:rsidR="00103F09" w:rsidRDefault="00000000">
            <w:pPr>
              <w:jc w:val="center"/>
            </w:pPr>
            <w:r>
              <w:rPr>
                <w:b/>
                <w:bCs/>
                <w:sz w:val="18"/>
                <w:szCs w:val="18"/>
              </w:rPr>
              <w:t>Company</w:t>
            </w:r>
          </w:p>
        </w:tc>
        <w:tc>
          <w:tcPr>
            <w:tcW w:w="1500" w:type="dxa"/>
            <w:shd w:val="clear" w:color="auto" w:fill="D9D9D9"/>
            <w:tcMar>
              <w:top w:w="80" w:type="dxa"/>
              <w:left w:w="100" w:type="dxa"/>
              <w:bottom w:w="80" w:type="dxa"/>
              <w:right w:w="100" w:type="dxa"/>
            </w:tcMar>
            <w:vAlign w:val="center"/>
          </w:tcPr>
          <w:p w14:paraId="24501E79" w14:textId="77777777" w:rsidR="00103F09" w:rsidRDefault="00000000">
            <w:pPr>
              <w:jc w:val="center"/>
            </w:pPr>
            <w:r>
              <w:rPr>
                <w:b/>
                <w:bCs/>
                <w:sz w:val="18"/>
                <w:szCs w:val="18"/>
              </w:rPr>
              <w:t>NPM %</w:t>
            </w:r>
          </w:p>
        </w:tc>
        <w:tc>
          <w:tcPr>
            <w:tcW w:w="1900" w:type="dxa"/>
            <w:shd w:val="clear" w:color="auto" w:fill="D9D9D9"/>
            <w:tcMar>
              <w:top w:w="80" w:type="dxa"/>
              <w:left w:w="100" w:type="dxa"/>
              <w:bottom w:w="80" w:type="dxa"/>
              <w:right w:w="100" w:type="dxa"/>
            </w:tcMar>
            <w:vAlign w:val="center"/>
          </w:tcPr>
          <w:p w14:paraId="30ADCE51" w14:textId="77777777" w:rsidR="00103F09" w:rsidRDefault="00000000">
            <w:pPr>
              <w:jc w:val="center"/>
            </w:pPr>
            <w:r>
              <w:rPr>
                <w:b/>
                <w:bCs/>
                <w:sz w:val="18"/>
                <w:szCs w:val="18"/>
              </w:rPr>
              <w:t>Asset Turnover (x)</w:t>
            </w:r>
          </w:p>
        </w:tc>
        <w:tc>
          <w:tcPr>
            <w:tcW w:w="2000" w:type="dxa"/>
            <w:shd w:val="clear" w:color="auto" w:fill="D9D9D9"/>
            <w:tcMar>
              <w:top w:w="80" w:type="dxa"/>
              <w:left w:w="100" w:type="dxa"/>
              <w:bottom w:w="80" w:type="dxa"/>
              <w:right w:w="100" w:type="dxa"/>
            </w:tcMar>
            <w:vAlign w:val="center"/>
          </w:tcPr>
          <w:p w14:paraId="16D0C269" w14:textId="77777777" w:rsidR="00103F09" w:rsidRDefault="00000000">
            <w:pPr>
              <w:jc w:val="center"/>
            </w:pPr>
            <w:r>
              <w:rPr>
                <w:b/>
                <w:bCs/>
                <w:sz w:val="18"/>
                <w:szCs w:val="18"/>
              </w:rPr>
              <w:t>Equity Multiplier (x)</w:t>
            </w:r>
          </w:p>
        </w:tc>
        <w:tc>
          <w:tcPr>
            <w:tcW w:w="1600" w:type="dxa"/>
            <w:shd w:val="clear" w:color="auto" w:fill="D9D9D9"/>
            <w:tcMar>
              <w:top w:w="80" w:type="dxa"/>
              <w:left w:w="100" w:type="dxa"/>
              <w:bottom w:w="80" w:type="dxa"/>
              <w:right w:w="100" w:type="dxa"/>
            </w:tcMar>
            <w:vAlign w:val="center"/>
          </w:tcPr>
          <w:p w14:paraId="61BEE679" w14:textId="77777777" w:rsidR="00103F09" w:rsidRDefault="00000000">
            <w:pPr>
              <w:jc w:val="center"/>
            </w:pPr>
            <w:r>
              <w:rPr>
                <w:b/>
                <w:bCs/>
                <w:sz w:val="18"/>
                <w:szCs w:val="18"/>
              </w:rPr>
              <w:t>ROE %</w:t>
            </w:r>
          </w:p>
        </w:tc>
      </w:tr>
      <w:tr w:rsidR="00103F09" w14:paraId="453FE10C" w14:textId="77777777">
        <w:tblPrEx>
          <w:tblCellMar>
            <w:top w:w="0" w:type="dxa"/>
            <w:bottom w:w="0" w:type="dxa"/>
          </w:tblCellMar>
        </w:tblPrEx>
        <w:tc>
          <w:tcPr>
            <w:tcW w:w="1900" w:type="dxa"/>
            <w:tcMar>
              <w:top w:w="80" w:type="dxa"/>
              <w:left w:w="100" w:type="dxa"/>
              <w:bottom w:w="80" w:type="dxa"/>
              <w:right w:w="100" w:type="dxa"/>
            </w:tcMar>
            <w:vAlign w:val="center"/>
          </w:tcPr>
          <w:p w14:paraId="5847FE4E" w14:textId="77777777" w:rsidR="00103F09" w:rsidRDefault="00000000">
            <w:r>
              <w:rPr>
                <w:sz w:val="18"/>
                <w:szCs w:val="18"/>
              </w:rPr>
              <w:t>HUL</w:t>
            </w:r>
          </w:p>
        </w:tc>
        <w:tc>
          <w:tcPr>
            <w:tcW w:w="1500" w:type="dxa"/>
            <w:tcMar>
              <w:top w:w="80" w:type="dxa"/>
              <w:left w:w="100" w:type="dxa"/>
              <w:bottom w:w="80" w:type="dxa"/>
              <w:right w:w="100" w:type="dxa"/>
            </w:tcMar>
            <w:vAlign w:val="center"/>
          </w:tcPr>
          <w:p w14:paraId="5CF3DB43" w14:textId="77777777" w:rsidR="00103F09" w:rsidRDefault="00000000">
            <w:pPr>
              <w:jc w:val="center"/>
            </w:pPr>
            <w:r>
              <w:rPr>
                <w:sz w:val="18"/>
                <w:szCs w:val="18"/>
              </w:rPr>
              <w:t>16.8%</w:t>
            </w:r>
          </w:p>
        </w:tc>
        <w:tc>
          <w:tcPr>
            <w:tcW w:w="1900" w:type="dxa"/>
            <w:tcMar>
              <w:top w:w="80" w:type="dxa"/>
              <w:left w:w="100" w:type="dxa"/>
              <w:bottom w:w="80" w:type="dxa"/>
              <w:right w:w="100" w:type="dxa"/>
            </w:tcMar>
            <w:vAlign w:val="center"/>
          </w:tcPr>
          <w:p w14:paraId="122F8CE2" w14:textId="77777777" w:rsidR="00103F09" w:rsidRDefault="00000000">
            <w:pPr>
              <w:jc w:val="center"/>
            </w:pPr>
            <w:r>
              <w:rPr>
                <w:sz w:val="18"/>
                <w:szCs w:val="18"/>
              </w:rPr>
              <w:t>0.81</w:t>
            </w:r>
          </w:p>
        </w:tc>
        <w:tc>
          <w:tcPr>
            <w:tcW w:w="2000" w:type="dxa"/>
            <w:tcMar>
              <w:top w:w="80" w:type="dxa"/>
              <w:left w:w="100" w:type="dxa"/>
              <w:bottom w:w="80" w:type="dxa"/>
              <w:right w:w="100" w:type="dxa"/>
            </w:tcMar>
            <w:vAlign w:val="center"/>
          </w:tcPr>
          <w:p w14:paraId="453C7106" w14:textId="77777777" w:rsidR="00103F09" w:rsidRDefault="00000000">
            <w:pPr>
              <w:jc w:val="center"/>
            </w:pPr>
            <w:r>
              <w:rPr>
                <w:sz w:val="18"/>
                <w:szCs w:val="18"/>
              </w:rPr>
              <w:t>1.45</w:t>
            </w:r>
          </w:p>
        </w:tc>
        <w:tc>
          <w:tcPr>
            <w:tcW w:w="1600" w:type="dxa"/>
            <w:tcMar>
              <w:top w:w="80" w:type="dxa"/>
              <w:left w:w="100" w:type="dxa"/>
              <w:bottom w:w="80" w:type="dxa"/>
              <w:right w:w="100" w:type="dxa"/>
            </w:tcMar>
            <w:vAlign w:val="center"/>
          </w:tcPr>
          <w:p w14:paraId="3AC8D27D" w14:textId="77777777" w:rsidR="00103F09" w:rsidRDefault="00000000">
            <w:pPr>
              <w:jc w:val="center"/>
            </w:pPr>
            <w:r>
              <w:rPr>
                <w:sz w:val="18"/>
                <w:szCs w:val="18"/>
              </w:rPr>
              <w:t>32.8%</w:t>
            </w:r>
          </w:p>
        </w:tc>
      </w:tr>
      <w:tr w:rsidR="00103F09" w14:paraId="5AA5D934" w14:textId="77777777">
        <w:tblPrEx>
          <w:tblCellMar>
            <w:top w:w="0" w:type="dxa"/>
            <w:bottom w:w="0" w:type="dxa"/>
          </w:tblCellMar>
        </w:tblPrEx>
        <w:tc>
          <w:tcPr>
            <w:tcW w:w="1900" w:type="dxa"/>
            <w:shd w:val="clear" w:color="auto" w:fill="F2F2F2"/>
            <w:tcMar>
              <w:top w:w="80" w:type="dxa"/>
              <w:left w:w="100" w:type="dxa"/>
              <w:bottom w:w="80" w:type="dxa"/>
              <w:right w:w="100" w:type="dxa"/>
            </w:tcMar>
            <w:vAlign w:val="center"/>
          </w:tcPr>
          <w:p w14:paraId="3EA968D2" w14:textId="77777777" w:rsidR="00103F09" w:rsidRDefault="00000000">
            <w:r>
              <w:rPr>
                <w:sz w:val="18"/>
                <w:szCs w:val="18"/>
              </w:rPr>
              <w:t>ITC</w:t>
            </w:r>
          </w:p>
        </w:tc>
        <w:tc>
          <w:tcPr>
            <w:tcW w:w="1500" w:type="dxa"/>
            <w:shd w:val="clear" w:color="auto" w:fill="F2F2F2"/>
            <w:tcMar>
              <w:top w:w="80" w:type="dxa"/>
              <w:left w:w="100" w:type="dxa"/>
              <w:bottom w:w="80" w:type="dxa"/>
              <w:right w:w="100" w:type="dxa"/>
            </w:tcMar>
            <w:vAlign w:val="center"/>
          </w:tcPr>
          <w:p w14:paraId="04270381" w14:textId="77777777" w:rsidR="00103F09" w:rsidRDefault="00000000">
            <w:pPr>
              <w:jc w:val="center"/>
            </w:pPr>
            <w:r>
              <w:rPr>
                <w:sz w:val="18"/>
                <w:szCs w:val="18"/>
              </w:rPr>
              <w:t>29.0%</w:t>
            </w:r>
          </w:p>
        </w:tc>
        <w:tc>
          <w:tcPr>
            <w:tcW w:w="1900" w:type="dxa"/>
            <w:shd w:val="clear" w:color="auto" w:fill="F2F2F2"/>
            <w:tcMar>
              <w:top w:w="80" w:type="dxa"/>
              <w:left w:w="100" w:type="dxa"/>
              <w:bottom w:w="80" w:type="dxa"/>
              <w:right w:w="100" w:type="dxa"/>
            </w:tcMar>
            <w:vAlign w:val="center"/>
          </w:tcPr>
          <w:p w14:paraId="67BE1CB7" w14:textId="77777777" w:rsidR="00103F09" w:rsidRDefault="00000000">
            <w:pPr>
              <w:jc w:val="center"/>
            </w:pPr>
            <w:r>
              <w:rPr>
                <w:sz w:val="18"/>
                <w:szCs w:val="18"/>
              </w:rPr>
              <w:t>0.82</w:t>
            </w:r>
          </w:p>
        </w:tc>
        <w:tc>
          <w:tcPr>
            <w:tcW w:w="2000" w:type="dxa"/>
            <w:shd w:val="clear" w:color="auto" w:fill="F2F2F2"/>
            <w:tcMar>
              <w:top w:w="80" w:type="dxa"/>
              <w:left w:w="100" w:type="dxa"/>
              <w:bottom w:w="80" w:type="dxa"/>
              <w:right w:w="100" w:type="dxa"/>
            </w:tcMar>
            <w:vAlign w:val="center"/>
          </w:tcPr>
          <w:p w14:paraId="036082CF" w14:textId="77777777" w:rsidR="00103F09" w:rsidRDefault="00000000">
            <w:pPr>
              <w:jc w:val="center"/>
            </w:pPr>
            <w:r>
              <w:rPr>
                <w:sz w:val="18"/>
                <w:szCs w:val="18"/>
              </w:rPr>
              <w:t>1.23</w:t>
            </w:r>
          </w:p>
        </w:tc>
        <w:tc>
          <w:tcPr>
            <w:tcW w:w="1600" w:type="dxa"/>
            <w:shd w:val="clear" w:color="auto" w:fill="F2F2F2"/>
            <w:tcMar>
              <w:top w:w="80" w:type="dxa"/>
              <w:left w:w="100" w:type="dxa"/>
              <w:bottom w:w="80" w:type="dxa"/>
              <w:right w:w="100" w:type="dxa"/>
            </w:tcMar>
            <w:vAlign w:val="center"/>
          </w:tcPr>
          <w:p w14:paraId="2886E903" w14:textId="77777777" w:rsidR="00103F09" w:rsidRDefault="00000000">
            <w:pPr>
              <w:jc w:val="center"/>
            </w:pPr>
            <w:r>
              <w:rPr>
                <w:sz w:val="18"/>
                <w:szCs w:val="18"/>
              </w:rPr>
              <w:t>29.4%</w:t>
            </w:r>
          </w:p>
        </w:tc>
      </w:tr>
      <w:tr w:rsidR="00103F09" w14:paraId="0A7F5585" w14:textId="77777777">
        <w:tblPrEx>
          <w:tblCellMar>
            <w:top w:w="0" w:type="dxa"/>
            <w:bottom w:w="0" w:type="dxa"/>
          </w:tblCellMar>
        </w:tblPrEx>
        <w:tc>
          <w:tcPr>
            <w:tcW w:w="1900" w:type="dxa"/>
            <w:tcMar>
              <w:top w:w="80" w:type="dxa"/>
              <w:left w:w="100" w:type="dxa"/>
              <w:bottom w:w="80" w:type="dxa"/>
              <w:right w:w="100" w:type="dxa"/>
            </w:tcMar>
            <w:vAlign w:val="center"/>
          </w:tcPr>
          <w:p w14:paraId="278A73D0" w14:textId="77777777" w:rsidR="00103F09" w:rsidRDefault="00000000">
            <w:r>
              <w:rPr>
                <w:sz w:val="18"/>
                <w:szCs w:val="18"/>
              </w:rPr>
              <w:t>Nestle India</w:t>
            </w:r>
          </w:p>
        </w:tc>
        <w:tc>
          <w:tcPr>
            <w:tcW w:w="1500" w:type="dxa"/>
            <w:tcMar>
              <w:top w:w="80" w:type="dxa"/>
              <w:left w:w="100" w:type="dxa"/>
              <w:bottom w:w="80" w:type="dxa"/>
              <w:right w:w="100" w:type="dxa"/>
            </w:tcMar>
            <w:vAlign w:val="center"/>
          </w:tcPr>
          <w:p w14:paraId="0589B6D3" w14:textId="77777777" w:rsidR="00103F09" w:rsidRDefault="00000000">
            <w:pPr>
              <w:jc w:val="center"/>
            </w:pPr>
            <w:r>
              <w:rPr>
                <w:sz w:val="18"/>
                <w:szCs w:val="18"/>
              </w:rPr>
              <w:t>15.7%</w:t>
            </w:r>
          </w:p>
        </w:tc>
        <w:tc>
          <w:tcPr>
            <w:tcW w:w="1900" w:type="dxa"/>
            <w:tcMar>
              <w:top w:w="80" w:type="dxa"/>
              <w:left w:w="100" w:type="dxa"/>
              <w:bottom w:w="80" w:type="dxa"/>
              <w:right w:w="100" w:type="dxa"/>
            </w:tcMar>
            <w:vAlign w:val="center"/>
          </w:tcPr>
          <w:p w14:paraId="0F378257" w14:textId="77777777" w:rsidR="00103F09" w:rsidRDefault="00000000">
            <w:pPr>
              <w:jc w:val="center"/>
            </w:pPr>
            <w:r>
              <w:rPr>
                <w:sz w:val="18"/>
                <w:szCs w:val="18"/>
              </w:rPr>
              <w:t>2.22</w:t>
            </w:r>
          </w:p>
        </w:tc>
        <w:tc>
          <w:tcPr>
            <w:tcW w:w="2000" w:type="dxa"/>
            <w:tcMar>
              <w:top w:w="80" w:type="dxa"/>
              <w:left w:w="100" w:type="dxa"/>
              <w:bottom w:w="80" w:type="dxa"/>
              <w:right w:w="100" w:type="dxa"/>
            </w:tcMar>
            <w:vAlign w:val="center"/>
          </w:tcPr>
          <w:p w14:paraId="5F8FF43B" w14:textId="77777777" w:rsidR="00103F09" w:rsidRDefault="00000000">
            <w:pPr>
              <w:jc w:val="center"/>
            </w:pPr>
            <w:r>
              <w:rPr>
                <w:sz w:val="18"/>
                <w:szCs w:val="18"/>
              </w:rPr>
              <w:t>2.71</w:t>
            </w:r>
          </w:p>
        </w:tc>
        <w:tc>
          <w:tcPr>
            <w:tcW w:w="1600" w:type="dxa"/>
            <w:tcMar>
              <w:top w:w="80" w:type="dxa"/>
              <w:left w:w="100" w:type="dxa"/>
              <w:bottom w:w="80" w:type="dxa"/>
              <w:right w:w="100" w:type="dxa"/>
            </w:tcMar>
            <w:vAlign w:val="center"/>
          </w:tcPr>
          <w:p w14:paraId="30997737" w14:textId="77777777" w:rsidR="00103F09" w:rsidRDefault="00000000">
            <w:pPr>
              <w:jc w:val="center"/>
            </w:pPr>
            <w:r>
              <w:rPr>
                <w:sz w:val="18"/>
                <w:szCs w:val="18"/>
              </w:rPr>
              <w:t>94.2%</w:t>
            </w:r>
          </w:p>
        </w:tc>
      </w:tr>
      <w:tr w:rsidR="00103F09" w14:paraId="5391C450" w14:textId="77777777">
        <w:tblPrEx>
          <w:tblCellMar>
            <w:top w:w="0" w:type="dxa"/>
            <w:bottom w:w="0" w:type="dxa"/>
          </w:tblCellMar>
        </w:tblPrEx>
        <w:tc>
          <w:tcPr>
            <w:tcW w:w="1900" w:type="dxa"/>
            <w:shd w:val="clear" w:color="auto" w:fill="F2F2F2"/>
            <w:tcMar>
              <w:top w:w="80" w:type="dxa"/>
              <w:left w:w="100" w:type="dxa"/>
              <w:bottom w:w="80" w:type="dxa"/>
              <w:right w:w="100" w:type="dxa"/>
            </w:tcMar>
            <w:vAlign w:val="center"/>
          </w:tcPr>
          <w:p w14:paraId="52008F4E" w14:textId="77777777" w:rsidR="00103F09" w:rsidRDefault="00000000">
            <w:r>
              <w:rPr>
                <w:sz w:val="18"/>
                <w:szCs w:val="18"/>
              </w:rPr>
              <w:t>Britannia</w:t>
            </w:r>
          </w:p>
        </w:tc>
        <w:tc>
          <w:tcPr>
            <w:tcW w:w="1500" w:type="dxa"/>
            <w:shd w:val="clear" w:color="auto" w:fill="F2F2F2"/>
            <w:tcMar>
              <w:top w:w="80" w:type="dxa"/>
              <w:left w:w="100" w:type="dxa"/>
              <w:bottom w:w="80" w:type="dxa"/>
              <w:right w:w="100" w:type="dxa"/>
            </w:tcMar>
            <w:vAlign w:val="center"/>
          </w:tcPr>
          <w:p w14:paraId="7A8681D1" w14:textId="77777777" w:rsidR="00103F09" w:rsidRDefault="00000000">
            <w:pPr>
              <w:jc w:val="center"/>
            </w:pPr>
            <w:r>
              <w:rPr>
                <w:sz w:val="18"/>
                <w:szCs w:val="18"/>
              </w:rPr>
              <w:t>12.6%</w:t>
            </w:r>
          </w:p>
        </w:tc>
        <w:tc>
          <w:tcPr>
            <w:tcW w:w="1900" w:type="dxa"/>
            <w:shd w:val="clear" w:color="auto" w:fill="F2F2F2"/>
            <w:tcMar>
              <w:top w:w="80" w:type="dxa"/>
              <w:left w:w="100" w:type="dxa"/>
              <w:bottom w:w="80" w:type="dxa"/>
              <w:right w:w="100" w:type="dxa"/>
            </w:tcMar>
            <w:vAlign w:val="center"/>
          </w:tcPr>
          <w:p w14:paraId="152F3101" w14:textId="77777777" w:rsidR="00103F09" w:rsidRDefault="00000000">
            <w:pPr>
              <w:jc w:val="center"/>
            </w:pPr>
            <w:r>
              <w:rPr>
                <w:sz w:val="18"/>
                <w:szCs w:val="18"/>
              </w:rPr>
              <w:t>2.03</w:t>
            </w:r>
          </w:p>
        </w:tc>
        <w:tc>
          <w:tcPr>
            <w:tcW w:w="2000" w:type="dxa"/>
            <w:shd w:val="clear" w:color="auto" w:fill="F2F2F2"/>
            <w:tcMar>
              <w:top w:w="80" w:type="dxa"/>
              <w:left w:w="100" w:type="dxa"/>
              <w:bottom w:w="80" w:type="dxa"/>
              <w:right w:w="100" w:type="dxa"/>
            </w:tcMar>
            <w:vAlign w:val="center"/>
          </w:tcPr>
          <w:p w14:paraId="4E77B36D" w14:textId="77777777" w:rsidR="00103F09" w:rsidRDefault="00000000">
            <w:pPr>
              <w:jc w:val="center"/>
            </w:pPr>
            <w:r>
              <w:rPr>
                <w:sz w:val="18"/>
                <w:szCs w:val="18"/>
              </w:rPr>
              <w:t>2.26</w:t>
            </w:r>
          </w:p>
        </w:tc>
        <w:tc>
          <w:tcPr>
            <w:tcW w:w="1600" w:type="dxa"/>
            <w:shd w:val="clear" w:color="auto" w:fill="F2F2F2"/>
            <w:tcMar>
              <w:top w:w="80" w:type="dxa"/>
              <w:left w:w="100" w:type="dxa"/>
              <w:bottom w:w="80" w:type="dxa"/>
              <w:right w:w="100" w:type="dxa"/>
            </w:tcMar>
            <w:vAlign w:val="center"/>
          </w:tcPr>
          <w:p w14:paraId="612B420D" w14:textId="77777777" w:rsidR="00103F09" w:rsidRDefault="00000000">
            <w:pPr>
              <w:jc w:val="center"/>
            </w:pPr>
            <w:r>
              <w:rPr>
                <w:sz w:val="18"/>
                <w:szCs w:val="18"/>
              </w:rPr>
              <w:t>57.8%</w:t>
            </w:r>
          </w:p>
        </w:tc>
      </w:tr>
      <w:tr w:rsidR="00103F09" w14:paraId="42C5E7AD" w14:textId="77777777">
        <w:tblPrEx>
          <w:tblCellMar>
            <w:top w:w="0" w:type="dxa"/>
            <w:bottom w:w="0" w:type="dxa"/>
          </w:tblCellMar>
        </w:tblPrEx>
        <w:tc>
          <w:tcPr>
            <w:tcW w:w="1900" w:type="dxa"/>
            <w:tcMar>
              <w:top w:w="80" w:type="dxa"/>
              <w:left w:w="100" w:type="dxa"/>
              <w:bottom w:w="80" w:type="dxa"/>
              <w:right w:w="100" w:type="dxa"/>
            </w:tcMar>
            <w:vAlign w:val="center"/>
          </w:tcPr>
          <w:p w14:paraId="1A2517DE" w14:textId="77777777" w:rsidR="00103F09" w:rsidRDefault="00000000">
            <w:r>
              <w:rPr>
                <w:sz w:val="18"/>
                <w:szCs w:val="18"/>
              </w:rPr>
              <w:t>Tata Consumer</w:t>
            </w:r>
          </w:p>
        </w:tc>
        <w:tc>
          <w:tcPr>
            <w:tcW w:w="1500" w:type="dxa"/>
            <w:tcMar>
              <w:top w:w="80" w:type="dxa"/>
              <w:left w:w="100" w:type="dxa"/>
              <w:bottom w:w="80" w:type="dxa"/>
              <w:right w:w="100" w:type="dxa"/>
            </w:tcMar>
            <w:vAlign w:val="center"/>
          </w:tcPr>
          <w:p w14:paraId="1C115B38" w14:textId="77777777" w:rsidR="00103F09" w:rsidRDefault="00000000">
            <w:pPr>
              <w:jc w:val="center"/>
            </w:pPr>
            <w:r>
              <w:rPr>
                <w:sz w:val="18"/>
                <w:szCs w:val="18"/>
              </w:rPr>
              <w:t>7.9%</w:t>
            </w:r>
          </w:p>
        </w:tc>
        <w:tc>
          <w:tcPr>
            <w:tcW w:w="1900" w:type="dxa"/>
            <w:tcMar>
              <w:top w:w="80" w:type="dxa"/>
              <w:left w:w="100" w:type="dxa"/>
              <w:bottom w:w="80" w:type="dxa"/>
              <w:right w:w="100" w:type="dxa"/>
            </w:tcMar>
            <w:vAlign w:val="center"/>
          </w:tcPr>
          <w:p w14:paraId="60E53654" w14:textId="77777777" w:rsidR="00103F09" w:rsidRDefault="00000000">
            <w:pPr>
              <w:jc w:val="center"/>
            </w:pPr>
            <w:r>
              <w:rPr>
                <w:sz w:val="18"/>
                <w:szCs w:val="18"/>
              </w:rPr>
              <w:t>0.62</w:t>
            </w:r>
          </w:p>
        </w:tc>
        <w:tc>
          <w:tcPr>
            <w:tcW w:w="2000" w:type="dxa"/>
            <w:tcMar>
              <w:top w:w="80" w:type="dxa"/>
              <w:left w:w="100" w:type="dxa"/>
              <w:bottom w:w="80" w:type="dxa"/>
              <w:right w:w="100" w:type="dxa"/>
            </w:tcMar>
            <w:vAlign w:val="center"/>
          </w:tcPr>
          <w:p w14:paraId="54621D31" w14:textId="77777777" w:rsidR="00103F09" w:rsidRDefault="00000000">
            <w:pPr>
              <w:jc w:val="center"/>
            </w:pPr>
            <w:r>
              <w:rPr>
                <w:sz w:val="18"/>
                <w:szCs w:val="18"/>
              </w:rPr>
              <w:t>1.39</w:t>
            </w:r>
          </w:p>
        </w:tc>
        <w:tc>
          <w:tcPr>
            <w:tcW w:w="1600" w:type="dxa"/>
            <w:tcMar>
              <w:top w:w="80" w:type="dxa"/>
              <w:left w:w="100" w:type="dxa"/>
              <w:bottom w:w="80" w:type="dxa"/>
              <w:right w:w="100" w:type="dxa"/>
            </w:tcMar>
            <w:vAlign w:val="center"/>
          </w:tcPr>
          <w:p w14:paraId="5306B120" w14:textId="77777777" w:rsidR="00103F09" w:rsidRDefault="00000000">
            <w:pPr>
              <w:jc w:val="center"/>
            </w:pPr>
            <w:r>
              <w:rPr>
                <w:sz w:val="18"/>
                <w:szCs w:val="18"/>
              </w:rPr>
              <w:t>6.8%</w:t>
            </w:r>
          </w:p>
        </w:tc>
      </w:tr>
    </w:tbl>
    <w:p w14:paraId="3D55A387" w14:textId="77777777" w:rsidR="00103F09" w:rsidRDefault="00000000">
      <w:pPr>
        <w:pStyle w:val="Heading2"/>
        <w:spacing w:before="260" w:after="140"/>
      </w:pPr>
      <w:r>
        <w:t>4.2 Interpretation of DuPont Drivers</w:t>
      </w:r>
    </w:p>
    <w:p w14:paraId="196F370E" w14:textId="77777777" w:rsidR="00103F09" w:rsidRDefault="00000000">
      <w:pPr>
        <w:spacing w:before="200" w:after="100"/>
      </w:pPr>
      <w:r>
        <w:rPr>
          <w:b/>
          <w:bCs/>
          <w:i/>
          <w:iCs/>
        </w:rPr>
        <w:t>Nestle India — Return Dominance</w:t>
      </w:r>
    </w:p>
    <w:p w14:paraId="5A9FD2BA" w14:textId="77777777" w:rsidR="00103F09" w:rsidRDefault="00000000">
      <w:pPr>
        <w:spacing w:after="160" w:line="300" w:lineRule="auto"/>
        <w:jc w:val="both"/>
      </w:pPr>
      <w:r>
        <w:t xml:space="preserve">Nestle India's exceptional ROE of 94.2% is best explained not by an unusually high profit margin, since its NPM of 15.7% is in fact the lowest among the top three performers, but by the multiplicative effect </w:t>
      </w:r>
      <w:r>
        <w:lastRenderedPageBreak/>
        <w:t>of an extremely high Asset Turnover ratio of 2.22x combined with a lean capital structure reflected in an Equity Multiplier of 2.71x. The high asset turnover indicates that Nestle generates sales more than twice the value of its total assets each year, a hallmark of an asset-light, brand-driven manufacturing model with efficient working capital cycles. When this operational efficiency is combined with a thin equity base, sustained by the company's policy of distributing over 95% of profits as dividends rather than retaining capital, the resulting ROE is mechanically amplified well beyond what its margin alone would suggest.</w:t>
      </w:r>
    </w:p>
    <w:p w14:paraId="4063FDB7" w14:textId="77777777" w:rsidR="00103F09" w:rsidRDefault="00000000">
      <w:pPr>
        <w:spacing w:before="200" w:after="100"/>
      </w:pPr>
      <w:r>
        <w:rPr>
          <w:b/>
          <w:bCs/>
          <w:i/>
          <w:iCs/>
        </w:rPr>
        <w:t>Tata Consumer Products — Return Compression</w:t>
      </w:r>
    </w:p>
    <w:p w14:paraId="57092EA5" w14:textId="77777777" w:rsidR="00103F09" w:rsidRDefault="00000000">
      <w:pPr>
        <w:spacing w:after="160" w:line="300" w:lineRule="auto"/>
        <w:jc w:val="both"/>
      </w:pPr>
      <w:r>
        <w:t>In contrast, Tata Consumer Products records the lowest ROE (6.8%) in the peer set, driven principally by a low Asset Turnover ratio of 0.62x. This inefficiency is largely structural rather than operational, stemming from the substantial goodwill and intangible assets capitalized on the balance sheet following the company's recent acquisitions of Capital Foods (maker of Ching's Secret) and Organic India. These acquisitions materially inflated the company's total asset base without an immediate, proportionate increase in revenue, thereby depressing the asset turnover ratio and, by extension, the overall ROE, despite a reasonable Net Profit Margin of 7.9%. This pattern is typical of companies undergoing an active integration phase following inorganic growth.</w:t>
      </w:r>
    </w:p>
    <w:p w14:paraId="164F4FA1" w14:textId="77777777" w:rsidR="00103F09" w:rsidRDefault="00000000">
      <w:pPr>
        <w:spacing w:before="200" w:after="100"/>
      </w:pPr>
      <w:r>
        <w:rPr>
          <w:b/>
          <w:bCs/>
          <w:i/>
          <w:iCs/>
        </w:rPr>
        <w:t>Britannia Industries — Debt-Leveraged Return Expansion</w:t>
      </w:r>
    </w:p>
    <w:p w14:paraId="7BAE853D" w14:textId="77777777" w:rsidR="00103F09" w:rsidRDefault="00000000">
      <w:pPr>
        <w:spacing w:after="160" w:line="300" w:lineRule="auto"/>
        <w:jc w:val="both"/>
      </w:pPr>
      <w:r>
        <w:t>Britannia Industries presents a distinct case where financial leverage plays a deliberate role in enhancing shareholder returns. With a Debt-to-Equity ratio of approximately 0.40, Britannia utilizes a modest but meaningful quantum of low-cost debt (₹1,500 Cr in borrowings against a Net Worth of approximately ₹3,800 Cr) to fund working capital and capacity expansion. This financial leverage is reflected in its Equity Multiplier of 2.26x, which, combined with a strong Asset Turnover of 2.03x and a healthy NPM of 12.6%, produces a robust ROE of 57.8%. Britannia's model thus demonstrates a calculated use of debt financing to amplify equity returns without compromising its solvency profile, given the manageable scale of borrowings relative to its operating cash flows.</w:t>
      </w:r>
    </w:p>
    <w:p w14:paraId="713A6660" w14:textId="77777777" w:rsidR="00103F09" w:rsidRDefault="00000000">
      <w:pPr>
        <w:pStyle w:val="Heading1"/>
        <w:pBdr>
          <w:bottom w:val="single" w:sz="8" w:space="4" w:color="000000"/>
        </w:pBdr>
        <w:spacing w:before="400" w:after="200"/>
      </w:pPr>
      <w:r>
        <w:t>5. Corporate Stories &amp; Financial Thesis</w:t>
      </w:r>
    </w:p>
    <w:p w14:paraId="68765C65" w14:textId="77777777" w:rsidR="00103F09" w:rsidRDefault="00000000">
      <w:pPr>
        <w:pStyle w:val="Heading2"/>
        <w:spacing w:before="260" w:after="140"/>
      </w:pPr>
      <w:r>
        <w:t>5.1 Hindustan Unilever Limited (HUL)</w:t>
      </w:r>
    </w:p>
    <w:p w14:paraId="1FC381B5" w14:textId="77777777" w:rsidR="00103F09" w:rsidRDefault="00000000">
      <w:pPr>
        <w:spacing w:after="160" w:line="300" w:lineRule="auto"/>
        <w:jc w:val="both"/>
      </w:pPr>
      <w:r>
        <w:t>HUL's financial thesis rests on its premiumization strategy, wherein the company has consistently shifted its product portfolio mix toward higher-margin categories such as premium skincare, health food drinks, and personal care, thereby supporting an OPM of 24.0% despite mature, high-penetration categories. The company's core competitive moat lies in its pricing power, derived from decades of brand equity built across categories like soaps, detergents, and packaged foods, which allows it to pass on input cost inflation to consumers with limited demand erosion. Additionally, HUL benefits from a negative working capital cycle, meaning it collects cash from customers and distributors faster than it pays its suppliers, a structural advantage that reduces the company's reliance on external borrowings, consistent with its reported zero borrowings position and supports its Return on Capital Employed of 36.5%.</w:t>
      </w:r>
    </w:p>
    <w:p w14:paraId="2A53CFA0" w14:textId="77777777" w:rsidR="00103F09" w:rsidRDefault="00000000">
      <w:pPr>
        <w:pStyle w:val="Heading2"/>
        <w:spacing w:before="260" w:after="140"/>
      </w:pPr>
      <w:r>
        <w:lastRenderedPageBreak/>
        <w:t>5.2 ITC Limited</w:t>
      </w:r>
    </w:p>
    <w:p w14:paraId="6C5102EA" w14:textId="77777777" w:rsidR="00103F09" w:rsidRDefault="00000000">
      <w:pPr>
        <w:spacing w:after="160" w:line="300" w:lineRule="auto"/>
        <w:jc w:val="both"/>
      </w:pPr>
      <w:r>
        <w:t>ITC's corporate narrative is built around the concept of the cigarette business as a cash engine that funds diversification into the FMCG, Hotels, Agri-business, and Paperboards segments. Historically, ITC's non-cigarette FMCG business operated at thin single-digit margins, but strategic reinvestment, portfolio premiumization, and operating leverage have driven a steady expansion in FMCG segment margins from approximately 1% to over 11% over the past decade, marking a significant value-creation milestone for the conglomerate. A further catalyst in ITC's investment thesis has been the demerger of its Hotels business, announced with the objective of unlocking shareholder value by allowing the market to independently value the high-growth FMCG and legacy cigarette businesses without the drag of capital-intensive hospitality assets on consolidated return ratios.</w:t>
      </w:r>
    </w:p>
    <w:p w14:paraId="7AE9CA62" w14:textId="77777777" w:rsidR="00103F09" w:rsidRDefault="00000000">
      <w:pPr>
        <w:pStyle w:val="Heading2"/>
        <w:spacing w:before="260" w:after="140"/>
      </w:pPr>
      <w:r>
        <w:t>5.3 Nestle India Limited</w:t>
      </w:r>
    </w:p>
    <w:p w14:paraId="760609B5" w14:textId="77777777" w:rsidR="00103F09" w:rsidRDefault="00000000">
      <w:pPr>
        <w:spacing w:after="160" w:line="300" w:lineRule="auto"/>
        <w:jc w:val="both"/>
      </w:pPr>
      <w:r>
        <w:t>Nestle India's financial story is anchored in high-velocity branding and disciplined capital allocation. Following the 2015 Maggi noodles crisis, which involved a temporary nationwide product recall, Nestle India undertook a comprehensive restructuring of its manufacturing quality controls, supply chain, and brand communication strategy, successfully rebuilding Maggi into one of the company's core growth drivers. In parallel, the company has maintained a dividend payout policy exceeding 95% of net profits in most years, a deliberate strategy that keeps its equity base lean. While this policy limits the company's capacity for large-scale internal capital investment, it simultaneously maximizes capital efficiency ratios such as ROE, reinforcing Nestle India's positioning as a high-return, low-reinvestment compounding business.</w:t>
      </w:r>
    </w:p>
    <w:p w14:paraId="60AF6B8C" w14:textId="77777777" w:rsidR="00103F09" w:rsidRDefault="00000000">
      <w:pPr>
        <w:pStyle w:val="Heading2"/>
        <w:spacing w:before="260" w:after="140"/>
      </w:pPr>
      <w:r>
        <w:t>5.4 Britannia Industries</w:t>
      </w:r>
    </w:p>
    <w:p w14:paraId="44BDD15F" w14:textId="77777777" w:rsidR="00103F09" w:rsidRDefault="00000000">
      <w:pPr>
        <w:spacing w:after="160" w:line="300" w:lineRule="auto"/>
        <w:jc w:val="both"/>
      </w:pPr>
      <w:r>
        <w:t>Britannia Industries exemplifies a debt-leveraged return model within the FMCG space. Unlike HUL and ITC, which operate with zero borrowings, Britannia deliberately employs a moderate level of debt financing to fund its manufacturing capacity expansion and distribution reach, particularly into rural and semi-urban markets. This calculated leverage strategy, reflected in its Equity Multiplier of 2.26x, allows the company to scale its biscuits, dairy, and bakery product portfolio while amplifying shareholder returns, resulting in one of the highest ROE figures (57.8%) in the peer group, second only to Nestle India.</w:t>
      </w:r>
    </w:p>
    <w:p w14:paraId="4115F87D" w14:textId="77777777" w:rsidR="00103F09" w:rsidRDefault="00000000">
      <w:pPr>
        <w:pStyle w:val="Heading2"/>
        <w:spacing w:before="260" w:after="140"/>
      </w:pPr>
      <w:r>
        <w:t>5.5 Tata Consumer Products Limited</w:t>
      </w:r>
    </w:p>
    <w:p w14:paraId="02EA9820" w14:textId="77777777" w:rsidR="00103F09" w:rsidRDefault="00000000">
      <w:pPr>
        <w:spacing w:after="160" w:line="300" w:lineRule="auto"/>
        <w:jc w:val="both"/>
      </w:pPr>
      <w:r>
        <w:t xml:space="preserve">Tata Consumer Products is currently in an active mergers and acquisitions (M&amp;A) phase, having significantly expanded its portfolio through the integration of Tata Chemicals' consumer foods business, along with the more recent acquisitions of Capital Foods and Organic India. While these acquisitions have broadened TCPL's category presence beyond its traditional tea and salt business into branded spices, ready-to-cook foods, and organic wellness products, they have also introduced short-term margin pressures and balance sheet dilution, reflected in the company's comparatively low OPM (13.6%) and ROE (6.8%). The company's financial thesis for investors rests on the premise that these integration-related pressures are transitional, with long-term synergies expected to emerge from </w:t>
      </w:r>
      <w:r>
        <w:lastRenderedPageBreak/>
        <w:t>cross-selling, distribution consolidation, and category diversification as the acquired businesses mature within the TCPL portfolio.</w:t>
      </w:r>
    </w:p>
    <w:p w14:paraId="7CDAA663" w14:textId="77777777" w:rsidR="00103F09" w:rsidRDefault="00000000">
      <w:pPr>
        <w:pStyle w:val="Heading1"/>
        <w:pBdr>
          <w:bottom w:val="single" w:sz="8" w:space="4" w:color="000000"/>
        </w:pBdr>
        <w:spacing w:before="400" w:after="200"/>
      </w:pPr>
      <w:r>
        <w:t>6. Interactive Dashboard Architecture</w:t>
      </w:r>
    </w:p>
    <w:p w14:paraId="6B2E2EF5" w14:textId="77777777" w:rsidR="00103F09" w:rsidRDefault="00000000">
      <w:pPr>
        <w:spacing w:after="160" w:line="300" w:lineRule="auto"/>
        <w:jc w:val="both"/>
      </w:pPr>
      <w:r>
        <w:t>To complement the static ratio analysis, this project includes a custom-built interactive web dashboard developed using HTML5, CSS3, and JavaScript, designed to translate the underlying dataset into an accessible, exploratory visual interface. The dashboard was engineered as a fully offline-compatible, single-file application, meaning it requires no internet connectivity or external server dependency to function, making it suitable for academic demonstration and viva-voce presentation in any environment.</w:t>
      </w:r>
    </w:p>
    <w:p w14:paraId="65CC5BAC" w14:textId="77777777" w:rsidR="00103F09" w:rsidRDefault="00000000">
      <w:pPr>
        <w:pStyle w:val="Heading2"/>
        <w:spacing w:before="260" w:after="140"/>
      </w:pPr>
      <w:r>
        <w:t>6.1 Key Technical Features</w:t>
      </w:r>
    </w:p>
    <w:p w14:paraId="6BE5BA43" w14:textId="77777777" w:rsidR="00103F09" w:rsidRDefault="00000000">
      <w:pPr>
        <w:pStyle w:val="ListParagraph"/>
        <w:numPr>
          <w:ilvl w:val="0"/>
          <w:numId w:val="2"/>
        </w:numPr>
        <w:spacing w:after="100" w:line="280" w:lineRule="auto"/>
      </w:pPr>
      <w:r>
        <w:t>Offline Compatibility: The entire dashboard runs client-side within a browser without requiring an active internet connection, database server, or backend API.</w:t>
      </w:r>
    </w:p>
    <w:p w14:paraId="672781F1" w14:textId="77777777" w:rsidR="00103F09" w:rsidRDefault="00000000">
      <w:pPr>
        <w:pStyle w:val="ListParagraph"/>
        <w:numPr>
          <w:ilvl w:val="0"/>
          <w:numId w:val="2"/>
        </w:numPr>
        <w:spacing w:after="100" w:line="280" w:lineRule="auto"/>
      </w:pPr>
      <w:r>
        <w:t>Interactive DuPont Sliders: Custom JavaScript-driven sliders allow the user to dynamically adjust Net Profit Margin, Asset Turnover, and Equity Multiplier inputs and instantly observe the resulting change in computed ROE, reinforcing the multiplicative nature of the DuPont framework.</w:t>
      </w:r>
    </w:p>
    <w:p w14:paraId="71B0E013" w14:textId="77777777" w:rsidR="00103F09" w:rsidRDefault="00000000">
      <w:pPr>
        <w:pStyle w:val="ListParagraph"/>
        <w:numPr>
          <w:ilvl w:val="0"/>
          <w:numId w:val="2"/>
        </w:numPr>
        <w:spacing w:after="100" w:line="280" w:lineRule="auto"/>
      </w:pPr>
      <w:r>
        <w:t>Dynamic Sidebars: A responsive navigation sidebar allows users to switch between company-specific views, peer comparison views, and the ten-year historical trend view without page reloads.</w:t>
      </w:r>
    </w:p>
    <w:p w14:paraId="29913DD4" w14:textId="77777777" w:rsidR="00103F09" w:rsidRDefault="00000000">
      <w:pPr>
        <w:pStyle w:val="ListParagraph"/>
        <w:numPr>
          <w:ilvl w:val="0"/>
          <w:numId w:val="2"/>
        </w:numPr>
        <w:spacing w:after="100" w:line="280" w:lineRule="auto"/>
      </w:pPr>
      <w:r>
        <w:t>Responsive Chart.js Visualizations: All charts (bar charts for peer comparison, radar charts for multi-metric profiles, and line charts for the FY2016–FY2025 trend series) are rendered using the Chart.js library and are fully responsive across desktop and mobile screen sizes.</w:t>
      </w:r>
    </w:p>
    <w:p w14:paraId="43FDAA7C" w14:textId="77777777" w:rsidR="00103F09" w:rsidRDefault="00000000">
      <w:pPr>
        <w:pStyle w:val="ListParagraph"/>
        <w:numPr>
          <w:ilvl w:val="0"/>
          <w:numId w:val="2"/>
        </w:numPr>
        <w:spacing w:after="100" w:line="280" w:lineRule="auto"/>
      </w:pPr>
      <w:r>
        <w:t>Data-Driven Storytelling Panels: Each company view includes a narrative text panel that contextualizes the visualized ratios with the qualitative business thesis discussed in Section 5.</w:t>
      </w:r>
    </w:p>
    <w:p w14:paraId="4B8F9F50" w14:textId="21DDC285" w:rsidR="00103F09" w:rsidRDefault="006F74C5">
      <w:pPr>
        <w:pStyle w:val="Heading1"/>
        <w:pBdr>
          <w:bottom w:val="single" w:sz="8" w:space="4" w:color="000000"/>
        </w:pBdr>
        <w:spacing w:before="400" w:after="200"/>
      </w:pPr>
      <w:r>
        <w:t>7</w:t>
      </w:r>
      <w:r w:rsidR="00000000">
        <w:t>. References &amp; Bibliography</w:t>
      </w:r>
    </w:p>
    <w:p w14:paraId="5FDF9867" w14:textId="77777777" w:rsidR="00103F09" w:rsidRDefault="00000000">
      <w:pPr>
        <w:pStyle w:val="ListParagraph"/>
        <w:numPr>
          <w:ilvl w:val="0"/>
          <w:numId w:val="2"/>
        </w:numPr>
        <w:spacing w:after="100" w:line="280" w:lineRule="auto"/>
      </w:pPr>
      <w:r>
        <w:t>Screener.in. Financial Data Aggregation Portal. Available at: https://www.screener.in</w:t>
      </w:r>
    </w:p>
    <w:p w14:paraId="1FE6872E" w14:textId="77777777" w:rsidR="00103F09" w:rsidRDefault="00000000">
      <w:pPr>
        <w:pStyle w:val="ListParagraph"/>
        <w:numPr>
          <w:ilvl w:val="0"/>
          <w:numId w:val="2"/>
        </w:numPr>
        <w:spacing w:after="100" w:line="280" w:lineRule="auto"/>
      </w:pPr>
      <w:r>
        <w:t>Hindustan Unilever Limited. Annual Report FY2024-25. Corporate Filings and Investor Relations Disclosures.</w:t>
      </w:r>
    </w:p>
    <w:p w14:paraId="69DCA86E" w14:textId="77777777" w:rsidR="00103F09" w:rsidRDefault="00000000">
      <w:pPr>
        <w:pStyle w:val="ListParagraph"/>
        <w:numPr>
          <w:ilvl w:val="0"/>
          <w:numId w:val="2"/>
        </w:numPr>
        <w:spacing w:after="100" w:line="280" w:lineRule="auto"/>
      </w:pPr>
      <w:r>
        <w:t>ITC Limited. Annual Report FY2024-25. Corporate Filings and Investor Relations Disclosures.</w:t>
      </w:r>
    </w:p>
    <w:p w14:paraId="5136710E" w14:textId="77777777" w:rsidR="00103F09" w:rsidRDefault="00000000">
      <w:pPr>
        <w:pStyle w:val="ListParagraph"/>
        <w:numPr>
          <w:ilvl w:val="0"/>
          <w:numId w:val="2"/>
        </w:numPr>
        <w:spacing w:after="100" w:line="280" w:lineRule="auto"/>
      </w:pPr>
      <w:r>
        <w:t>Nestle India Limited. Annual Report FY2024-25. Corporate Filings and Investor Relations Disclosures.</w:t>
      </w:r>
    </w:p>
    <w:p w14:paraId="309C11E9" w14:textId="77777777" w:rsidR="00103F09" w:rsidRDefault="00000000">
      <w:pPr>
        <w:pStyle w:val="ListParagraph"/>
        <w:numPr>
          <w:ilvl w:val="0"/>
          <w:numId w:val="2"/>
        </w:numPr>
        <w:spacing w:after="100" w:line="280" w:lineRule="auto"/>
      </w:pPr>
      <w:r>
        <w:t>Britannia Industries Limited. Annual Report FY2024-25. Corporate Filings and Investor Relations Disclosures.</w:t>
      </w:r>
    </w:p>
    <w:p w14:paraId="6E67D9BB" w14:textId="77777777" w:rsidR="00103F09" w:rsidRDefault="00000000">
      <w:pPr>
        <w:pStyle w:val="ListParagraph"/>
        <w:numPr>
          <w:ilvl w:val="0"/>
          <w:numId w:val="2"/>
        </w:numPr>
        <w:spacing w:after="100" w:line="280" w:lineRule="auto"/>
      </w:pPr>
      <w:r>
        <w:t>Tata Consumer Products Limited. Annual Report FY2024-25. Corporate Filings and Investor Relations Disclosures.</w:t>
      </w:r>
    </w:p>
    <w:p w14:paraId="2118BCB8" w14:textId="77777777" w:rsidR="00103F09" w:rsidRDefault="00000000">
      <w:pPr>
        <w:pStyle w:val="ListParagraph"/>
        <w:numPr>
          <w:ilvl w:val="0"/>
          <w:numId w:val="2"/>
        </w:numPr>
        <w:spacing w:after="100" w:line="280" w:lineRule="auto"/>
      </w:pPr>
      <w:r>
        <w:lastRenderedPageBreak/>
        <w:t>National Stock Exchange of India (NSE) and Bombay Stock Exchange (BSE). Corporate Disclosures and Financial Statements.</w:t>
      </w:r>
    </w:p>
    <w:p w14:paraId="4D0C93F8" w14:textId="77777777" w:rsidR="00103F09" w:rsidRDefault="00000000">
      <w:pPr>
        <w:pStyle w:val="ListParagraph"/>
        <w:numPr>
          <w:ilvl w:val="0"/>
          <w:numId w:val="2"/>
        </w:numPr>
        <w:spacing w:after="100" w:line="280" w:lineRule="auto"/>
      </w:pPr>
      <w:r>
        <w:t>Course Material: Data Analytics Essentials with AI: SQL, Python, Power BI, Tableau and Excel (PETV103), Lovely Professional University.</w:t>
      </w:r>
    </w:p>
    <w:sectPr w:rsidR="00103F09">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71AC6" w14:textId="77777777" w:rsidR="00D00949" w:rsidRDefault="00D00949">
      <w:r>
        <w:separator/>
      </w:r>
    </w:p>
  </w:endnote>
  <w:endnote w:type="continuationSeparator" w:id="0">
    <w:p w14:paraId="73D492C1" w14:textId="77777777" w:rsidR="00D00949" w:rsidRDefault="00D009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C20B2" w14:textId="77777777" w:rsidR="00103F09"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6F74C5">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6F74C5">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EBB85" w14:textId="77777777" w:rsidR="00D00949" w:rsidRDefault="00D00949">
      <w:r>
        <w:separator/>
      </w:r>
    </w:p>
  </w:footnote>
  <w:footnote w:type="continuationSeparator" w:id="0">
    <w:p w14:paraId="56C26F87" w14:textId="77777777" w:rsidR="00D00949" w:rsidRDefault="00D009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BDF27" w14:textId="77777777" w:rsidR="00103F09" w:rsidRDefault="00000000">
    <w:pPr>
      <w:pBdr>
        <w:bottom w:val="single" w:sz="4" w:space="4" w:color="000000"/>
      </w:pBdr>
      <w:jc w:val="right"/>
    </w:pPr>
    <w:r>
      <w:rPr>
        <w:i/>
        <w:iCs/>
        <w:sz w:val="16"/>
        <w:szCs w:val="16"/>
      </w:rPr>
      <w:t>PETV103 | Financial Ratio Analysis of Indian FMCG Companies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97123"/>
    <w:multiLevelType w:val="hybridMultilevel"/>
    <w:tmpl w:val="2ECCABE8"/>
    <w:lvl w:ilvl="0" w:tplc="91BA13EA">
      <w:start w:val="1"/>
      <w:numFmt w:val="bullet"/>
      <w:lvlText w:val="•"/>
      <w:lvlJc w:val="left"/>
      <w:pPr>
        <w:ind w:left="504" w:hanging="288"/>
      </w:pPr>
      <w:rPr>
        <w:rFonts w:ascii="Calibri" w:eastAsia="Calibri" w:hAnsi="Calibri" w:cs="Calibri"/>
        <w:color w:val="000000"/>
      </w:rPr>
    </w:lvl>
    <w:lvl w:ilvl="1" w:tplc="6226D3BE">
      <w:numFmt w:val="decimal"/>
      <w:lvlText w:val=""/>
      <w:lvlJc w:val="left"/>
    </w:lvl>
    <w:lvl w:ilvl="2" w:tplc="DF98843A">
      <w:numFmt w:val="decimal"/>
      <w:lvlText w:val=""/>
      <w:lvlJc w:val="left"/>
    </w:lvl>
    <w:lvl w:ilvl="3" w:tplc="0D92F85E">
      <w:numFmt w:val="decimal"/>
      <w:lvlText w:val=""/>
      <w:lvlJc w:val="left"/>
    </w:lvl>
    <w:lvl w:ilvl="4" w:tplc="DC149F5A">
      <w:numFmt w:val="decimal"/>
      <w:lvlText w:val=""/>
      <w:lvlJc w:val="left"/>
    </w:lvl>
    <w:lvl w:ilvl="5" w:tplc="E604B8B4">
      <w:numFmt w:val="decimal"/>
      <w:lvlText w:val=""/>
      <w:lvlJc w:val="left"/>
    </w:lvl>
    <w:lvl w:ilvl="6" w:tplc="7042FF56">
      <w:numFmt w:val="decimal"/>
      <w:lvlText w:val=""/>
      <w:lvlJc w:val="left"/>
    </w:lvl>
    <w:lvl w:ilvl="7" w:tplc="216C7D7C">
      <w:numFmt w:val="decimal"/>
      <w:lvlText w:val=""/>
      <w:lvlJc w:val="left"/>
    </w:lvl>
    <w:lvl w:ilvl="8" w:tplc="99CA6FD0">
      <w:numFmt w:val="decimal"/>
      <w:lvlText w:val=""/>
      <w:lvlJc w:val="left"/>
    </w:lvl>
  </w:abstractNum>
  <w:abstractNum w:abstractNumId="1" w15:restartNumberingAfterBreak="0">
    <w:nsid w:val="55282A99"/>
    <w:multiLevelType w:val="hybridMultilevel"/>
    <w:tmpl w:val="934EB3B2"/>
    <w:lvl w:ilvl="0" w:tplc="64FA2A3A">
      <w:start w:val="1"/>
      <w:numFmt w:val="bullet"/>
      <w:lvlText w:val="●"/>
      <w:lvlJc w:val="left"/>
      <w:pPr>
        <w:ind w:left="720" w:hanging="360"/>
      </w:pPr>
    </w:lvl>
    <w:lvl w:ilvl="1" w:tplc="6D2EED04">
      <w:start w:val="1"/>
      <w:numFmt w:val="bullet"/>
      <w:lvlText w:val="○"/>
      <w:lvlJc w:val="left"/>
      <w:pPr>
        <w:ind w:left="1440" w:hanging="360"/>
      </w:pPr>
    </w:lvl>
    <w:lvl w:ilvl="2" w:tplc="41AE15E4">
      <w:start w:val="1"/>
      <w:numFmt w:val="bullet"/>
      <w:lvlText w:val="■"/>
      <w:lvlJc w:val="left"/>
      <w:pPr>
        <w:ind w:left="2160" w:hanging="360"/>
      </w:pPr>
    </w:lvl>
    <w:lvl w:ilvl="3" w:tplc="3C76D624">
      <w:start w:val="1"/>
      <w:numFmt w:val="bullet"/>
      <w:lvlText w:val="●"/>
      <w:lvlJc w:val="left"/>
      <w:pPr>
        <w:ind w:left="2880" w:hanging="360"/>
      </w:pPr>
    </w:lvl>
    <w:lvl w:ilvl="4" w:tplc="DF044AB8">
      <w:start w:val="1"/>
      <w:numFmt w:val="bullet"/>
      <w:lvlText w:val="○"/>
      <w:lvlJc w:val="left"/>
      <w:pPr>
        <w:ind w:left="3600" w:hanging="360"/>
      </w:pPr>
    </w:lvl>
    <w:lvl w:ilvl="5" w:tplc="E528ED62">
      <w:start w:val="1"/>
      <w:numFmt w:val="bullet"/>
      <w:lvlText w:val="■"/>
      <w:lvlJc w:val="left"/>
      <w:pPr>
        <w:ind w:left="4320" w:hanging="360"/>
      </w:pPr>
    </w:lvl>
    <w:lvl w:ilvl="6" w:tplc="7EA87332">
      <w:start w:val="1"/>
      <w:numFmt w:val="bullet"/>
      <w:lvlText w:val="●"/>
      <w:lvlJc w:val="left"/>
      <w:pPr>
        <w:ind w:left="5040" w:hanging="360"/>
      </w:pPr>
    </w:lvl>
    <w:lvl w:ilvl="7" w:tplc="A8F699FC">
      <w:start w:val="1"/>
      <w:numFmt w:val="bullet"/>
      <w:lvlText w:val="●"/>
      <w:lvlJc w:val="left"/>
      <w:pPr>
        <w:ind w:left="5760" w:hanging="360"/>
      </w:pPr>
    </w:lvl>
    <w:lvl w:ilvl="8" w:tplc="05305960">
      <w:start w:val="1"/>
      <w:numFmt w:val="bullet"/>
      <w:lvlText w:val="●"/>
      <w:lvlJc w:val="left"/>
      <w:pPr>
        <w:ind w:left="6480" w:hanging="360"/>
      </w:pPr>
    </w:lvl>
  </w:abstractNum>
  <w:num w:numId="1" w16cid:durableId="555244992">
    <w:abstractNumId w:val="1"/>
    <w:lvlOverride w:ilvl="0">
      <w:startOverride w:val="1"/>
    </w:lvlOverride>
  </w:num>
  <w:num w:numId="2" w16cid:durableId="13680945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3F09"/>
    <w:rsid w:val="00103F09"/>
    <w:rsid w:val="006F74C5"/>
    <w:rsid w:val="008E5C2F"/>
    <w:rsid w:val="00D009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9E357"/>
  <w15:docId w15:val="{E4107A6A-31C0-4BE3-894B-241193316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8"/>
      <w:szCs w:val="28"/>
    </w:rPr>
  </w:style>
  <w:style w:type="paragraph" w:styleId="Heading2">
    <w:name w:val="heading 2"/>
    <w:uiPriority w:val="9"/>
    <w:unhideWhenUsed/>
    <w:qFormat/>
    <w:pPr>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2627</Words>
  <Characters>14978</Characters>
  <Application>Microsoft Office Word</Application>
  <DocSecurity>0</DocSecurity>
  <Lines>124</Lines>
  <Paragraphs>35</Paragraphs>
  <ScaleCrop>false</ScaleCrop>
  <Company/>
  <LinksUpToDate>false</LinksUpToDate>
  <CharactersWithSpaces>17570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Sumit kumar</cp:lastModifiedBy>
  <cp:revision>2</cp:revision>
  <dcterms:created xsi:type="dcterms:W3CDTF">2026-07-15T04:47:00Z</dcterms:created>
  <dcterms:modified xsi:type="dcterms:W3CDTF">2026-07-15T04:53:00Z</dcterms:modified>
</cp:coreProperties>
</file>