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E861" w14:textId="77777777" w:rsidR="00CD048B" w:rsidRDefault="00000000">
      <w:pPr>
        <w:pStyle w:val="Heading1"/>
        <w:spacing w:before="33" w:line="256" w:lineRule="auto"/>
        <w:ind w:left="3549" w:right="3567" w:hanging="3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Architecture</w:t>
      </w:r>
    </w:p>
    <w:p w14:paraId="5B78B438" w14:textId="77777777" w:rsidR="00CD048B" w:rsidRDefault="00CD048B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D048B" w14:paraId="690A6BBA" w14:textId="77777777">
        <w:trPr>
          <w:trHeight w:val="268"/>
        </w:trPr>
        <w:tc>
          <w:tcPr>
            <w:tcW w:w="4508" w:type="dxa"/>
          </w:tcPr>
          <w:p w14:paraId="40A6A029" w14:textId="77777777" w:rsidR="00CD048B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35B1A3D" w14:textId="213A10C2" w:rsidR="00CD048B" w:rsidRDefault="000C6911">
            <w:pPr>
              <w:pStyle w:val="TableParagraph"/>
            </w:pPr>
            <w:r w:rsidRPr="000C6911">
              <w:t>26 June2025</w:t>
            </w:r>
          </w:p>
        </w:tc>
      </w:tr>
      <w:tr w:rsidR="00CD048B" w14:paraId="1EE3900B" w14:textId="77777777">
        <w:trPr>
          <w:trHeight w:val="268"/>
        </w:trPr>
        <w:tc>
          <w:tcPr>
            <w:tcW w:w="4508" w:type="dxa"/>
          </w:tcPr>
          <w:p w14:paraId="4FD3A90B" w14:textId="77777777" w:rsidR="00CD048B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0608E91C" w14:textId="5CB97A5A" w:rsidR="00CD048B" w:rsidRPr="000C6911" w:rsidRDefault="000C691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  <w:r w:rsidRPr="000C6911">
              <w:rPr>
                <w:rFonts w:ascii="Times New Roman"/>
                <w:sz w:val="20"/>
                <w:szCs w:val="20"/>
              </w:rPr>
              <w:t>LTVIP2025TMID31972</w:t>
            </w:r>
          </w:p>
        </w:tc>
      </w:tr>
      <w:tr w:rsidR="00CD048B" w14:paraId="31392F71" w14:textId="77777777">
        <w:trPr>
          <w:trHeight w:val="268"/>
        </w:trPr>
        <w:tc>
          <w:tcPr>
            <w:tcW w:w="4508" w:type="dxa"/>
          </w:tcPr>
          <w:p w14:paraId="1B19CAAB" w14:textId="77777777" w:rsidR="00CD048B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4780BF56" w14:textId="4E7CCB5B" w:rsidR="00CD048B" w:rsidRPr="000C6911" w:rsidRDefault="000C6911" w:rsidP="000C69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Health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AI:Intelligent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Healthcare Assistance using IBM Granite </w:t>
            </w:r>
          </w:p>
        </w:tc>
      </w:tr>
      <w:tr w:rsidR="00CD048B" w14:paraId="7EC67DB9" w14:textId="77777777">
        <w:trPr>
          <w:trHeight w:val="292"/>
        </w:trPr>
        <w:tc>
          <w:tcPr>
            <w:tcW w:w="4508" w:type="dxa"/>
          </w:tcPr>
          <w:p w14:paraId="79DDDCC9" w14:textId="77777777" w:rsidR="00CD048B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4F6C09F3" w14:textId="77777777" w:rsidR="00CD048B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E33D728" w14:textId="77777777" w:rsidR="0080341D" w:rsidRPr="0080341D" w:rsidRDefault="0080341D" w:rsidP="0080341D">
      <w:pPr>
        <w:spacing w:before="183" w:line="259" w:lineRule="auto"/>
        <w:ind w:left="100" w:right="612"/>
        <w:rPr>
          <w:rFonts w:ascii="Calibri"/>
          <w:b/>
          <w:sz w:val="24"/>
          <w:szCs w:val="24"/>
          <w:lang w:val="en-IN"/>
        </w:rPr>
      </w:pPr>
      <w:r w:rsidRPr="0080341D">
        <w:rPr>
          <w:rFonts w:ascii="Calibri"/>
          <w:b/>
          <w:bCs/>
          <w:sz w:val="24"/>
          <w:szCs w:val="24"/>
          <w:lang w:val="en-IN"/>
        </w:rPr>
        <w:t>Solution Architecture Overview</w:t>
      </w:r>
    </w:p>
    <w:p w14:paraId="6F4D5FE0" w14:textId="77777777" w:rsidR="0080341D" w:rsidRDefault="0080341D" w:rsidP="0080341D">
      <w:pPr>
        <w:spacing w:before="183" w:line="259" w:lineRule="auto"/>
        <w:ind w:left="100" w:right="612"/>
        <w:rPr>
          <w:rFonts w:ascii="Calibri"/>
          <w:bCs/>
          <w:lang w:val="en-IN"/>
        </w:rPr>
      </w:pPr>
      <w:proofErr w:type="spellStart"/>
      <w:r w:rsidRPr="0080341D">
        <w:rPr>
          <w:rFonts w:ascii="Calibri"/>
          <w:bCs/>
          <w:lang w:val="en-IN"/>
        </w:rPr>
        <w:t>HealthAI</w:t>
      </w:r>
      <w:r w:rsidRPr="0080341D">
        <w:rPr>
          <w:rFonts w:ascii="Calibri"/>
          <w:bCs/>
          <w:lang w:val="en-IN"/>
        </w:rPr>
        <w:t>’</w:t>
      </w:r>
      <w:r w:rsidRPr="0080341D">
        <w:rPr>
          <w:rFonts w:ascii="Calibri"/>
          <w:bCs/>
          <w:lang w:val="en-IN"/>
        </w:rPr>
        <w:t>s</w:t>
      </w:r>
      <w:proofErr w:type="spellEnd"/>
      <w:r w:rsidRPr="0080341D">
        <w:rPr>
          <w:rFonts w:ascii="Calibri"/>
          <w:bCs/>
          <w:lang w:val="en-IN"/>
        </w:rPr>
        <w:t xml:space="preserve"> architecture bridges the gap between healthcare accessibility challenges and AI-driven technology solutions. It leverages IBM Watson</w:t>
      </w:r>
      <w:r w:rsidRPr="0080341D">
        <w:rPr>
          <w:rFonts w:ascii="Calibri"/>
          <w:bCs/>
          <w:lang w:val="en-IN"/>
        </w:rPr>
        <w:t>’</w:t>
      </w:r>
      <w:r w:rsidRPr="0080341D">
        <w:rPr>
          <w:rFonts w:ascii="Calibri"/>
          <w:bCs/>
          <w:lang w:val="en-IN"/>
        </w:rPr>
        <w:t>s robust ecosystem to deliver accurate, scalable, and user-friendly medical assistance.</w:t>
      </w:r>
    </w:p>
    <w:p w14:paraId="7643A949" w14:textId="44F8126D" w:rsidR="0080341D" w:rsidRPr="0080341D" w:rsidRDefault="0080341D" w:rsidP="0080341D">
      <w:pPr>
        <w:spacing w:before="183" w:line="259" w:lineRule="auto"/>
        <w:ind w:left="100" w:right="612"/>
        <w:rPr>
          <w:rFonts w:ascii="Calibri"/>
          <w:bCs/>
          <w:lang w:val="en-IN"/>
        </w:rPr>
      </w:pPr>
      <w:r w:rsidRPr="0080341D">
        <w:rPr>
          <w:rFonts w:ascii="Calibri"/>
          <w:b/>
          <w:bCs/>
          <w:sz w:val="24"/>
          <w:szCs w:val="24"/>
          <w:lang w:val="en-IN"/>
        </w:rPr>
        <w:t>Goals of the Architecture:</w:t>
      </w:r>
    </w:p>
    <w:p w14:paraId="1CC2482A" w14:textId="77777777" w:rsidR="0080341D" w:rsidRPr="0080341D" w:rsidRDefault="0080341D" w:rsidP="0080341D">
      <w:pPr>
        <w:numPr>
          <w:ilvl w:val="0"/>
          <w:numId w:val="2"/>
        </w:numPr>
        <w:spacing w:before="183" w:line="259" w:lineRule="auto"/>
        <w:ind w:right="612"/>
        <w:rPr>
          <w:rFonts w:ascii="Calibri"/>
          <w:lang w:val="en-IN"/>
        </w:rPr>
      </w:pPr>
      <w:r w:rsidRPr="0080341D">
        <w:rPr>
          <w:rFonts w:ascii="Calibri"/>
          <w:lang w:val="en-IN"/>
        </w:rPr>
        <w:t>Best Tech Solution: IBM Watson Machine Learning + Generative AI (Granite-13b-instruct-v2) for personalized healthcare insights.</w:t>
      </w:r>
    </w:p>
    <w:p w14:paraId="6457236F" w14:textId="77777777" w:rsidR="0080341D" w:rsidRPr="0080341D" w:rsidRDefault="0080341D" w:rsidP="0080341D">
      <w:pPr>
        <w:numPr>
          <w:ilvl w:val="0"/>
          <w:numId w:val="2"/>
        </w:numPr>
        <w:spacing w:before="183" w:line="259" w:lineRule="auto"/>
        <w:ind w:right="612"/>
        <w:rPr>
          <w:rFonts w:ascii="Calibri"/>
          <w:lang w:val="en-IN"/>
        </w:rPr>
      </w:pPr>
      <w:r w:rsidRPr="0080341D">
        <w:rPr>
          <w:rFonts w:ascii="Calibri"/>
          <w:lang w:val="en-IN"/>
        </w:rPr>
        <w:t xml:space="preserve">Stakeholder Clarity: </w:t>
      </w:r>
      <w:proofErr w:type="spellStart"/>
      <w:r w:rsidRPr="0080341D">
        <w:rPr>
          <w:rFonts w:ascii="Calibri"/>
          <w:lang w:val="en-IN"/>
        </w:rPr>
        <w:t>Streamlit</w:t>
      </w:r>
      <w:proofErr w:type="spellEnd"/>
      <w:r w:rsidRPr="0080341D">
        <w:rPr>
          <w:rFonts w:ascii="Calibri"/>
          <w:lang w:val="en-IN"/>
        </w:rPr>
        <w:t>-based UI for seamless user interaction; secure API integrations for data flow.</w:t>
      </w:r>
    </w:p>
    <w:p w14:paraId="7DF751A8" w14:textId="77777777" w:rsidR="0080341D" w:rsidRPr="0080341D" w:rsidRDefault="0080341D" w:rsidP="0080341D">
      <w:pPr>
        <w:numPr>
          <w:ilvl w:val="0"/>
          <w:numId w:val="2"/>
        </w:numPr>
        <w:spacing w:before="183" w:line="259" w:lineRule="auto"/>
        <w:ind w:right="612"/>
        <w:rPr>
          <w:rFonts w:ascii="Calibri"/>
          <w:lang w:val="en-IN"/>
        </w:rPr>
      </w:pPr>
      <w:r w:rsidRPr="0080341D">
        <w:rPr>
          <w:rFonts w:ascii="Calibri"/>
          <w:lang w:val="en-IN"/>
        </w:rPr>
        <w:t>Feature Roadmap: Modular design supporting Disease Prediction, Treatment Plans, Health Analytics, and Patient Chat.</w:t>
      </w:r>
    </w:p>
    <w:p w14:paraId="14048F4C" w14:textId="77777777" w:rsidR="0080341D" w:rsidRPr="0080341D" w:rsidRDefault="0080341D" w:rsidP="0080341D">
      <w:pPr>
        <w:numPr>
          <w:ilvl w:val="0"/>
          <w:numId w:val="2"/>
        </w:numPr>
        <w:spacing w:before="183" w:line="259" w:lineRule="auto"/>
        <w:ind w:right="612"/>
        <w:rPr>
          <w:rFonts w:ascii="Calibri"/>
          <w:lang w:val="en-IN"/>
        </w:rPr>
      </w:pPr>
      <w:r w:rsidRPr="0080341D">
        <w:rPr>
          <w:rFonts w:ascii="Calibri"/>
          <w:lang w:val="en-IN"/>
        </w:rPr>
        <w:t>Delivery Specifications: Cloud-native (IBM Cloud), HIPAA-compliant data handling, and scalable microservices.</w:t>
      </w:r>
    </w:p>
    <w:p w14:paraId="78B62AAF" w14:textId="378D23C8" w:rsidR="00CD048B" w:rsidRDefault="0080341D">
      <w:pPr>
        <w:spacing w:before="183" w:line="259" w:lineRule="auto"/>
        <w:ind w:left="100" w:right="612"/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 wp14:anchorId="3CA2781D" wp14:editId="7BE7BF94">
            <wp:extent cx="5873750" cy="3898265"/>
            <wp:effectExtent l="0" t="0" r="0" b="6985"/>
            <wp:docPr id="11114908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90813" name="Picture 1" descr="A diagram of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D48F" w14:textId="77777777" w:rsidR="0080341D" w:rsidRPr="0080341D" w:rsidRDefault="0080341D" w:rsidP="0080341D">
      <w:pPr>
        <w:spacing w:before="183" w:line="259" w:lineRule="auto"/>
        <w:ind w:left="100" w:right="612"/>
        <w:rPr>
          <w:rFonts w:ascii="Calibri"/>
          <w:b/>
          <w:lang w:val="en-IN"/>
        </w:rPr>
      </w:pPr>
      <w:r w:rsidRPr="0080341D">
        <w:rPr>
          <w:rFonts w:ascii="Calibri"/>
          <w:b/>
          <w:bCs/>
          <w:lang w:val="en-IN"/>
        </w:rPr>
        <w:t>References</w:t>
      </w:r>
    </w:p>
    <w:p w14:paraId="26635648" w14:textId="77777777" w:rsidR="0080341D" w:rsidRPr="0080341D" w:rsidRDefault="0080341D" w:rsidP="0080341D">
      <w:pPr>
        <w:numPr>
          <w:ilvl w:val="0"/>
          <w:numId w:val="3"/>
        </w:numPr>
        <w:spacing w:before="183" w:line="259" w:lineRule="auto"/>
        <w:ind w:right="612"/>
        <w:rPr>
          <w:rFonts w:ascii="Calibri"/>
          <w:b/>
          <w:lang w:val="en-IN"/>
        </w:rPr>
      </w:pPr>
      <w:hyperlink r:id="rId6" w:tgtFrame="_blank" w:history="1">
        <w:r w:rsidRPr="0080341D">
          <w:rPr>
            <w:rStyle w:val="Hyperlink"/>
            <w:rFonts w:ascii="Calibri"/>
            <w:b/>
            <w:lang w:val="en-IN"/>
          </w:rPr>
          <w:t>IBM Watson Documentation</w:t>
        </w:r>
      </w:hyperlink>
    </w:p>
    <w:p w14:paraId="4BF1C3F3" w14:textId="77777777" w:rsidR="0080341D" w:rsidRPr="0080341D" w:rsidRDefault="0080341D" w:rsidP="0080341D">
      <w:pPr>
        <w:numPr>
          <w:ilvl w:val="0"/>
          <w:numId w:val="3"/>
        </w:numPr>
        <w:spacing w:before="183" w:line="259" w:lineRule="auto"/>
        <w:ind w:right="612"/>
        <w:rPr>
          <w:rFonts w:ascii="Calibri"/>
          <w:b/>
          <w:lang w:val="en-IN"/>
        </w:rPr>
      </w:pPr>
      <w:hyperlink r:id="rId7" w:tgtFrame="_blank" w:history="1">
        <w:proofErr w:type="spellStart"/>
        <w:r w:rsidRPr="0080341D">
          <w:rPr>
            <w:rStyle w:val="Hyperlink"/>
            <w:rFonts w:ascii="Calibri"/>
            <w:b/>
            <w:lang w:val="en-IN"/>
          </w:rPr>
          <w:t>Streamlit</w:t>
        </w:r>
        <w:proofErr w:type="spellEnd"/>
        <w:r w:rsidRPr="0080341D">
          <w:rPr>
            <w:rStyle w:val="Hyperlink"/>
            <w:rFonts w:ascii="Calibri"/>
            <w:b/>
            <w:lang w:val="en-IN"/>
          </w:rPr>
          <w:t xml:space="preserve"> for Healthcare Apps</w:t>
        </w:r>
      </w:hyperlink>
    </w:p>
    <w:p w14:paraId="2E0C8AF7" w14:textId="77777777" w:rsidR="0080341D" w:rsidRDefault="0080341D">
      <w:pPr>
        <w:spacing w:before="183" w:line="259" w:lineRule="auto"/>
        <w:ind w:left="100" w:right="612"/>
        <w:rPr>
          <w:rFonts w:ascii="Calibri"/>
          <w:b/>
        </w:rPr>
      </w:pPr>
    </w:p>
    <w:sectPr w:rsidR="0080341D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4F98"/>
    <w:multiLevelType w:val="multilevel"/>
    <w:tmpl w:val="5DD8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6782A"/>
    <w:multiLevelType w:val="multilevel"/>
    <w:tmpl w:val="65D2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37319"/>
    <w:multiLevelType w:val="hybridMultilevel"/>
    <w:tmpl w:val="A00EA5AC"/>
    <w:lvl w:ilvl="0" w:tplc="359E69A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66A76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13251C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322F91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48AC71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E546C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BFA8BE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67E630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5269B3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510873754">
    <w:abstractNumId w:val="2"/>
  </w:num>
  <w:num w:numId="2" w16cid:durableId="1767074756">
    <w:abstractNumId w:val="1"/>
  </w:num>
  <w:num w:numId="3" w16cid:durableId="45942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8B"/>
    <w:rsid w:val="000C6911"/>
    <w:rsid w:val="00800378"/>
    <w:rsid w:val="0080341D"/>
    <w:rsid w:val="00C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D67D"/>
  <w15:docId w15:val="{116E8661-CF20-4BAD-A897-C98C55D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4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4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4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8034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lit.io/use-cases/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wat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Ameena b</cp:lastModifiedBy>
  <cp:revision>2</cp:revision>
  <dcterms:created xsi:type="dcterms:W3CDTF">2025-06-26T09:54:00Z</dcterms:created>
  <dcterms:modified xsi:type="dcterms:W3CDTF">2025-06-26T09:54:00Z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2021</vt:lpwstr>
  </property>
</Properties>
</file>