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SWTID-2026-4339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Metrics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ind w:left="0" w:firstLine="0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Regression Model: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/>
              <w:t>N/A. This project is a rule-based Flow Designer workflow, so MAE, MSE, RMSE and R2 score do not apply.</w:t>
              <w:br/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Classification Model:</w:t>
              <w:br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N/A. No classification model is used, so there is no confusion matrix, accuracy score or classification report. Workflow correctness was checked with UAT instead (see the UAT report).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325880" cy="71491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a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149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Tune the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Hyperparameter Tuning - N/A (no machine learning model to tune)</w:t>
              <w:br/>
              <w:t>Validation Method - Functional validation through UAT test cases covering approval, rejection and validation paths</w:t>
              <w:br/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325880" cy="4790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b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4790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