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2: Org Setup &amp; Configuration – Fuel Station Project</w:t>
      </w:r>
    </w:p>
    <w:p>
      <w:r>
        <w:t>In Phase 2, we configure the Salesforce Org setup and apply security settings to ensure a well-structured foundation for the Fuel Station Management System. This includes setting up company details, business hours, users, roles, profiles, permission sets, and sharing settings. The goal is to establish a secure, scalable, and manageable environment.</w:t>
      </w:r>
    </w:p>
    <w:p>
      <w:pPr>
        <w:pStyle w:val="Heading2"/>
      </w:pPr>
      <w:r>
        <w:t>Key Configurations</w:t>
      </w:r>
    </w:p>
    <w:p>
      <w:pPr>
        <w:pStyle w:val="ListBullet"/>
      </w:pPr>
      <w:r>
        <w:t>Salesforce Edition: Developer Edition used for the project.</w:t>
      </w:r>
    </w:p>
    <w:p>
      <w:pPr>
        <w:pStyle w:val="ListBullet"/>
      </w:pPr>
      <w:r>
        <w:t>Company Profile Setup: Configured details such as company information and default settings.</w:t>
      </w:r>
    </w:p>
    <w:p>
      <w:pPr>
        <w:pStyle w:val="ListBullet"/>
      </w:pPr>
      <w:r>
        <w:t>Business Hours &amp; Holidays: Defined working hours for fuel stations.</w:t>
      </w:r>
    </w:p>
    <w:p>
      <w:pPr>
        <w:pStyle w:val="ListBullet"/>
      </w:pPr>
      <w:r>
        <w:t>Fiscal Year Settings: Standard fiscal year enabled.</w:t>
      </w:r>
    </w:p>
    <w:p>
      <w:pPr>
        <w:pStyle w:val="ListBullet"/>
      </w:pPr>
      <w:r>
        <w:t>User Setup &amp; Licenses: Created admin, supplier, and buyer users.</w:t>
      </w:r>
    </w:p>
    <w:p>
      <w:pPr>
        <w:pStyle w:val="ListBullet"/>
      </w:pPr>
      <w:r>
        <w:t>Profiles: Assigned appropriate object-level and field-level permissions.</w:t>
      </w:r>
    </w:p>
    <w:p>
      <w:pPr>
        <w:pStyle w:val="ListBullet"/>
      </w:pPr>
      <w:r>
        <w:t>Roles: Established role hierarchy (Admin → Supplier → Buyer).</w:t>
      </w:r>
    </w:p>
    <w:p>
      <w:pPr>
        <w:pStyle w:val="ListBullet"/>
      </w:pPr>
      <w:r>
        <w:t>Permission Sets: Granted additional access beyond profiles where required.</w:t>
      </w:r>
    </w:p>
    <w:p>
      <w:pPr>
        <w:pStyle w:val="ListBullet"/>
      </w:pPr>
      <w:r>
        <w:t>OWD (Organization-Wide Defaults): Configured record-level security as per sharing needs.</w:t>
      </w:r>
    </w:p>
    <w:p>
      <w:pPr>
        <w:pStyle w:val="ListBullet"/>
      </w:pPr>
      <w:r>
        <w:t>Sharing Rules: Set to allow record access between suppliers, buyers, and admins.</w:t>
      </w:r>
    </w:p>
    <w:p>
      <w:pPr>
        <w:pStyle w:val="ListBullet"/>
      </w:pPr>
      <w:r>
        <w:t>Login Access Policies: Ensured secure login and session policies.</w:t>
      </w:r>
    </w:p>
    <w:p>
      <w:pPr>
        <w:pStyle w:val="ListBullet"/>
      </w:pPr>
      <w:r>
        <w:t>Sandbox Usage: Used for development and testing before deployment.</w:t>
      </w:r>
    </w:p>
    <w:p>
      <w:pPr>
        <w:pStyle w:val="Heading2"/>
      </w:pPr>
      <w:r>
        <w:t>Screenshots</w:t>
      </w:r>
    </w:p>
    <w:p>
      <w:r>
        <w:t>Below are the configurations demonstrated through screenshots:</w:t>
      </w:r>
    </w:p>
    <w:p>
      <w:r>
        <w:drawing>
          <wp:inline xmlns:a="http://schemas.openxmlformats.org/drawingml/2006/main" xmlns:pic="http://schemas.openxmlformats.org/drawingml/2006/picture">
            <wp:extent cx="5029200" cy="2176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18 2122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6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2137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18 2120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3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3440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18 2119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44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253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18 21192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20507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9-18 2119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07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