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95FE3" w14:textId="77777777" w:rsidR="00B67283" w:rsidRDefault="00000000">
      <w:pPr>
        <w:spacing w:after="40"/>
        <w:jc w:val="center"/>
      </w:pPr>
      <w:r>
        <w:rPr>
          <w:b/>
          <w:color w:val="1B365D"/>
          <w:sz w:val="32"/>
        </w:rPr>
        <w:t>RESEARCH SUMMARY &amp; LITERATURE REVIEW (5 KEY PAPERS)</w:t>
      </w:r>
    </w:p>
    <w:p w14:paraId="40E06F64" w14:textId="77777777" w:rsidR="00B67283" w:rsidRDefault="00000000">
      <w:pPr>
        <w:spacing w:after="160"/>
        <w:jc w:val="center"/>
      </w:pPr>
      <w:r>
        <w:rPr>
          <w:i/>
          <w:color w:val="46505F"/>
          <w:sz w:val="22"/>
        </w:rPr>
        <w:t>An AI Framework for Automated Examination Monitoring Using Overhead CCTV, YOLOv12, and Temporal Risk Fusion</w:t>
      </w:r>
    </w:p>
    <w:tbl>
      <w:tblPr>
        <w:tblW w:w="0" w:type="auto"/>
        <w:jc w:val="center"/>
        <w:tblLayout w:type="fixed"/>
        <w:tblLook w:val="04A0" w:firstRow="1" w:lastRow="0" w:firstColumn="1" w:lastColumn="0" w:noHBand="0" w:noVBand="1"/>
      </w:tblPr>
      <w:tblGrid>
        <w:gridCol w:w="5184"/>
        <w:gridCol w:w="5184"/>
      </w:tblGrid>
      <w:tr w:rsidR="00B67283" w14:paraId="1C2F6249" w14:textId="77777777">
        <w:trPr>
          <w:jc w:val="center"/>
        </w:trPr>
        <w:tc>
          <w:tcPr>
            <w:tcW w:w="5184" w:type="dxa"/>
            <w:shd w:val="clear" w:color="auto" w:fill="F4F6F9"/>
            <w:tcMar>
              <w:top w:w="60" w:type="dxa"/>
              <w:left w:w="100" w:type="dxa"/>
              <w:bottom w:w="60" w:type="dxa"/>
              <w:right w:w="100" w:type="dxa"/>
            </w:tcMar>
          </w:tcPr>
          <w:p w14:paraId="7D1E26C4" w14:textId="77777777" w:rsidR="00B67283" w:rsidRDefault="00000000">
            <w:pPr>
              <w:spacing w:after="0"/>
            </w:pPr>
            <w:r>
              <w:rPr>
                <w:b/>
                <w:color w:val="1B365D"/>
                <w:sz w:val="19"/>
              </w:rPr>
              <w:t>Course:</w:t>
            </w:r>
            <w:r>
              <w:rPr>
                <w:sz w:val="19"/>
              </w:rPr>
              <w:t xml:space="preserve"> 19CSE601 - Research Methodology</w:t>
            </w:r>
          </w:p>
        </w:tc>
        <w:tc>
          <w:tcPr>
            <w:tcW w:w="5184" w:type="dxa"/>
            <w:shd w:val="clear" w:color="auto" w:fill="F4F6F9"/>
            <w:tcMar>
              <w:top w:w="60" w:type="dxa"/>
              <w:left w:w="100" w:type="dxa"/>
              <w:bottom w:w="60" w:type="dxa"/>
              <w:right w:w="100" w:type="dxa"/>
            </w:tcMar>
          </w:tcPr>
          <w:p w14:paraId="08C22C6F" w14:textId="77777777" w:rsidR="00B67283" w:rsidRDefault="00000000">
            <w:pPr>
              <w:spacing w:after="0"/>
            </w:pPr>
            <w:r>
              <w:rPr>
                <w:b/>
                <w:color w:val="1B365D"/>
                <w:sz w:val="19"/>
              </w:rPr>
              <w:t>Author:</w:t>
            </w:r>
            <w:r>
              <w:rPr>
                <w:sz w:val="19"/>
              </w:rPr>
              <w:t xml:space="preserve"> Mahalingam S. (Member 2)</w:t>
            </w:r>
          </w:p>
        </w:tc>
      </w:tr>
      <w:tr w:rsidR="00B67283" w14:paraId="388DE937" w14:textId="77777777">
        <w:trPr>
          <w:jc w:val="center"/>
        </w:trPr>
        <w:tc>
          <w:tcPr>
            <w:tcW w:w="5184" w:type="dxa"/>
            <w:shd w:val="clear" w:color="auto" w:fill="F4F6F9"/>
            <w:tcMar>
              <w:top w:w="60" w:type="dxa"/>
              <w:left w:w="100" w:type="dxa"/>
              <w:bottom w:w="60" w:type="dxa"/>
              <w:right w:w="100" w:type="dxa"/>
            </w:tcMar>
          </w:tcPr>
          <w:p w14:paraId="60DA5AB1" w14:textId="77777777" w:rsidR="00B67283" w:rsidRDefault="00000000">
            <w:pPr>
              <w:spacing w:after="0"/>
            </w:pPr>
            <w:r>
              <w:rPr>
                <w:b/>
                <w:color w:val="1B365D"/>
                <w:sz w:val="19"/>
              </w:rPr>
              <w:t>Department:</w:t>
            </w:r>
            <w:r>
              <w:rPr>
                <w:sz w:val="19"/>
              </w:rPr>
              <w:t xml:space="preserve"> Computer Science &amp; AI, Amrita University</w:t>
            </w:r>
          </w:p>
        </w:tc>
        <w:tc>
          <w:tcPr>
            <w:tcW w:w="5184" w:type="dxa"/>
            <w:shd w:val="clear" w:color="auto" w:fill="F4F6F9"/>
            <w:tcMar>
              <w:top w:w="60" w:type="dxa"/>
              <w:left w:w="100" w:type="dxa"/>
              <w:bottom w:w="60" w:type="dxa"/>
              <w:right w:w="100" w:type="dxa"/>
            </w:tcMar>
          </w:tcPr>
          <w:p w14:paraId="33D61FC7" w14:textId="77777777" w:rsidR="00B67283" w:rsidRDefault="00000000">
            <w:pPr>
              <w:spacing w:after="0"/>
            </w:pPr>
            <w:r>
              <w:rPr>
                <w:b/>
                <w:color w:val="1B365D"/>
                <w:sz w:val="19"/>
              </w:rPr>
              <w:t>Focus:</w:t>
            </w:r>
            <w:r>
              <w:rPr>
                <w:sz w:val="19"/>
              </w:rPr>
              <w:t xml:space="preserve"> $0 Hardware Overhead CCTV AI Proctoring</w:t>
            </w:r>
          </w:p>
        </w:tc>
      </w:tr>
    </w:tbl>
    <w:p w14:paraId="3738A73E" w14:textId="77777777" w:rsidR="00B67283" w:rsidRDefault="00B67283">
      <w:pPr>
        <w:spacing w:after="80"/>
      </w:pPr>
    </w:p>
    <w:p w14:paraId="1374BB36" w14:textId="77777777" w:rsidR="00B67283" w:rsidRDefault="00000000">
      <w:pPr>
        <w:keepNext/>
        <w:spacing w:before="160" w:after="80"/>
      </w:pPr>
      <w:r>
        <w:rPr>
          <w:b/>
          <w:color w:val="1B365D"/>
          <w:sz w:val="26"/>
        </w:rPr>
        <w:t>1. Executive Summary &amp; Research Motivation</w:t>
      </w:r>
    </w:p>
    <w:p w14:paraId="003EB740" w14:textId="77777777" w:rsidR="00B67283" w:rsidRDefault="00000000">
      <w:pPr>
        <w:spacing w:after="120"/>
      </w:pPr>
      <w:r>
        <w:t>This research synthesizes findings from 5 foundational journal papers (2025–2026) to establish a low-cost, high-accuracy AI framework for automated examination hall supervision. Traditional proctoring systems require expensive per-desk webcams and generate frequent false alarms due to transient candidate movements or question self-reading. Our framework resolves these bottlenecks by repurposing existing overhead laboratory CCTV infrastructure ($0 new hardware expense), deploying lightweight YOLOv12 object detection for prohibited gadgets, enforcing head pose &amp; Mouth Aspect Ratio (MAR) temporal rules to eliminate false positives, and storing encrypted malpractice records on an immutable blockchain log.</w:t>
      </w:r>
    </w:p>
    <w:p w14:paraId="0108C14F" w14:textId="77777777" w:rsidR="00B67283" w:rsidRDefault="00000000">
      <w:pPr>
        <w:keepNext/>
        <w:spacing w:before="160" w:after="80"/>
      </w:pPr>
      <w:r>
        <w:rPr>
          <w:b/>
          <w:color w:val="1B365D"/>
          <w:sz w:val="26"/>
        </w:rPr>
        <w:t>2. Master 5-Paper Literature Summary Matrix</w:t>
      </w:r>
    </w:p>
    <w:tbl>
      <w:tblPr>
        <w:tblW w:w="0" w:type="auto"/>
        <w:jc w:val="center"/>
        <w:tblBorders>
          <w:top w:val="single" w:sz="4" w:space="0" w:color="D3D3D3"/>
          <w:bottom w:val="single" w:sz="6" w:space="0" w:color="1B365D"/>
          <w:insideH w:val="single" w:sz="4" w:space="0" w:color="D3D3D3"/>
        </w:tblBorders>
        <w:tblLayout w:type="fixed"/>
        <w:tblLook w:val="04A0" w:firstRow="1" w:lastRow="0" w:firstColumn="1" w:lastColumn="0" w:noHBand="0" w:noVBand="1"/>
      </w:tblPr>
      <w:tblGrid>
        <w:gridCol w:w="864"/>
        <w:gridCol w:w="2592"/>
        <w:gridCol w:w="2160"/>
        <w:gridCol w:w="2592"/>
        <w:gridCol w:w="2160"/>
      </w:tblGrid>
      <w:tr w:rsidR="00B67283" w14:paraId="339FDEE0" w14:textId="77777777">
        <w:trPr>
          <w:tblHeader/>
          <w:jc w:val="center"/>
        </w:trPr>
        <w:tc>
          <w:tcPr>
            <w:tcW w:w="864" w:type="dxa"/>
            <w:shd w:val="clear" w:color="auto" w:fill="1B365D"/>
            <w:tcMar>
              <w:top w:w="100" w:type="dxa"/>
              <w:left w:w="100" w:type="dxa"/>
              <w:bottom w:w="100" w:type="dxa"/>
              <w:right w:w="100" w:type="dxa"/>
            </w:tcMar>
          </w:tcPr>
          <w:p w14:paraId="47ECA9E0" w14:textId="77777777" w:rsidR="00B67283" w:rsidRDefault="00000000">
            <w:pPr>
              <w:spacing w:after="0"/>
            </w:pPr>
            <w:r>
              <w:rPr>
                <w:b/>
                <w:color w:val="FFFFFF"/>
                <w:sz w:val="18"/>
              </w:rPr>
              <w:t>Paper</w:t>
            </w:r>
          </w:p>
        </w:tc>
        <w:tc>
          <w:tcPr>
            <w:tcW w:w="2592" w:type="dxa"/>
            <w:shd w:val="clear" w:color="auto" w:fill="1B365D"/>
            <w:tcMar>
              <w:top w:w="100" w:type="dxa"/>
              <w:left w:w="100" w:type="dxa"/>
              <w:bottom w:w="100" w:type="dxa"/>
              <w:right w:w="100" w:type="dxa"/>
            </w:tcMar>
          </w:tcPr>
          <w:p w14:paraId="5D3DC4BC" w14:textId="77777777" w:rsidR="00B67283" w:rsidRDefault="00000000">
            <w:pPr>
              <w:spacing w:after="0"/>
            </w:pPr>
            <w:r>
              <w:rPr>
                <w:b/>
                <w:color w:val="FFFFFF"/>
                <w:sz w:val="18"/>
              </w:rPr>
              <w:t>Title &amp; Journal</w:t>
            </w:r>
          </w:p>
        </w:tc>
        <w:tc>
          <w:tcPr>
            <w:tcW w:w="2160" w:type="dxa"/>
            <w:shd w:val="clear" w:color="auto" w:fill="1B365D"/>
            <w:tcMar>
              <w:top w:w="100" w:type="dxa"/>
              <w:left w:w="100" w:type="dxa"/>
              <w:bottom w:w="100" w:type="dxa"/>
              <w:right w:w="100" w:type="dxa"/>
            </w:tcMar>
          </w:tcPr>
          <w:p w14:paraId="25B154F6" w14:textId="77777777" w:rsidR="00B67283" w:rsidRDefault="00000000">
            <w:pPr>
              <w:spacing w:after="0"/>
            </w:pPr>
            <w:r>
              <w:rPr>
                <w:b/>
                <w:color w:val="FFFFFF"/>
                <w:sz w:val="18"/>
              </w:rPr>
              <w:t>Core Model / Method</w:t>
            </w:r>
          </w:p>
        </w:tc>
        <w:tc>
          <w:tcPr>
            <w:tcW w:w="2592" w:type="dxa"/>
            <w:shd w:val="clear" w:color="auto" w:fill="1B365D"/>
            <w:tcMar>
              <w:top w:w="100" w:type="dxa"/>
              <w:left w:w="100" w:type="dxa"/>
              <w:bottom w:w="100" w:type="dxa"/>
              <w:right w:w="100" w:type="dxa"/>
            </w:tcMar>
          </w:tcPr>
          <w:p w14:paraId="1F153417" w14:textId="77777777" w:rsidR="00B67283" w:rsidRDefault="00000000">
            <w:pPr>
              <w:spacing w:after="0"/>
            </w:pPr>
            <w:r>
              <w:rPr>
                <w:b/>
                <w:color w:val="FFFFFF"/>
                <w:sz w:val="18"/>
              </w:rPr>
              <w:t>Key Findings &amp; Metrics</w:t>
            </w:r>
          </w:p>
        </w:tc>
        <w:tc>
          <w:tcPr>
            <w:tcW w:w="2160" w:type="dxa"/>
            <w:shd w:val="clear" w:color="auto" w:fill="1B365D"/>
            <w:tcMar>
              <w:top w:w="100" w:type="dxa"/>
              <w:left w:w="100" w:type="dxa"/>
              <w:bottom w:w="100" w:type="dxa"/>
              <w:right w:w="100" w:type="dxa"/>
            </w:tcMar>
          </w:tcPr>
          <w:p w14:paraId="0B7C1E37" w14:textId="77777777" w:rsidR="00B67283" w:rsidRDefault="00000000">
            <w:pPr>
              <w:spacing w:after="0"/>
            </w:pPr>
            <w:r>
              <w:rPr>
                <w:b/>
                <w:color w:val="FFFFFF"/>
                <w:sz w:val="18"/>
              </w:rPr>
              <w:t>Relevance &amp; Gaps</w:t>
            </w:r>
          </w:p>
        </w:tc>
      </w:tr>
      <w:tr w:rsidR="00B67283" w14:paraId="5A4D71F6" w14:textId="77777777">
        <w:trPr>
          <w:jc w:val="center"/>
        </w:trPr>
        <w:tc>
          <w:tcPr>
            <w:tcW w:w="864" w:type="dxa"/>
            <w:shd w:val="clear" w:color="auto" w:fill="FFFFFF"/>
            <w:tcMar>
              <w:top w:w="80" w:type="dxa"/>
              <w:left w:w="80" w:type="dxa"/>
              <w:bottom w:w="80" w:type="dxa"/>
              <w:right w:w="80" w:type="dxa"/>
            </w:tcMar>
          </w:tcPr>
          <w:p w14:paraId="17360860" w14:textId="77777777" w:rsidR="00B67283" w:rsidRDefault="00000000">
            <w:pPr>
              <w:spacing w:after="0" w:line="264" w:lineRule="auto"/>
            </w:pPr>
            <w:r>
              <w:rPr>
                <w:b/>
                <w:color w:val="1B365D"/>
                <w:sz w:val="17"/>
              </w:rPr>
              <w:t>P1</w:t>
            </w:r>
          </w:p>
        </w:tc>
        <w:tc>
          <w:tcPr>
            <w:tcW w:w="2592" w:type="dxa"/>
            <w:shd w:val="clear" w:color="auto" w:fill="FFFFFF"/>
            <w:tcMar>
              <w:top w:w="80" w:type="dxa"/>
              <w:left w:w="80" w:type="dxa"/>
              <w:bottom w:w="80" w:type="dxa"/>
              <w:right w:w="80" w:type="dxa"/>
            </w:tcMar>
          </w:tcPr>
          <w:p w14:paraId="0EEC0BEB" w14:textId="77777777" w:rsidR="00B67283" w:rsidRDefault="00000000">
            <w:pPr>
              <w:spacing w:after="0" w:line="264" w:lineRule="auto"/>
            </w:pPr>
            <w:r>
              <w:rPr>
                <w:sz w:val="17"/>
              </w:rPr>
              <w:t>Smart CCTV Exam Monitoring</w:t>
            </w:r>
            <w:r>
              <w:rPr>
                <w:sz w:val="17"/>
              </w:rPr>
              <w:br/>
              <w:t>Elsevier Procedia CS (2025)</w:t>
            </w:r>
            <w:r>
              <w:rPr>
                <w:sz w:val="17"/>
              </w:rPr>
              <w:br/>
              <w:t>DOI: 10.1016/j.procs.2025.09.023</w:t>
            </w:r>
          </w:p>
        </w:tc>
        <w:tc>
          <w:tcPr>
            <w:tcW w:w="2160" w:type="dxa"/>
            <w:shd w:val="clear" w:color="auto" w:fill="FFFFFF"/>
            <w:tcMar>
              <w:top w:w="80" w:type="dxa"/>
              <w:left w:w="80" w:type="dxa"/>
              <w:bottom w:w="80" w:type="dxa"/>
              <w:right w:w="80" w:type="dxa"/>
            </w:tcMar>
          </w:tcPr>
          <w:p w14:paraId="1091DCF6" w14:textId="77777777" w:rsidR="00B67283" w:rsidRDefault="00000000">
            <w:pPr>
              <w:spacing w:after="0" w:line="264" w:lineRule="auto"/>
            </w:pPr>
            <w:r>
              <w:rPr>
                <w:sz w:val="17"/>
              </w:rPr>
              <w:t>Deep Transfer Learning on overhead CCTV feeds</w:t>
            </w:r>
          </w:p>
        </w:tc>
        <w:tc>
          <w:tcPr>
            <w:tcW w:w="2592" w:type="dxa"/>
            <w:shd w:val="clear" w:color="auto" w:fill="FFFFFF"/>
            <w:tcMar>
              <w:top w:w="80" w:type="dxa"/>
              <w:left w:w="80" w:type="dxa"/>
              <w:bottom w:w="80" w:type="dxa"/>
              <w:right w:w="80" w:type="dxa"/>
            </w:tcMar>
          </w:tcPr>
          <w:p w14:paraId="46D691BF" w14:textId="77777777" w:rsidR="00B67283" w:rsidRDefault="00000000">
            <w:pPr>
              <w:spacing w:after="0" w:line="264" w:lineRule="auto"/>
            </w:pPr>
            <w:r>
              <w:rPr>
                <w:sz w:val="17"/>
              </w:rPr>
              <w:t>Proves room-level overhead CCTV provides wide coverage to monitor multiple candidates simultaneously.</w:t>
            </w:r>
          </w:p>
        </w:tc>
        <w:tc>
          <w:tcPr>
            <w:tcW w:w="2160" w:type="dxa"/>
            <w:shd w:val="clear" w:color="auto" w:fill="FFFFFF"/>
            <w:tcMar>
              <w:top w:w="80" w:type="dxa"/>
              <w:left w:w="80" w:type="dxa"/>
              <w:bottom w:w="80" w:type="dxa"/>
              <w:right w:w="80" w:type="dxa"/>
            </w:tcMar>
          </w:tcPr>
          <w:p w14:paraId="30A2380F" w14:textId="77777777" w:rsidR="00B67283" w:rsidRDefault="00000000">
            <w:pPr>
              <w:spacing w:after="0" w:line="264" w:lineRule="auto"/>
            </w:pPr>
            <w:r>
              <w:rPr>
                <w:sz w:val="17"/>
              </w:rPr>
              <w:t>Relevance: Validates $0 hardware overhead camera pipeline.</w:t>
            </w:r>
            <w:r>
              <w:rPr>
                <w:sz w:val="17"/>
              </w:rPr>
              <w:br/>
              <w:t>Gap: Binary alerts, lacks XAI.</w:t>
            </w:r>
          </w:p>
        </w:tc>
      </w:tr>
      <w:tr w:rsidR="00B67283" w14:paraId="109BF9F1" w14:textId="77777777">
        <w:trPr>
          <w:jc w:val="center"/>
        </w:trPr>
        <w:tc>
          <w:tcPr>
            <w:tcW w:w="864" w:type="dxa"/>
            <w:shd w:val="clear" w:color="auto" w:fill="F4F6F9"/>
            <w:tcMar>
              <w:top w:w="80" w:type="dxa"/>
              <w:left w:w="80" w:type="dxa"/>
              <w:bottom w:w="80" w:type="dxa"/>
              <w:right w:w="80" w:type="dxa"/>
            </w:tcMar>
          </w:tcPr>
          <w:p w14:paraId="6819D463" w14:textId="77777777" w:rsidR="00B67283" w:rsidRDefault="00000000">
            <w:pPr>
              <w:spacing w:after="0" w:line="264" w:lineRule="auto"/>
            </w:pPr>
            <w:r>
              <w:rPr>
                <w:b/>
                <w:color w:val="1B365D"/>
                <w:sz w:val="17"/>
              </w:rPr>
              <w:t>P2</w:t>
            </w:r>
          </w:p>
        </w:tc>
        <w:tc>
          <w:tcPr>
            <w:tcW w:w="2592" w:type="dxa"/>
            <w:shd w:val="clear" w:color="auto" w:fill="F4F6F9"/>
            <w:tcMar>
              <w:top w:w="80" w:type="dxa"/>
              <w:left w:w="80" w:type="dxa"/>
              <w:bottom w:w="80" w:type="dxa"/>
              <w:right w:w="80" w:type="dxa"/>
            </w:tcMar>
          </w:tcPr>
          <w:p w14:paraId="41F5DAFE" w14:textId="77777777" w:rsidR="00B67283" w:rsidRDefault="00000000">
            <w:pPr>
              <w:spacing w:after="0" w:line="264" w:lineRule="auto"/>
            </w:pPr>
            <w:r>
              <w:rPr>
                <w:sz w:val="17"/>
              </w:rPr>
              <w:t>YOLOv12 Exam Detection &amp; Blockchain</w:t>
            </w:r>
            <w:r>
              <w:rPr>
                <w:sz w:val="17"/>
              </w:rPr>
              <w:br/>
              <w:t>Nature Scientific Reports (2025)</w:t>
            </w:r>
            <w:r>
              <w:rPr>
                <w:sz w:val="17"/>
              </w:rPr>
              <w:br/>
              <w:t>DOI: 10.1038/s41598-025-18412-0</w:t>
            </w:r>
          </w:p>
        </w:tc>
        <w:tc>
          <w:tcPr>
            <w:tcW w:w="2160" w:type="dxa"/>
            <w:shd w:val="clear" w:color="auto" w:fill="F4F6F9"/>
            <w:tcMar>
              <w:top w:w="80" w:type="dxa"/>
              <w:left w:w="80" w:type="dxa"/>
              <w:bottom w:w="80" w:type="dxa"/>
              <w:right w:w="80" w:type="dxa"/>
            </w:tcMar>
          </w:tcPr>
          <w:p w14:paraId="0FDF13E0" w14:textId="77777777" w:rsidR="00B67283" w:rsidRDefault="00000000">
            <w:pPr>
              <w:spacing w:after="0" w:line="264" w:lineRule="auto"/>
            </w:pPr>
            <w:r>
              <w:rPr>
                <w:sz w:val="17"/>
              </w:rPr>
              <w:t>Lightweight YOLOv12 + Hyperledger Blockchain</w:t>
            </w:r>
          </w:p>
        </w:tc>
        <w:tc>
          <w:tcPr>
            <w:tcW w:w="2592" w:type="dxa"/>
            <w:shd w:val="clear" w:color="auto" w:fill="F4F6F9"/>
            <w:tcMar>
              <w:top w:w="80" w:type="dxa"/>
              <w:left w:w="80" w:type="dxa"/>
              <w:bottom w:w="80" w:type="dxa"/>
              <w:right w:w="80" w:type="dxa"/>
            </w:tcMar>
          </w:tcPr>
          <w:p w14:paraId="7C0A246E" w14:textId="77777777" w:rsidR="00B67283" w:rsidRDefault="00000000">
            <w:pPr>
              <w:spacing w:after="0" w:line="264" w:lineRule="auto"/>
            </w:pPr>
            <w:r>
              <w:rPr>
                <w:sz w:val="17"/>
              </w:rPr>
              <w:t>High mAP &amp; ≥25 FPS for small gadgets (phones, notes); cryptographic hashing ensures tamper-proof logs.</w:t>
            </w:r>
          </w:p>
        </w:tc>
        <w:tc>
          <w:tcPr>
            <w:tcW w:w="2160" w:type="dxa"/>
            <w:shd w:val="clear" w:color="auto" w:fill="F4F6F9"/>
            <w:tcMar>
              <w:top w:w="80" w:type="dxa"/>
              <w:left w:w="80" w:type="dxa"/>
              <w:bottom w:w="80" w:type="dxa"/>
              <w:right w:w="80" w:type="dxa"/>
            </w:tcMar>
          </w:tcPr>
          <w:p w14:paraId="2C2488AC" w14:textId="77777777" w:rsidR="00B67283" w:rsidRDefault="00000000">
            <w:pPr>
              <w:spacing w:after="0" w:line="264" w:lineRule="auto"/>
            </w:pPr>
            <w:r>
              <w:rPr>
                <w:sz w:val="17"/>
              </w:rPr>
              <w:t>Relevance: Backs YOLOv12 gadget detection &amp; tamper-proof log.</w:t>
            </w:r>
            <w:r>
              <w:rPr>
                <w:sz w:val="17"/>
              </w:rPr>
              <w:br/>
              <w:t>Gap: High server load; no pose context.</w:t>
            </w:r>
          </w:p>
        </w:tc>
      </w:tr>
      <w:tr w:rsidR="00B67283" w14:paraId="39622AD9" w14:textId="77777777">
        <w:trPr>
          <w:jc w:val="center"/>
        </w:trPr>
        <w:tc>
          <w:tcPr>
            <w:tcW w:w="864" w:type="dxa"/>
            <w:shd w:val="clear" w:color="auto" w:fill="FFFFFF"/>
            <w:tcMar>
              <w:top w:w="80" w:type="dxa"/>
              <w:left w:w="80" w:type="dxa"/>
              <w:bottom w:w="80" w:type="dxa"/>
              <w:right w:w="80" w:type="dxa"/>
            </w:tcMar>
          </w:tcPr>
          <w:p w14:paraId="4AD042A8" w14:textId="77777777" w:rsidR="00B67283" w:rsidRDefault="00000000">
            <w:pPr>
              <w:spacing w:after="0" w:line="264" w:lineRule="auto"/>
            </w:pPr>
            <w:r>
              <w:rPr>
                <w:b/>
                <w:color w:val="1B365D"/>
                <w:sz w:val="17"/>
              </w:rPr>
              <w:t>P3</w:t>
            </w:r>
          </w:p>
        </w:tc>
        <w:tc>
          <w:tcPr>
            <w:tcW w:w="2592" w:type="dxa"/>
            <w:shd w:val="clear" w:color="auto" w:fill="FFFFFF"/>
            <w:tcMar>
              <w:top w:w="80" w:type="dxa"/>
              <w:left w:w="80" w:type="dxa"/>
              <w:bottom w:w="80" w:type="dxa"/>
              <w:right w:w="80" w:type="dxa"/>
            </w:tcMar>
          </w:tcPr>
          <w:p w14:paraId="3299F209" w14:textId="77777777" w:rsidR="00B67283" w:rsidRDefault="00000000">
            <w:pPr>
              <w:spacing w:after="0" w:line="264" w:lineRule="auto"/>
            </w:pPr>
            <w:r>
              <w:rPr>
                <w:sz w:val="17"/>
              </w:rPr>
              <w:t>Academic Dishonesty Review in AI Era</w:t>
            </w:r>
            <w:r>
              <w:rPr>
                <w:sz w:val="17"/>
              </w:rPr>
              <w:br/>
              <w:t>Springer Discover Education (2026)</w:t>
            </w:r>
            <w:r>
              <w:rPr>
                <w:sz w:val="17"/>
              </w:rPr>
              <w:br/>
              <w:t>DOI: 10.1007/s44217-026-01275-6</w:t>
            </w:r>
          </w:p>
        </w:tc>
        <w:tc>
          <w:tcPr>
            <w:tcW w:w="2160" w:type="dxa"/>
            <w:shd w:val="clear" w:color="auto" w:fill="FFFFFF"/>
            <w:tcMar>
              <w:top w:w="80" w:type="dxa"/>
              <w:left w:w="80" w:type="dxa"/>
              <w:bottom w:w="80" w:type="dxa"/>
              <w:right w:w="80" w:type="dxa"/>
            </w:tcMar>
          </w:tcPr>
          <w:p w14:paraId="56E7164A" w14:textId="77777777" w:rsidR="00B67283" w:rsidRDefault="00000000">
            <w:pPr>
              <w:spacing w:after="0" w:line="264" w:lineRule="auto"/>
            </w:pPr>
            <w:r>
              <w:rPr>
                <w:sz w:val="17"/>
              </w:rPr>
              <w:t>Qualitative Review &amp; Cheating Taxonomies</w:t>
            </w:r>
          </w:p>
        </w:tc>
        <w:tc>
          <w:tcPr>
            <w:tcW w:w="2592" w:type="dxa"/>
            <w:shd w:val="clear" w:color="auto" w:fill="FFFFFF"/>
            <w:tcMar>
              <w:top w:w="80" w:type="dxa"/>
              <w:left w:w="80" w:type="dxa"/>
              <w:bottom w:w="80" w:type="dxa"/>
              <w:right w:w="80" w:type="dxa"/>
            </w:tcMar>
          </w:tcPr>
          <w:p w14:paraId="7A4EF89C" w14:textId="77777777" w:rsidR="00B67283" w:rsidRDefault="00000000">
            <w:pPr>
              <w:spacing w:after="0" w:line="264" w:lineRule="auto"/>
            </w:pPr>
            <w:r>
              <w:rPr>
                <w:sz w:val="17"/>
              </w:rPr>
              <w:t>Categorizes physical cheating into identity fraud, gadget concealment, gaze distraction, peer talk.</w:t>
            </w:r>
          </w:p>
        </w:tc>
        <w:tc>
          <w:tcPr>
            <w:tcW w:w="2160" w:type="dxa"/>
            <w:shd w:val="clear" w:color="auto" w:fill="FFFFFF"/>
            <w:tcMar>
              <w:top w:w="80" w:type="dxa"/>
              <w:left w:w="80" w:type="dxa"/>
              <w:bottom w:w="80" w:type="dxa"/>
              <w:right w:w="80" w:type="dxa"/>
            </w:tcMar>
          </w:tcPr>
          <w:p w14:paraId="42A46FCF" w14:textId="77777777" w:rsidR="00B67283" w:rsidRDefault="00000000">
            <w:pPr>
              <w:spacing w:after="0" w:line="264" w:lineRule="auto"/>
            </w:pPr>
            <w:r>
              <w:rPr>
                <w:sz w:val="17"/>
              </w:rPr>
              <w:t>Relevance: Justifies multi-stage pipeline &amp; Grad-CAM XAI.</w:t>
            </w:r>
            <w:r>
              <w:rPr>
                <w:sz w:val="17"/>
              </w:rPr>
              <w:br/>
              <w:t>Gap: Identifies cost &amp; black-box AI limits.</w:t>
            </w:r>
          </w:p>
        </w:tc>
      </w:tr>
      <w:tr w:rsidR="00B67283" w14:paraId="5E7BFC65" w14:textId="77777777">
        <w:trPr>
          <w:jc w:val="center"/>
        </w:trPr>
        <w:tc>
          <w:tcPr>
            <w:tcW w:w="864" w:type="dxa"/>
            <w:shd w:val="clear" w:color="auto" w:fill="F4F6F9"/>
            <w:tcMar>
              <w:top w:w="80" w:type="dxa"/>
              <w:left w:w="80" w:type="dxa"/>
              <w:bottom w:w="80" w:type="dxa"/>
              <w:right w:w="80" w:type="dxa"/>
            </w:tcMar>
          </w:tcPr>
          <w:p w14:paraId="061287B9" w14:textId="77777777" w:rsidR="00B67283" w:rsidRDefault="00000000">
            <w:pPr>
              <w:spacing w:after="0" w:line="264" w:lineRule="auto"/>
            </w:pPr>
            <w:r>
              <w:rPr>
                <w:b/>
                <w:color w:val="1B365D"/>
                <w:sz w:val="17"/>
              </w:rPr>
              <w:t>P4</w:t>
            </w:r>
          </w:p>
        </w:tc>
        <w:tc>
          <w:tcPr>
            <w:tcW w:w="2592" w:type="dxa"/>
            <w:shd w:val="clear" w:color="auto" w:fill="F4F6F9"/>
            <w:tcMar>
              <w:top w:w="80" w:type="dxa"/>
              <w:left w:w="80" w:type="dxa"/>
              <w:bottom w:w="80" w:type="dxa"/>
              <w:right w:w="80" w:type="dxa"/>
            </w:tcMar>
          </w:tcPr>
          <w:p w14:paraId="0FED833A" w14:textId="77777777" w:rsidR="00B67283" w:rsidRDefault="00000000">
            <w:pPr>
              <w:spacing w:after="0" w:line="264" w:lineRule="auto"/>
            </w:pPr>
            <w:r>
              <w:rPr>
                <w:sz w:val="17"/>
              </w:rPr>
              <w:t>Decade Review of Automated Proctoring</w:t>
            </w:r>
            <w:r>
              <w:rPr>
                <w:sz w:val="17"/>
              </w:rPr>
              <w:br/>
              <w:t>Springer Discover Education (2026)</w:t>
            </w:r>
            <w:r>
              <w:rPr>
                <w:sz w:val="17"/>
              </w:rPr>
              <w:br/>
              <w:t>DOI: 10.1007/s44217-026-01224-3</w:t>
            </w:r>
          </w:p>
        </w:tc>
        <w:tc>
          <w:tcPr>
            <w:tcW w:w="2160" w:type="dxa"/>
            <w:shd w:val="clear" w:color="auto" w:fill="F4F6F9"/>
            <w:tcMar>
              <w:top w:w="80" w:type="dxa"/>
              <w:left w:w="80" w:type="dxa"/>
              <w:bottom w:w="80" w:type="dxa"/>
              <w:right w:w="80" w:type="dxa"/>
            </w:tcMar>
          </w:tcPr>
          <w:p w14:paraId="25CFF255" w14:textId="77777777" w:rsidR="00B67283" w:rsidRDefault="00000000">
            <w:pPr>
              <w:spacing w:after="0" w:line="264" w:lineRule="auto"/>
            </w:pPr>
            <w:r>
              <w:rPr>
                <w:sz w:val="17"/>
              </w:rPr>
              <w:t>PRISMA Review (80 studies, 2014-2024)</w:t>
            </w:r>
          </w:p>
        </w:tc>
        <w:tc>
          <w:tcPr>
            <w:tcW w:w="2592" w:type="dxa"/>
            <w:shd w:val="clear" w:color="auto" w:fill="F4F6F9"/>
            <w:tcMar>
              <w:top w:w="80" w:type="dxa"/>
              <w:left w:w="80" w:type="dxa"/>
              <w:bottom w:w="80" w:type="dxa"/>
              <w:right w:w="80" w:type="dxa"/>
            </w:tcMar>
          </w:tcPr>
          <w:p w14:paraId="35906B70" w14:textId="77777777" w:rsidR="00B67283" w:rsidRDefault="00000000">
            <w:pPr>
              <w:spacing w:after="0" w:line="264" w:lineRule="auto"/>
            </w:pPr>
            <w:r>
              <w:rPr>
                <w:sz w:val="17"/>
              </w:rPr>
              <w:t>Demonstrates moving temporal window decision engines drastically reduce false alarms.</w:t>
            </w:r>
          </w:p>
        </w:tc>
        <w:tc>
          <w:tcPr>
            <w:tcW w:w="2160" w:type="dxa"/>
            <w:shd w:val="clear" w:color="auto" w:fill="F4F6F9"/>
            <w:tcMar>
              <w:top w:w="80" w:type="dxa"/>
              <w:left w:w="80" w:type="dxa"/>
              <w:bottom w:w="80" w:type="dxa"/>
              <w:right w:w="80" w:type="dxa"/>
            </w:tcMar>
          </w:tcPr>
          <w:p w14:paraId="00768940" w14:textId="77777777" w:rsidR="00B67283" w:rsidRDefault="00000000">
            <w:pPr>
              <w:spacing w:after="0" w:line="264" w:lineRule="auto"/>
            </w:pPr>
            <w:r>
              <w:rPr>
                <w:sz w:val="17"/>
              </w:rPr>
              <w:t>Relevance: Benchmark citation for Calibrated Temporal Risk Fusion.</w:t>
            </w:r>
            <w:r>
              <w:rPr>
                <w:sz w:val="17"/>
              </w:rPr>
              <w:br/>
              <w:t>Gap: Focuses on home webcams.</w:t>
            </w:r>
          </w:p>
        </w:tc>
      </w:tr>
      <w:tr w:rsidR="00B67283" w14:paraId="019680C3" w14:textId="77777777">
        <w:trPr>
          <w:jc w:val="center"/>
        </w:trPr>
        <w:tc>
          <w:tcPr>
            <w:tcW w:w="864" w:type="dxa"/>
            <w:shd w:val="clear" w:color="auto" w:fill="FFFFFF"/>
            <w:tcMar>
              <w:top w:w="80" w:type="dxa"/>
              <w:left w:w="80" w:type="dxa"/>
              <w:bottom w:w="80" w:type="dxa"/>
              <w:right w:w="80" w:type="dxa"/>
            </w:tcMar>
          </w:tcPr>
          <w:p w14:paraId="558E859C" w14:textId="77777777" w:rsidR="00B67283" w:rsidRDefault="00000000">
            <w:pPr>
              <w:spacing w:after="0" w:line="264" w:lineRule="auto"/>
            </w:pPr>
            <w:r>
              <w:rPr>
                <w:b/>
                <w:color w:val="1B365D"/>
                <w:sz w:val="17"/>
              </w:rPr>
              <w:t>P5</w:t>
            </w:r>
          </w:p>
        </w:tc>
        <w:tc>
          <w:tcPr>
            <w:tcW w:w="2592" w:type="dxa"/>
            <w:shd w:val="clear" w:color="auto" w:fill="FFFFFF"/>
            <w:tcMar>
              <w:top w:w="80" w:type="dxa"/>
              <w:left w:w="80" w:type="dxa"/>
              <w:bottom w:w="80" w:type="dxa"/>
              <w:right w:w="80" w:type="dxa"/>
            </w:tcMar>
          </w:tcPr>
          <w:p w14:paraId="57A88B96" w14:textId="77777777" w:rsidR="00B67283" w:rsidRDefault="00000000">
            <w:pPr>
              <w:spacing w:after="0" w:line="264" w:lineRule="auto"/>
            </w:pPr>
            <w:r>
              <w:rPr>
                <w:sz w:val="17"/>
              </w:rPr>
              <w:t>Multi-Facet Facial Recognition Model</w:t>
            </w:r>
            <w:r>
              <w:rPr>
                <w:sz w:val="17"/>
              </w:rPr>
              <w:br/>
              <w:t>Springer Discover AI (2026)</w:t>
            </w:r>
            <w:r>
              <w:rPr>
                <w:sz w:val="17"/>
              </w:rPr>
              <w:br/>
              <w:t>DOI: 10.1007/s44163-026-01474-y</w:t>
            </w:r>
          </w:p>
        </w:tc>
        <w:tc>
          <w:tcPr>
            <w:tcW w:w="2160" w:type="dxa"/>
            <w:shd w:val="clear" w:color="auto" w:fill="FFFFFF"/>
            <w:tcMar>
              <w:top w:w="80" w:type="dxa"/>
              <w:left w:w="80" w:type="dxa"/>
              <w:bottom w:w="80" w:type="dxa"/>
              <w:right w:w="80" w:type="dxa"/>
            </w:tcMar>
          </w:tcPr>
          <w:p w14:paraId="77FFD221" w14:textId="77777777" w:rsidR="00B67283" w:rsidRDefault="00000000">
            <w:pPr>
              <w:spacing w:after="0" w:line="264" w:lineRule="auto"/>
            </w:pPr>
            <w:r>
              <w:rPr>
                <w:sz w:val="17"/>
              </w:rPr>
              <w:t>ResNet Feature Extraction + KNN Classifier</w:t>
            </w:r>
          </w:p>
        </w:tc>
        <w:tc>
          <w:tcPr>
            <w:tcW w:w="2592" w:type="dxa"/>
            <w:shd w:val="clear" w:color="auto" w:fill="FFFFFF"/>
            <w:tcMar>
              <w:top w:w="80" w:type="dxa"/>
              <w:left w:w="80" w:type="dxa"/>
              <w:bottom w:w="80" w:type="dxa"/>
              <w:right w:w="80" w:type="dxa"/>
            </w:tcMar>
          </w:tcPr>
          <w:p w14:paraId="2C2D379F" w14:textId="77777777" w:rsidR="00B67283" w:rsidRDefault="00000000">
            <w:pPr>
              <w:spacing w:after="0" w:line="264" w:lineRule="auto"/>
            </w:pPr>
            <w:r>
              <w:rPr>
                <w:sz w:val="17"/>
              </w:rPr>
              <w:t>99.00% accuracy in institutional student authentication under lighting and pose variations.</w:t>
            </w:r>
          </w:p>
        </w:tc>
        <w:tc>
          <w:tcPr>
            <w:tcW w:w="2160" w:type="dxa"/>
            <w:shd w:val="clear" w:color="auto" w:fill="FFFFFF"/>
            <w:tcMar>
              <w:top w:w="80" w:type="dxa"/>
              <w:left w:w="80" w:type="dxa"/>
              <w:bottom w:w="80" w:type="dxa"/>
              <w:right w:w="80" w:type="dxa"/>
            </w:tcMar>
          </w:tcPr>
          <w:p w14:paraId="5DBB9D83" w14:textId="77777777" w:rsidR="00B67283" w:rsidRDefault="00000000">
            <w:pPr>
              <w:spacing w:after="0" w:line="264" w:lineRule="auto"/>
            </w:pPr>
            <w:r>
              <w:rPr>
                <w:sz w:val="17"/>
              </w:rPr>
              <w:t>Relevance: Backs candidate authentication &amp; head pose feature vectors.</w:t>
            </w:r>
            <w:r>
              <w:rPr>
                <w:sz w:val="17"/>
              </w:rPr>
              <w:br/>
              <w:t>Gap: Pre-exam check-in only.</w:t>
            </w:r>
          </w:p>
        </w:tc>
      </w:tr>
    </w:tbl>
    <w:p w14:paraId="05D667F9" w14:textId="77777777" w:rsidR="00B67283" w:rsidRDefault="00B67283">
      <w:pPr>
        <w:spacing w:after="80"/>
      </w:pPr>
    </w:p>
    <w:p w14:paraId="34F1AACB" w14:textId="77777777" w:rsidR="00F6625E" w:rsidRDefault="00F6625E">
      <w:pPr>
        <w:keepNext/>
        <w:spacing w:before="160" w:after="80"/>
        <w:rPr>
          <w:b/>
          <w:color w:val="1B365D"/>
          <w:sz w:val="26"/>
        </w:rPr>
      </w:pPr>
    </w:p>
    <w:p w14:paraId="358E175E" w14:textId="77777777" w:rsidR="00F6625E" w:rsidRDefault="00F6625E">
      <w:pPr>
        <w:keepNext/>
        <w:spacing w:before="160" w:after="80"/>
        <w:rPr>
          <w:b/>
          <w:color w:val="1B365D"/>
          <w:sz w:val="26"/>
        </w:rPr>
      </w:pPr>
    </w:p>
    <w:p w14:paraId="0D5F789A" w14:textId="3631F4EE" w:rsidR="00B67283" w:rsidRDefault="00000000">
      <w:pPr>
        <w:keepNext/>
        <w:spacing w:before="160" w:after="80"/>
      </w:pPr>
      <w:r>
        <w:rPr>
          <w:b/>
          <w:color w:val="1B365D"/>
          <w:sz w:val="26"/>
        </w:rPr>
        <w:t>3. Detailed 6-Point Analysis of Key Papers</w:t>
      </w:r>
    </w:p>
    <w:p w14:paraId="22A27350" w14:textId="77777777" w:rsidR="00B67283" w:rsidRDefault="00000000">
      <w:pPr>
        <w:keepNext/>
        <w:spacing w:before="120" w:after="40"/>
      </w:pPr>
      <w:r>
        <w:rPr>
          <w:b/>
          <w:color w:val="46505F"/>
          <w:sz w:val="22"/>
        </w:rPr>
        <w:t>Paper 1: Smart CCTV Exam Monitoring via Deep Transfer Learning (Elsevier 2025)</w:t>
      </w:r>
    </w:p>
    <w:p w14:paraId="4D2E8395" w14:textId="77777777" w:rsidR="00B67283" w:rsidRDefault="00000000">
      <w:pPr>
        <w:spacing w:after="30"/>
        <w:ind w:left="216"/>
      </w:pPr>
      <w:r>
        <w:rPr>
          <w:b/>
          <w:color w:val="1B365D"/>
          <w:sz w:val="19"/>
        </w:rPr>
        <w:t>1. Metadata:</w:t>
      </w:r>
      <w:r>
        <w:rPr>
          <w:sz w:val="19"/>
        </w:rPr>
        <w:t xml:space="preserve"> Elly Matul Imaha et al., Procedia Computer Science (Elsevier), Vol. 269, pp. 805–814, 2025.</w:t>
      </w:r>
    </w:p>
    <w:p w14:paraId="0C7ACE0A" w14:textId="77777777" w:rsidR="00B67283" w:rsidRDefault="00000000">
      <w:pPr>
        <w:spacing w:after="30"/>
        <w:ind w:left="216"/>
      </w:pPr>
      <w:r>
        <w:rPr>
          <w:b/>
          <w:color w:val="1B365D"/>
          <w:sz w:val="19"/>
        </w:rPr>
        <w:t>2. Objective:</w:t>
      </w:r>
      <w:r>
        <w:rPr>
          <w:sz w:val="19"/>
        </w:rPr>
        <w:t xml:space="preserve"> Automate physical exam room invigilation by repurposing pre-installed overhead lab CCTV cameras.</w:t>
      </w:r>
    </w:p>
    <w:p w14:paraId="5E3F001E" w14:textId="77777777" w:rsidR="00B67283" w:rsidRDefault="00000000">
      <w:pPr>
        <w:spacing w:after="30"/>
        <w:ind w:left="216"/>
      </w:pPr>
      <w:r>
        <w:rPr>
          <w:b/>
          <w:color w:val="1B365D"/>
          <w:sz w:val="19"/>
        </w:rPr>
        <w:t>3. Methodology:</w:t>
      </w:r>
      <w:r>
        <w:rPr>
          <w:sz w:val="19"/>
        </w:rPr>
        <w:t xml:space="preserve"> Deep transfer learning on overhead wide-angle video feeds to classify suspicious postures.</w:t>
      </w:r>
    </w:p>
    <w:p w14:paraId="31F4585D" w14:textId="77777777" w:rsidR="00B67283" w:rsidRDefault="00000000">
      <w:pPr>
        <w:spacing w:after="30"/>
        <w:ind w:left="216"/>
      </w:pPr>
      <w:r>
        <w:rPr>
          <w:b/>
          <w:color w:val="1B365D"/>
          <w:sz w:val="19"/>
        </w:rPr>
        <w:t>4. Findings:</w:t>
      </w:r>
      <w:r>
        <w:rPr>
          <w:sz w:val="19"/>
        </w:rPr>
        <w:t xml:space="preserve"> Proves room-level overhead CCTV feeds provide clear line-of-sight to monitor multiple candidates.</w:t>
      </w:r>
    </w:p>
    <w:p w14:paraId="05EEBCFC" w14:textId="77777777" w:rsidR="00B67283" w:rsidRDefault="00000000">
      <w:pPr>
        <w:spacing w:after="30"/>
        <w:ind w:left="216"/>
      </w:pPr>
      <w:r>
        <w:rPr>
          <w:b/>
          <w:color w:val="1B365D"/>
          <w:sz w:val="19"/>
        </w:rPr>
        <w:t>5. Gaps:</w:t>
      </w:r>
      <w:r>
        <w:rPr>
          <w:sz w:val="19"/>
        </w:rPr>
        <w:t xml:space="preserve"> Lacks multi-condition rules to separate question self-reading from sideways talking; lacks Explainable AI (XAI).</w:t>
      </w:r>
    </w:p>
    <w:p w14:paraId="32D4B0D1" w14:textId="77777777" w:rsidR="00B67283" w:rsidRDefault="00000000">
      <w:pPr>
        <w:spacing w:after="30"/>
        <w:ind w:left="216"/>
      </w:pPr>
      <w:r>
        <w:rPr>
          <w:b/>
          <w:color w:val="1B365D"/>
          <w:sz w:val="19"/>
        </w:rPr>
        <w:t>6. Relevance:</w:t>
      </w:r>
      <w:r>
        <w:rPr>
          <w:sz w:val="19"/>
        </w:rPr>
        <w:t xml:space="preserve"> Primary empirical justification for our $0 Additional Hardware Expense overhead camera pipeline.</w:t>
      </w:r>
    </w:p>
    <w:p w14:paraId="24900E48" w14:textId="77777777" w:rsidR="00B67283" w:rsidRDefault="00000000">
      <w:pPr>
        <w:keepNext/>
        <w:spacing w:before="120" w:after="40"/>
      </w:pPr>
      <w:r>
        <w:rPr>
          <w:b/>
          <w:color w:val="46505F"/>
          <w:sz w:val="22"/>
        </w:rPr>
        <w:t>Paper 2: YOLOv12 Gadget Detection &amp; Blockchain Evidence Deposit (Nature 2025)</w:t>
      </w:r>
    </w:p>
    <w:p w14:paraId="45809727" w14:textId="77777777" w:rsidR="00B67283" w:rsidRDefault="00000000">
      <w:pPr>
        <w:spacing w:after="30"/>
        <w:ind w:left="216"/>
      </w:pPr>
      <w:r>
        <w:rPr>
          <w:b/>
          <w:color w:val="1B365D"/>
          <w:sz w:val="19"/>
        </w:rPr>
        <w:t>1. Metadata:</w:t>
      </w:r>
      <w:r>
        <w:rPr>
          <w:sz w:val="19"/>
        </w:rPr>
        <w:t xml:space="preserve"> Haoliang Wang et al., Scientific Reports (Nature), Vol. 15, Art. no. 33236, 2025.</w:t>
      </w:r>
    </w:p>
    <w:p w14:paraId="71339971" w14:textId="77777777" w:rsidR="00B67283" w:rsidRDefault="00000000">
      <w:pPr>
        <w:spacing w:after="30"/>
        <w:ind w:left="216"/>
      </w:pPr>
      <w:r>
        <w:rPr>
          <w:b/>
          <w:color w:val="1B365D"/>
          <w:sz w:val="19"/>
        </w:rPr>
        <w:t>2. Objective:</w:t>
      </w:r>
      <w:r>
        <w:rPr>
          <w:sz w:val="19"/>
        </w:rPr>
        <w:t xml:space="preserve"> Detect small prohibited devices on desks in real-time and store evidence immutably.</w:t>
      </w:r>
    </w:p>
    <w:p w14:paraId="639281EE" w14:textId="77777777" w:rsidR="00B67283" w:rsidRDefault="00000000">
      <w:pPr>
        <w:spacing w:after="30"/>
        <w:ind w:left="216"/>
      </w:pPr>
      <w:r>
        <w:rPr>
          <w:b/>
          <w:color w:val="1B365D"/>
          <w:sz w:val="19"/>
        </w:rPr>
        <w:t>3. Methodology:</w:t>
      </w:r>
      <w:r>
        <w:rPr>
          <w:sz w:val="19"/>
        </w:rPr>
        <w:t xml:space="preserve"> Modified YOLOv12 deep detector (A2C2f backbone) + Hyperledger Fabric Blockchain &amp; IPFS storage.</w:t>
      </w:r>
    </w:p>
    <w:p w14:paraId="068F674C" w14:textId="77777777" w:rsidR="00B67283" w:rsidRDefault="00000000">
      <w:pPr>
        <w:spacing w:after="30"/>
        <w:ind w:left="216"/>
      </w:pPr>
      <w:r>
        <w:rPr>
          <w:b/>
          <w:color w:val="1B365D"/>
          <w:sz w:val="19"/>
        </w:rPr>
        <w:t>4. Findings:</w:t>
      </w:r>
      <w:r>
        <w:rPr>
          <w:sz w:val="19"/>
        </w:rPr>
        <w:t xml:space="preserve"> Achieves high mAP and ≥25 FPS for small gadgets; cryptographic hashes prevent evidence tampering.</w:t>
      </w:r>
    </w:p>
    <w:p w14:paraId="467A8E4C" w14:textId="77777777" w:rsidR="00B67283" w:rsidRDefault="00000000">
      <w:pPr>
        <w:spacing w:after="30"/>
        <w:ind w:left="216"/>
      </w:pPr>
      <w:r>
        <w:rPr>
          <w:b/>
          <w:color w:val="1B365D"/>
          <w:sz w:val="19"/>
        </w:rPr>
        <w:t>5. Gaps:</w:t>
      </w:r>
      <w:r>
        <w:rPr>
          <w:sz w:val="19"/>
        </w:rPr>
        <w:t xml:space="preserve"> High server compute demand; does not combine gadget detection with head pose or lip aspect ratio.</w:t>
      </w:r>
    </w:p>
    <w:p w14:paraId="66B1E295" w14:textId="77777777" w:rsidR="00B67283" w:rsidRDefault="00000000">
      <w:pPr>
        <w:spacing w:after="30"/>
        <w:ind w:left="216"/>
      </w:pPr>
      <w:r>
        <w:rPr>
          <w:b/>
          <w:color w:val="1B365D"/>
          <w:sz w:val="19"/>
        </w:rPr>
        <w:t>6. Relevance:</w:t>
      </w:r>
      <w:r>
        <w:rPr>
          <w:sz w:val="19"/>
        </w:rPr>
        <w:t xml:space="preserve"> Directly validates our 4-Class Physical Malpractice Taxonomy and tamper-proof evidence log.</w:t>
      </w:r>
    </w:p>
    <w:p w14:paraId="514E5A53" w14:textId="77777777" w:rsidR="00B67283" w:rsidRDefault="00000000">
      <w:pPr>
        <w:keepNext/>
        <w:spacing w:before="120" w:after="40"/>
      </w:pPr>
      <w:r>
        <w:rPr>
          <w:b/>
          <w:color w:val="46505F"/>
          <w:sz w:val="22"/>
        </w:rPr>
        <w:t>Paper 3: Academic Dishonesty &amp; AI Proctoring Taxonomy (Springer 2026)</w:t>
      </w:r>
    </w:p>
    <w:p w14:paraId="45EC0715" w14:textId="77777777" w:rsidR="00B67283" w:rsidRDefault="00000000">
      <w:pPr>
        <w:spacing w:after="30"/>
        <w:ind w:left="216"/>
      </w:pPr>
      <w:r>
        <w:rPr>
          <w:b/>
          <w:color w:val="1B365D"/>
          <w:sz w:val="19"/>
        </w:rPr>
        <w:t>1. Metadata:</w:t>
      </w:r>
      <w:r>
        <w:rPr>
          <w:sz w:val="19"/>
        </w:rPr>
        <w:t xml:space="preserve"> Manit Malhotra &amp; Indu Chhabra, Discover Education (Springer), Vol. 5, Art. no. 236, 2026.</w:t>
      </w:r>
    </w:p>
    <w:p w14:paraId="0AD87DCF" w14:textId="77777777" w:rsidR="00B67283" w:rsidRDefault="00000000">
      <w:pPr>
        <w:spacing w:after="30"/>
        <w:ind w:left="216"/>
      </w:pPr>
      <w:r>
        <w:rPr>
          <w:b/>
          <w:color w:val="1B365D"/>
          <w:sz w:val="19"/>
        </w:rPr>
        <w:t>2. Objective:</w:t>
      </w:r>
      <w:r>
        <w:rPr>
          <w:sz w:val="19"/>
        </w:rPr>
        <w:t xml:space="preserve"> Comprehensive review of how modern AI alters exam cheating tactics and proctoring architectures.</w:t>
      </w:r>
    </w:p>
    <w:p w14:paraId="2E5F2520" w14:textId="77777777" w:rsidR="00B67283" w:rsidRDefault="00000000">
      <w:pPr>
        <w:spacing w:after="30"/>
        <w:ind w:left="216"/>
      </w:pPr>
      <w:r>
        <w:rPr>
          <w:b/>
          <w:color w:val="1B365D"/>
          <w:sz w:val="19"/>
        </w:rPr>
        <w:t>3. Methodology:</w:t>
      </w:r>
      <w:r>
        <w:rPr>
          <w:sz w:val="19"/>
        </w:rPr>
        <w:t xml:space="preserve"> Qualitative taxonomy synthesis covering identity fraud, gadget hiding, visual distraction, and peer talk.</w:t>
      </w:r>
    </w:p>
    <w:p w14:paraId="131FF593" w14:textId="77777777" w:rsidR="00B67283" w:rsidRDefault="00000000">
      <w:pPr>
        <w:spacing w:after="30"/>
        <w:ind w:left="216"/>
      </w:pPr>
      <w:r>
        <w:rPr>
          <w:b/>
          <w:color w:val="1B365D"/>
          <w:sz w:val="19"/>
        </w:rPr>
        <w:t>4. Findings:</w:t>
      </w:r>
      <w:r>
        <w:rPr>
          <w:sz w:val="19"/>
        </w:rPr>
        <w:t xml:space="preserve"> Proves single webcam monitoring is insufficient for institutional exam halls.</w:t>
      </w:r>
    </w:p>
    <w:p w14:paraId="4C1CBDAD" w14:textId="77777777" w:rsidR="00B67283" w:rsidRDefault="00000000">
      <w:pPr>
        <w:spacing w:after="30"/>
        <w:ind w:left="216"/>
      </w:pPr>
      <w:r>
        <w:rPr>
          <w:b/>
          <w:color w:val="1B365D"/>
          <w:sz w:val="19"/>
        </w:rPr>
        <w:t>5. Gaps:</w:t>
      </w:r>
      <w:r>
        <w:rPr>
          <w:sz w:val="19"/>
        </w:rPr>
        <w:t xml:space="preserve"> Highlights key industry barriers: (1) High per-desk hardware cost, and (2) 'Black-Box' unexplainable AI alerts.</w:t>
      </w:r>
    </w:p>
    <w:p w14:paraId="05A5754F" w14:textId="77777777" w:rsidR="00B67283" w:rsidRDefault="00000000">
      <w:pPr>
        <w:spacing w:after="30"/>
        <w:ind w:left="216"/>
      </w:pPr>
      <w:r>
        <w:rPr>
          <w:b/>
          <w:color w:val="1B365D"/>
          <w:sz w:val="19"/>
        </w:rPr>
        <w:t>6. Relevance:</w:t>
      </w:r>
      <w:r>
        <w:rPr>
          <w:sz w:val="19"/>
        </w:rPr>
        <w:t xml:space="preserve"> Provides theoretical backing for our sequential processing pipeline and Grad-CAM/SHAP XAI integration.</w:t>
      </w:r>
    </w:p>
    <w:p w14:paraId="37921AE9" w14:textId="77777777" w:rsidR="00B67283" w:rsidRDefault="00000000">
      <w:pPr>
        <w:keepNext/>
        <w:spacing w:before="120" w:after="40"/>
      </w:pPr>
      <w:r>
        <w:rPr>
          <w:b/>
          <w:color w:val="46505F"/>
          <w:sz w:val="22"/>
        </w:rPr>
        <w:t>Paper 4: Decade Systematic Review of Automated Online Proctoring (Springer 2026)</w:t>
      </w:r>
    </w:p>
    <w:p w14:paraId="7B1F33DC" w14:textId="77777777" w:rsidR="00B67283" w:rsidRDefault="00000000">
      <w:pPr>
        <w:spacing w:after="30"/>
        <w:ind w:left="216"/>
      </w:pPr>
      <w:r>
        <w:rPr>
          <w:b/>
          <w:color w:val="1B365D"/>
          <w:sz w:val="19"/>
        </w:rPr>
        <w:t>1. Metadata:</w:t>
      </w:r>
      <w:r>
        <w:rPr>
          <w:sz w:val="19"/>
        </w:rPr>
        <w:t xml:space="preserve"> Manit Malhotra &amp; Indu Chhabra, Discover Education (Springer), Vol. 5, Art. no. 207, 2026.</w:t>
      </w:r>
    </w:p>
    <w:p w14:paraId="7715693E" w14:textId="77777777" w:rsidR="00B67283" w:rsidRDefault="00000000">
      <w:pPr>
        <w:spacing w:after="30"/>
        <w:ind w:left="216"/>
      </w:pPr>
      <w:r>
        <w:rPr>
          <w:b/>
          <w:color w:val="1B365D"/>
          <w:sz w:val="19"/>
        </w:rPr>
        <w:t>2. Objective:</w:t>
      </w:r>
      <w:r>
        <w:rPr>
          <w:sz w:val="19"/>
        </w:rPr>
        <w:t xml:space="preserve"> PRISMA systematic review of 80 studies (2014–2024) evaluating biometric tracking and false alarm reduction.</w:t>
      </w:r>
    </w:p>
    <w:p w14:paraId="0B736623" w14:textId="77777777" w:rsidR="00B67283" w:rsidRDefault="00000000">
      <w:pPr>
        <w:spacing w:after="30"/>
        <w:ind w:left="216"/>
      </w:pPr>
      <w:r>
        <w:rPr>
          <w:b/>
          <w:color w:val="1B365D"/>
          <w:sz w:val="19"/>
        </w:rPr>
        <w:t>3. Methodology:</w:t>
      </w:r>
      <w:r>
        <w:rPr>
          <w:sz w:val="19"/>
        </w:rPr>
        <w:t xml:space="preserve"> Analysis of facial authentication, gaze tracking, head pose rotation, and temporal decision fusion.</w:t>
      </w:r>
    </w:p>
    <w:p w14:paraId="652214DE" w14:textId="77777777" w:rsidR="00B67283" w:rsidRDefault="00000000">
      <w:pPr>
        <w:spacing w:after="30"/>
        <w:ind w:left="216"/>
      </w:pPr>
      <w:r>
        <w:rPr>
          <w:b/>
          <w:color w:val="1B365D"/>
          <w:sz w:val="19"/>
        </w:rPr>
        <w:t>4. Findings:</w:t>
      </w:r>
      <w:r>
        <w:rPr>
          <w:sz w:val="19"/>
        </w:rPr>
        <w:t xml:space="preserve"> Demonstrates temporal window decision engines drastically reduce false alarms vs single-frame triggers.</w:t>
      </w:r>
    </w:p>
    <w:p w14:paraId="678785C7" w14:textId="77777777" w:rsidR="00B67283" w:rsidRDefault="00000000">
      <w:pPr>
        <w:spacing w:after="30"/>
        <w:ind w:left="216"/>
      </w:pPr>
      <w:r>
        <w:rPr>
          <w:b/>
          <w:color w:val="1B365D"/>
          <w:sz w:val="19"/>
        </w:rPr>
        <w:t>5. Gaps:</w:t>
      </w:r>
      <w:r>
        <w:rPr>
          <w:sz w:val="19"/>
        </w:rPr>
        <w:t xml:space="preserve"> Vast majority of reviewed literature focuses on home webcams rather than institutional multi-candidate lab rooms.</w:t>
      </w:r>
    </w:p>
    <w:p w14:paraId="55240A2B" w14:textId="77777777" w:rsidR="00B67283" w:rsidRDefault="00000000">
      <w:pPr>
        <w:spacing w:after="30"/>
        <w:ind w:left="216"/>
      </w:pPr>
      <w:r>
        <w:rPr>
          <w:b/>
          <w:color w:val="1B365D"/>
          <w:sz w:val="19"/>
        </w:rPr>
        <w:t>6. Relevance:</w:t>
      </w:r>
      <w:r>
        <w:rPr>
          <w:sz w:val="19"/>
        </w:rPr>
        <w:t xml:space="preserve"> Master benchmark reference cited across our work to justify the Calibrated Temporal Risk Fusion Model.</w:t>
      </w:r>
    </w:p>
    <w:p w14:paraId="62A6FC85" w14:textId="77777777" w:rsidR="00B67283" w:rsidRDefault="00000000">
      <w:pPr>
        <w:keepNext/>
        <w:spacing w:before="120" w:after="40"/>
      </w:pPr>
      <w:r>
        <w:rPr>
          <w:b/>
          <w:color w:val="46505F"/>
          <w:sz w:val="22"/>
        </w:rPr>
        <w:t>Paper 5: Multi-Facet Facial Recognition for Institutional Attendance (Springer 2026)</w:t>
      </w:r>
    </w:p>
    <w:p w14:paraId="3B325F8C" w14:textId="77777777" w:rsidR="00B67283" w:rsidRDefault="00000000">
      <w:pPr>
        <w:spacing w:after="30"/>
        <w:ind w:left="216"/>
      </w:pPr>
      <w:r>
        <w:rPr>
          <w:b/>
          <w:color w:val="1B365D"/>
          <w:sz w:val="19"/>
        </w:rPr>
        <w:t>1. Metadata:</w:t>
      </w:r>
      <w:r>
        <w:rPr>
          <w:sz w:val="19"/>
        </w:rPr>
        <w:t xml:space="preserve"> Kufre Esenowo Jack et al., Discover Artificial Intelligence (Springer), Vol. 6, Art. no. 746, 2026.</w:t>
      </w:r>
    </w:p>
    <w:p w14:paraId="1688408C" w14:textId="77777777" w:rsidR="00B67283" w:rsidRDefault="00000000">
      <w:pPr>
        <w:spacing w:after="30"/>
        <w:ind w:left="216"/>
      </w:pPr>
      <w:r>
        <w:rPr>
          <w:b/>
          <w:color w:val="1B365D"/>
          <w:sz w:val="19"/>
        </w:rPr>
        <w:t>2. Objective:</w:t>
      </w:r>
      <w:r>
        <w:rPr>
          <w:sz w:val="19"/>
        </w:rPr>
        <w:t xml:space="preserve"> Robust candidate facial authorization under variable institutional exam room lighting and pose angles.</w:t>
      </w:r>
    </w:p>
    <w:p w14:paraId="042107AA" w14:textId="77777777" w:rsidR="00B67283" w:rsidRDefault="00000000">
      <w:pPr>
        <w:spacing w:after="30"/>
        <w:ind w:left="216"/>
      </w:pPr>
      <w:r>
        <w:rPr>
          <w:b/>
          <w:color w:val="1B365D"/>
          <w:sz w:val="19"/>
        </w:rPr>
        <w:t>3. Methodology:</w:t>
      </w:r>
      <w:r>
        <w:rPr>
          <w:sz w:val="19"/>
        </w:rPr>
        <w:t xml:space="preserve"> ResNet-based deep feature vector extraction + K-Nearest Neighbors (KNN) classification.</w:t>
      </w:r>
    </w:p>
    <w:p w14:paraId="022FBF35" w14:textId="77777777" w:rsidR="00B67283" w:rsidRDefault="00000000">
      <w:pPr>
        <w:spacing w:after="30"/>
        <w:ind w:left="216"/>
      </w:pPr>
      <w:r>
        <w:rPr>
          <w:b/>
          <w:color w:val="1B365D"/>
          <w:sz w:val="19"/>
        </w:rPr>
        <w:t>4. Findings:</w:t>
      </w:r>
      <w:r>
        <w:rPr>
          <w:sz w:val="19"/>
        </w:rPr>
        <w:t xml:space="preserve"> Achieves 99.00% accuracy in institutional student identity check-in despite lighting/accessory shifts.</w:t>
      </w:r>
    </w:p>
    <w:p w14:paraId="7CC6FB70" w14:textId="77777777" w:rsidR="00B67283" w:rsidRDefault="00000000">
      <w:pPr>
        <w:spacing w:after="30"/>
        <w:ind w:left="216"/>
      </w:pPr>
      <w:r>
        <w:rPr>
          <w:b/>
          <w:color w:val="1B365D"/>
          <w:sz w:val="19"/>
        </w:rPr>
        <w:t>5. Gaps:</w:t>
      </w:r>
      <w:r>
        <w:rPr>
          <w:sz w:val="19"/>
        </w:rPr>
        <w:t xml:space="preserve"> Primary focus is pre-exam identity authentication rather than continuous desk-level physical malpractice tracking.</w:t>
      </w:r>
    </w:p>
    <w:p w14:paraId="78A8F7D0" w14:textId="77777777" w:rsidR="00B67283" w:rsidRDefault="00000000">
      <w:pPr>
        <w:spacing w:after="30"/>
        <w:ind w:left="216"/>
      </w:pPr>
      <w:r>
        <w:rPr>
          <w:b/>
          <w:color w:val="1B365D"/>
          <w:sz w:val="19"/>
        </w:rPr>
        <w:t>6. Relevance:</w:t>
      </w:r>
      <w:r>
        <w:rPr>
          <w:sz w:val="19"/>
        </w:rPr>
        <w:t xml:space="preserve"> Validates candidate authorization layer and extracting head pose feature vectors (Yaw/Pitch/Roll).</w:t>
      </w:r>
    </w:p>
    <w:p w14:paraId="0537EEB6" w14:textId="77777777" w:rsidR="00B67283" w:rsidRDefault="00B67283">
      <w:pPr>
        <w:spacing w:after="80"/>
      </w:pPr>
    </w:p>
    <w:p w14:paraId="0E7C8F0B" w14:textId="77777777" w:rsidR="00F6625E" w:rsidRDefault="00F6625E">
      <w:pPr>
        <w:keepNext/>
        <w:spacing w:before="160" w:after="80"/>
        <w:rPr>
          <w:b/>
          <w:color w:val="1B365D"/>
          <w:sz w:val="26"/>
        </w:rPr>
      </w:pPr>
    </w:p>
    <w:p w14:paraId="4DCD713E" w14:textId="5B885F47" w:rsidR="00B67283" w:rsidRDefault="00000000">
      <w:pPr>
        <w:keepNext/>
        <w:spacing w:before="160" w:after="80"/>
      </w:pPr>
      <w:r>
        <w:rPr>
          <w:b/>
          <w:color w:val="1B365D"/>
          <w:sz w:val="26"/>
        </w:rPr>
        <w:t>4. How Our Research Addresses Literature Gaps</w:t>
      </w:r>
    </w:p>
    <w:p w14:paraId="5D7E290B" w14:textId="77777777" w:rsidR="00B67283" w:rsidRDefault="00000000">
      <w:pPr>
        <w:spacing w:after="50"/>
        <w:ind w:left="216"/>
      </w:pPr>
      <w:r>
        <w:rPr>
          <w:b/>
          <w:color w:val="1B365D"/>
        </w:rPr>
        <w:t xml:space="preserve">• </w:t>
      </w:r>
      <w:r>
        <w:rPr>
          <w:b/>
          <w:color w:val="1B365D"/>
          <w:sz w:val="19"/>
        </w:rPr>
        <w:t xml:space="preserve">Zero Additional Hardware Cost ($0 Expense): </w:t>
      </w:r>
      <w:r>
        <w:rPr>
          <w:sz w:val="19"/>
        </w:rPr>
        <w:t>While Papers 2, 3, and 4 emphasize high per-desk equipment costs, our system leverages pre-installed room-level overhead CCTV cameras (backed by Paper 1).</w:t>
      </w:r>
    </w:p>
    <w:p w14:paraId="4BF97CD0" w14:textId="77777777" w:rsidR="00B67283" w:rsidRDefault="00000000">
      <w:pPr>
        <w:spacing w:after="50"/>
        <w:ind w:left="216"/>
      </w:pPr>
      <w:r>
        <w:rPr>
          <w:b/>
          <w:color w:val="1B365D"/>
        </w:rPr>
        <w:t xml:space="preserve">• </w:t>
      </w:r>
      <w:r>
        <w:rPr>
          <w:b/>
          <w:color w:val="1B365D"/>
          <w:sz w:val="19"/>
        </w:rPr>
        <w:t xml:space="preserve">False Positive Elimination (MAR + Pose Rule Engine): </w:t>
      </w:r>
      <w:r>
        <w:rPr>
          <w:sz w:val="19"/>
        </w:rPr>
        <w:t>Unlike Papers 1 &amp; 2 which suffer from false alarms during self-reading, our system enforces a multi-condition rule combining Mouth Aspect Ratio (MAR) and Head Pose Rotation (&gt;30°) to separate self-reading from sideways whispering.</w:t>
      </w:r>
    </w:p>
    <w:p w14:paraId="3D360E08" w14:textId="77777777" w:rsidR="00B67283" w:rsidRDefault="00000000">
      <w:pPr>
        <w:spacing w:after="50"/>
        <w:ind w:left="216"/>
      </w:pPr>
      <w:r>
        <w:rPr>
          <w:b/>
          <w:color w:val="1B365D"/>
        </w:rPr>
        <w:t xml:space="preserve">• </w:t>
      </w:r>
      <w:r>
        <w:rPr>
          <w:b/>
          <w:color w:val="1B365D"/>
          <w:sz w:val="19"/>
        </w:rPr>
        <w:t xml:space="preserve">Explainable AI (Grad-CAM &amp; SHAP): </w:t>
      </w:r>
      <w:r>
        <w:rPr>
          <w:sz w:val="19"/>
        </w:rPr>
        <w:t>Addressing the 'Black-Box' limitation highlighted in Paper 3, our visual detection outputs include heatmap attributions to justify every flagged alert to human proctors.</w:t>
      </w:r>
    </w:p>
    <w:p w14:paraId="5DC513E8" w14:textId="77777777" w:rsidR="00B67283" w:rsidRDefault="00000000">
      <w:pPr>
        <w:spacing w:after="50"/>
        <w:ind w:left="216"/>
      </w:pPr>
      <w:r>
        <w:rPr>
          <w:b/>
          <w:color w:val="1B365D"/>
        </w:rPr>
        <w:t xml:space="preserve">• </w:t>
      </w:r>
      <w:r>
        <w:rPr>
          <w:b/>
          <w:color w:val="1B365D"/>
          <w:sz w:val="19"/>
        </w:rPr>
        <w:t xml:space="preserve">Tamper-Proof Evidence Preservation: </w:t>
      </w:r>
      <w:r>
        <w:rPr>
          <w:sz w:val="19"/>
        </w:rPr>
        <w:t>Integrating the blockchain deposit architecture validated in Paper 2 ensures that flagged video snippets are immutably hashed for institutional review.</w:t>
      </w:r>
    </w:p>
    <w:p w14:paraId="6C99A4AA" w14:textId="77777777" w:rsidR="00B67283" w:rsidRDefault="00B67283">
      <w:pPr>
        <w:spacing w:after="80"/>
      </w:pPr>
    </w:p>
    <w:p w14:paraId="5D4EF17C" w14:textId="77777777" w:rsidR="00B67283" w:rsidRDefault="00000000">
      <w:pPr>
        <w:keepNext/>
        <w:spacing w:before="160" w:after="80"/>
      </w:pPr>
      <w:r>
        <w:rPr>
          <w:b/>
          <w:color w:val="1B365D"/>
          <w:sz w:val="26"/>
        </w:rPr>
        <w:t>5. Formal References (IEEE Format)</w:t>
      </w:r>
    </w:p>
    <w:p w14:paraId="38931942" w14:textId="77777777" w:rsidR="00B67283" w:rsidRDefault="00000000">
      <w:pPr>
        <w:ind w:left="288"/>
      </w:pPr>
      <w:r>
        <w:rPr>
          <w:sz w:val="17"/>
        </w:rPr>
        <w:t>[1] E. M. Imaha, R. D. I. Puspitasari, F. Q. Annisa, H. Prayogi, and I. Fitriyaningsih, "Smart CCTV exam monitoring to detect and alert suspicious activities using deep transfer learning," Procedia Computer Science, vol. 269, pp. 805–814, 2025. DOI: 10.1016/j.procs.2025.09.023.</w:t>
      </w:r>
    </w:p>
    <w:p w14:paraId="7E3CD270" w14:textId="77777777" w:rsidR="00B67283" w:rsidRDefault="00000000">
      <w:pPr>
        <w:ind w:left="288"/>
      </w:pPr>
      <w:r>
        <w:rPr>
          <w:sz w:val="17"/>
        </w:rPr>
        <w:t>[2] H. Wang, Z. Shukur, K. A. Z. Ariffin, R. Xiao, and L. Wang, "Online exam cheating detection and blockchain trusted deposit based on YOLOv12," Scientific Reports, vol. 15, Art. no. 33236, 2025. DOI: 10.1038/s41598-025-18412-0.</w:t>
      </w:r>
    </w:p>
    <w:p w14:paraId="7E620E3E" w14:textId="77777777" w:rsidR="00B67283" w:rsidRDefault="00000000">
      <w:pPr>
        <w:ind w:left="288"/>
      </w:pPr>
      <w:r>
        <w:rPr>
          <w:sz w:val="17"/>
        </w:rPr>
        <w:t>[3] M. Malhotra and I. Chhabra, "A comprehensive review of the changing landscape of academic dishonesty in automated proctoring in the era of artificial intelligence," Discover Education, vol. 5, Art. no. 236, 2026. DOI: 10.1007/s44217-026-01275-6.</w:t>
      </w:r>
    </w:p>
    <w:p w14:paraId="12C94E99" w14:textId="77777777" w:rsidR="00B67283" w:rsidRDefault="00000000">
      <w:pPr>
        <w:ind w:left="288"/>
      </w:pPr>
      <w:r>
        <w:rPr>
          <w:sz w:val="17"/>
        </w:rPr>
        <w:t>[4] M. Malhotra and I. Chhabra, "Ensuring academic integrity through automated online exam proctoring: a decade long systematic review," Discover Education, vol. 5, Art. no. 207, 2026. DOI: 10.1007/s44217-026-01224-3.</w:t>
      </w:r>
    </w:p>
    <w:p w14:paraId="4FD8F09D" w14:textId="77777777" w:rsidR="00B67283" w:rsidRDefault="00000000">
      <w:pPr>
        <w:ind w:left="288"/>
      </w:pPr>
      <w:r>
        <w:rPr>
          <w:sz w:val="17"/>
        </w:rPr>
        <w:t>[5] K. E. Jack, V. S. Rizama, K. R. Adebayo, J. G. Ambafi, R. A. Olayemi, J. O. Olaoye, D. O. Tunbosun, and A. V. Olawuyi, "Development of a multi-facet facial recognition model for institutional attendance activities during examination scenario," Discover Artificial Intelligence, vol. 6, Art. no. 746, 2026. DOI: 10.1007/s44163-026-01474-y.</w:t>
      </w:r>
    </w:p>
    <w:sectPr w:rsidR="00B67283"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0708864">
    <w:abstractNumId w:val="8"/>
  </w:num>
  <w:num w:numId="2" w16cid:durableId="1741321322">
    <w:abstractNumId w:val="6"/>
  </w:num>
  <w:num w:numId="3" w16cid:durableId="2112505804">
    <w:abstractNumId w:val="5"/>
  </w:num>
  <w:num w:numId="4" w16cid:durableId="364520814">
    <w:abstractNumId w:val="4"/>
  </w:num>
  <w:num w:numId="5" w16cid:durableId="1790780237">
    <w:abstractNumId w:val="7"/>
  </w:num>
  <w:num w:numId="6" w16cid:durableId="1348559333">
    <w:abstractNumId w:val="3"/>
  </w:num>
  <w:num w:numId="7" w16cid:durableId="1106273010">
    <w:abstractNumId w:val="2"/>
  </w:num>
  <w:num w:numId="8" w16cid:durableId="212423008">
    <w:abstractNumId w:val="1"/>
  </w:num>
  <w:num w:numId="9" w16cid:durableId="321666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7FB4"/>
    <w:rsid w:val="00AA1D8D"/>
    <w:rsid w:val="00B47730"/>
    <w:rsid w:val="00B67283"/>
    <w:rsid w:val="00CB0664"/>
    <w:rsid w:val="00F662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1CB6E"/>
  <w14:defaultImageDpi w14:val="300"/>
  <w15:docId w15:val="{5D7ACB76-FE3A-4AAF-B2A5-111459354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hAnsi="Calibri"/>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1341</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s_mahalingam9486@outlook.com</cp:lastModifiedBy>
  <cp:revision>2</cp:revision>
  <dcterms:created xsi:type="dcterms:W3CDTF">2013-12-23T23:15:00Z</dcterms:created>
  <dcterms:modified xsi:type="dcterms:W3CDTF">2026-09-18T11:59:00Z</dcterms:modified>
  <cp:category/>
</cp:coreProperties>
</file>