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65D"/>
          <w:sz w:val="36"/>
        </w:rPr>
        <w:t>1. INTRODUCTION</w:t>
      </w:r>
    </w:p>
    <w:p>
      <w:pPr>
        <w:spacing w:after="240"/>
        <w:jc w:val="center"/>
      </w:pPr>
      <w:r>
        <w:rPr>
          <w:i/>
          <w:color w:val="46505F"/>
          <w:sz w:val="24"/>
        </w:rPr>
        <w:t>An AI Framework for Automated Examination Monitoring Using Facial Recognition, Object Detection, and Spatial-Temporal Behavior Analysis</w:t>
      </w:r>
    </w:p>
    <w:tbl>
      <w:tblPr>
        <w:tblW w:type="auto" w:w="0"/>
        <w:jc w:val="center"/>
        <w:tblLayout w:type="fixed"/>
        <w:tblLook w:firstColumn="1" w:firstRow="1" w:lastColumn="0" w:lastRow="0" w:noHBand="0" w:noVBand="1" w:val="04A0"/>
      </w:tblPr>
      <w:tblGrid>
        <w:gridCol w:w="4680"/>
        <w:gridCol w:w="4680"/>
      </w:tblGrid>
      <w:tr>
        <w:tc>
          <w:tcPr>
            <w:tcW w:type="dxa" w:w="4608"/>
            <w:shd w:fill="F4F6F9"/>
            <w:tcMar>
              <w:top w:w="80" w:type="dxa"/>
              <w:bottom w:w="80" w:type="dxa"/>
              <w:left w:w="100" w:type="dxa"/>
              <w:right w:w="100" w:type="dxa"/>
            </w:tcMar>
          </w:tcPr>
          <w:p>
            <w:pPr>
              <w:spacing w:after="0"/>
            </w:pPr>
            <w:r>
              <w:rPr>
                <w:b/>
                <w:color w:val="1B365D"/>
                <w:sz w:val="20"/>
              </w:rPr>
              <w:t>Course:</w:t>
            </w:r>
            <w:r>
              <w:rPr>
                <w:sz w:val="20"/>
              </w:rPr>
              <w:t xml:space="preserve"> 19CSE601 Research Methodology</w:t>
            </w:r>
          </w:p>
        </w:tc>
        <w:tc>
          <w:tcPr>
            <w:tcW w:type="dxa" w:w="4608"/>
            <w:shd w:fill="F4F6F9"/>
            <w:tcMar>
              <w:top w:w="80" w:type="dxa"/>
              <w:bottom w:w="80" w:type="dxa"/>
              <w:left w:w="100" w:type="dxa"/>
              <w:right w:w="100" w:type="dxa"/>
            </w:tcMar>
          </w:tcPr>
          <w:p>
            <w:pPr>
              <w:spacing w:after="0"/>
            </w:pPr>
            <w:r>
              <w:rPr>
                <w:b/>
                <w:color w:val="1B365D"/>
                <w:sz w:val="20"/>
              </w:rPr>
              <w:t>Authors:</w:t>
            </w:r>
            <w:r>
              <w:rPr>
                <w:sz w:val="20"/>
              </w:rPr>
              <w:t xml:space="preserve"> Sibichandaru C., Mahalingam S., Vidyasagar S.</w:t>
            </w:r>
          </w:p>
        </w:tc>
      </w:tr>
      <w:tr>
        <w:tc>
          <w:tcPr>
            <w:tcW w:type="dxa" w:w="4608"/>
            <w:shd w:fill="F4F6F9"/>
            <w:tcMar>
              <w:top w:w="80" w:type="dxa"/>
              <w:bottom w:w="80" w:type="dxa"/>
              <w:left w:w="100" w:type="dxa"/>
              <w:right w:w="100" w:type="dxa"/>
            </w:tcMar>
          </w:tcPr>
          <w:p>
            <w:pPr>
              <w:spacing w:after="0"/>
            </w:pPr>
            <w:r>
              <w:rPr>
                <w:b/>
                <w:color w:val="1B365D"/>
                <w:sz w:val="20"/>
              </w:rPr>
              <w:t>Department:</w:t>
            </w:r>
            <w:r>
              <w:rPr>
                <w:sz w:val="20"/>
              </w:rPr>
              <w:t xml:space="preserve"> Computer Science &amp; AI, Amrita University</w:t>
            </w:r>
          </w:p>
        </w:tc>
        <w:tc>
          <w:tcPr>
            <w:tcW w:type="dxa" w:w="4608"/>
            <w:shd w:fill="F4F6F9"/>
            <w:tcMar>
              <w:top w:w="80" w:type="dxa"/>
              <w:bottom w:w="80" w:type="dxa"/>
              <w:left w:w="100" w:type="dxa"/>
              <w:right w:w="100" w:type="dxa"/>
            </w:tcMar>
          </w:tcPr>
          <w:p>
            <w:pPr>
              <w:spacing w:after="0"/>
            </w:pPr>
            <w:r>
              <w:rPr>
                <w:b/>
                <w:color w:val="1B365D"/>
                <w:sz w:val="20"/>
              </w:rPr>
              <w:t>Supervisor:</w:t>
            </w:r>
            <w:r>
              <w:rPr>
                <w:sz w:val="20"/>
              </w:rPr>
              <w:t xml:space="preserve"> Dr. Senthil Kumar Thangavel</w:t>
            </w:r>
          </w:p>
        </w:tc>
      </w:tr>
    </w:tbl>
    <w:p>
      <w:pPr>
        <w:spacing w:after="120"/>
      </w:pPr>
    </w:p>
    <w:p>
      <w:pPr>
        <w:keepNext/>
        <w:spacing w:before="200" w:after="80"/>
      </w:pPr>
      <w:r>
        <w:rPr>
          <w:b/>
          <w:color w:val="1B365D"/>
          <w:sz w:val="28"/>
        </w:rPr>
        <w:t>1.1 Background and Research Motivation</w:t>
      </w:r>
    </w:p>
    <w:p>
      <w:r>
        <w:t>In higher education institutions, maintaining academic integrity during laboratory assessments and computer-based examinations is a fundamental requirement. Traditional invigilation methods rely almost entirely on human proctors physically monitoring examination halls. However, in large laboratory environments with dozens of computer workstations, manual supervision exhibits severe operational limitations: (i) invigilator fatigue over prolonged exam durations leads to unmonitored blind spots; (ii) modern cheating tactics have evolved to include covert electronic gadgets (smartphones, smartwatches, micro-earpieces) and subtle peer visual signaling; and (iii) scaling human proctors incurs substantial recurring operational costs.</w:t>
      </w:r>
    </w:p>
    <w:p>
      <w:pPr>
        <w:keepNext/>
        <w:spacing w:before="200" w:after="80"/>
      </w:pPr>
      <w:r>
        <w:rPr>
          <w:b/>
          <w:color w:val="1B365D"/>
          <w:sz w:val="28"/>
        </w:rPr>
        <w:t>1.2 Problem Statement and Industry Bottlenecks</w:t>
      </w:r>
    </w:p>
    <w:p>
      <w:r>
        <w:t>Despite advancements in commercial AI proctoring software, current solutions face four major operational bottlenecks when deployed in institutional computer laboratories:</w:t>
      </w:r>
    </w:p>
    <w:p>
      <w:pPr>
        <w:spacing w:after="60"/>
        <w:ind w:left="360"/>
      </w:pPr>
      <w:r>
        <w:rPr>
          <w:b/>
          <w:color w:val="1B365D"/>
        </w:rPr>
        <w:t xml:space="preserve">• </w:t>
      </w:r>
      <w:r>
        <w:rPr>
          <w:b/>
        </w:rPr>
        <w:t xml:space="preserve">High Hardware Procurement Costs ($ Per-Desk Equipment): </w:t>
      </w:r>
      <w:r>
        <w:t>Most commercial proctoring software requires dedicated desk-mounted micro-webcams or dual-camera setups at every workstation, resulting in high equipment expenses, complex cabling, and high maintenance overhead.</w:t>
      </w:r>
    </w:p>
    <w:p>
      <w:pPr>
        <w:spacing w:after="60"/>
        <w:ind w:left="360"/>
      </w:pPr>
      <w:r>
        <w:rPr>
          <w:b/>
          <w:color w:val="1B365D"/>
        </w:rPr>
        <w:t xml:space="preserve">• </w:t>
      </w:r>
      <w:r>
        <w:rPr>
          <w:b/>
        </w:rPr>
        <w:t xml:space="preserve">Elevated False-Alarm Rates (Rigid Single-Frame Triggers): </w:t>
      </w:r>
      <w:r>
        <w:t>Conventional visual engines trigger frequent false-positive warnings whenever a candidate stretches, shifts in their seat, or silently reads a question aloud (causing lip motion), inducing unnecessary student stress and overloading proctors.</w:t>
      </w:r>
    </w:p>
    <w:p>
      <w:pPr>
        <w:spacing w:after="60"/>
        <w:ind w:left="360"/>
      </w:pPr>
      <w:r>
        <w:rPr>
          <w:b/>
          <w:color w:val="1B365D"/>
        </w:rPr>
        <w:t xml:space="preserve">• </w:t>
      </w:r>
      <w:r>
        <w:rPr>
          <w:b/>
        </w:rPr>
        <w:t xml:space="preserve">Opaque 'Black-Box' AI Decision-Making: </w:t>
      </w:r>
      <w:r>
        <w:t>Most deep learning proctoring tools output binary 'cheating' alerts without visual explainability (Explainable AI - XAI), leaving disciplinary committees without visual heatmaps or feature attributions justifying why an alert was fired.</w:t>
      </w:r>
    </w:p>
    <w:p>
      <w:pPr>
        <w:spacing w:after="60"/>
        <w:ind w:left="360"/>
      </w:pPr>
      <w:r>
        <w:rPr>
          <w:b/>
          <w:color w:val="1B365D"/>
        </w:rPr>
        <w:t xml:space="preserve">• </w:t>
      </w:r>
      <w:r>
        <w:rPr>
          <w:b/>
        </w:rPr>
        <w:t xml:space="preserve">Evidence Tampering Vulnerability: </w:t>
      </w:r>
      <w:r>
        <w:t>Standard digital video logs stored on local storage remain vulnerable to accidental deletion, corruption, or post-exam tampering.</w:t>
      </w:r>
    </w:p>
    <w:p>
      <w:pPr>
        <w:keepNext/>
        <w:spacing w:before="200" w:after="80"/>
      </w:pPr>
      <w:r>
        <w:rPr>
          <w:b/>
          <w:color w:val="1B365D"/>
          <w:sz w:val="28"/>
        </w:rPr>
        <w:t>1.3 Proposed Framework and Solution Architecture</w:t>
      </w:r>
    </w:p>
    <w:p>
      <w:r>
        <w:t>To overcome these hardware cost, false alarm, and transparency challenges, our research proposes a low-cost, multi-layered AI framework designed specifically for institutional laboratory halls. The proposed architecture integrates five technical modules:</w:t>
      </w:r>
    </w:p>
    <w:p>
      <w:pPr>
        <w:spacing w:after="60"/>
        <w:ind w:left="360"/>
      </w:pPr>
      <w:r>
        <w:rPr>
          <w:b/>
          <w:color w:val="1B365D"/>
        </w:rPr>
        <w:t xml:space="preserve">1. </w:t>
      </w:r>
      <w:r>
        <w:rPr>
          <w:b/>
        </w:rPr>
        <w:t xml:space="preserve">Zero Additional Hardware Expenditure ($0 Expense): </w:t>
      </w:r>
      <w:r>
        <w:t>Repurposes pre-installed overhead laboratory CCTV camera feeds to achieve wide-angle spatial coverage of multiple candidate workstations simultaneously (backed by Elsevier Procedia CS, 2025).</w:t>
      </w:r>
    </w:p>
    <w:p>
      <w:pPr>
        <w:spacing w:after="60"/>
        <w:ind w:left="360"/>
      </w:pPr>
      <w:r>
        <w:rPr>
          <w:b/>
          <w:color w:val="1B365D"/>
        </w:rPr>
        <w:t xml:space="preserve">1. </w:t>
      </w:r>
      <w:r>
        <w:rPr>
          <w:b/>
        </w:rPr>
        <w:t xml:space="preserve">Biometric Identity Authorization: </w:t>
      </w:r>
      <w:r>
        <w:t>Employs deep feature vector extraction (ResNet backbone) coupled with K-Nearest Neighbors (KNN) classification to authenticate candidate identities at check-in and prevent student impersonation (99.00% accuracy, backed by Springer Discover AI, 2026).</w:t>
      </w:r>
    </w:p>
    <w:p>
      <w:pPr>
        <w:spacing w:after="60"/>
        <w:ind w:left="360"/>
      </w:pPr>
      <w:r>
        <w:rPr>
          <w:b/>
          <w:color w:val="1B365D"/>
        </w:rPr>
        <w:t xml:space="preserve">1. </w:t>
      </w:r>
      <w:r>
        <w:rPr>
          <w:b/>
        </w:rPr>
        <w:t xml:space="preserve">Real-Time Small Gadget Detection: </w:t>
      </w:r>
      <w:r>
        <w:t>Integrates a lightweight YOLOv12 object detection backbone fine-tuned to spot prohibited physical paraphernalia (smartphones, smartwatches, notes) on candidate desks in real-time (≥25 FPS, backed by Nature Scientific Reports, 2025).</w:t>
      </w:r>
    </w:p>
    <w:p>
      <w:pPr>
        <w:spacing w:after="60"/>
        <w:ind w:left="360"/>
      </w:pPr>
      <w:r>
        <w:rPr>
          <w:b/>
          <w:color w:val="1B365D"/>
        </w:rPr>
        <w:t xml:space="preserve">1. </w:t>
      </w:r>
      <w:r>
        <w:rPr>
          <w:b/>
        </w:rPr>
        <w:t xml:space="preserve">Spatial-Temporal Rule Engine for False-Alarm Mitigation: </w:t>
      </w:r>
      <w:r>
        <w:t>Couples Head Pose Rotation (&gt;30° Yaw) with Mouth Aspect Ratio (MAR) temporal tracking to accurately differentiate benign self-reading from covert sideways peer whispering (backed by Springer Discover Education, 2026).</w:t>
      </w:r>
    </w:p>
    <w:p>
      <w:pPr>
        <w:spacing w:after="60"/>
        <w:ind w:left="360"/>
      </w:pPr>
      <w:r>
        <w:rPr>
          <w:b/>
          <w:color w:val="1B365D"/>
        </w:rPr>
        <w:t xml:space="preserve">1. </w:t>
      </w:r>
      <w:r>
        <w:rPr>
          <w:b/>
        </w:rPr>
        <w:t xml:space="preserve">Blockchain Evidence Deposit: </w:t>
      </w:r>
      <w:r>
        <w:t>Cryptographically hashes flagged malpractice video clips onto a consortium Hyperledger Fabric Blockchain &amp; IPFS log to guarantee an immutable, tamper-proof audit trail for institutional review committees.</w:t>
      </w:r>
    </w:p>
    <w:p>
      <w:pPr>
        <w:keepNext/>
        <w:spacing w:before="200" w:after="80"/>
      </w:pPr>
      <w:r>
        <w:rPr>
          <w:b/>
          <w:color w:val="1B365D"/>
          <w:sz w:val="28"/>
        </w:rPr>
        <w:t>1.4 Objectives of the Study</w:t>
      </w:r>
    </w:p>
    <w:p>
      <w:pPr>
        <w:spacing w:after="60"/>
        <w:ind w:left="360"/>
      </w:pPr>
      <w:r>
        <w:rPr>
          <w:b/>
          <w:color w:val="1B365D"/>
        </w:rPr>
        <w:t xml:space="preserve">✓ </w:t>
      </w:r>
      <w:r>
        <w:t>To design and evaluate a zero-hardware-cost visual surveillance architecture using existing overhead room CCTV streams.</w:t>
      </w:r>
    </w:p>
    <w:p>
      <w:pPr>
        <w:spacing w:after="60"/>
        <w:ind w:left="360"/>
      </w:pPr>
      <w:r>
        <w:rPr>
          <w:b/>
          <w:color w:val="1B365D"/>
        </w:rPr>
        <w:t xml:space="preserve">✓ </w:t>
      </w:r>
      <w:r>
        <w:t>To implement a real-time object detection model (YOLOv12) capable of accurately classifying small prohibited gadgets on lab desks.</w:t>
      </w:r>
    </w:p>
    <w:p>
      <w:pPr>
        <w:spacing w:after="60"/>
        <w:ind w:left="360"/>
      </w:pPr>
      <w:r>
        <w:rPr>
          <w:b/>
          <w:color w:val="1B365D"/>
        </w:rPr>
        <w:t xml:space="preserve">✓ </w:t>
      </w:r>
      <w:r>
        <w:t>To develop a multi-condition spatial-temporal rule engine combining head pose angle estimation and lip movement (MAR) to eliminate false alarms during question self-reading.</w:t>
      </w:r>
    </w:p>
    <w:p>
      <w:pPr>
        <w:spacing w:after="60"/>
        <w:ind w:left="360"/>
      </w:pPr>
      <w:r>
        <w:rPr>
          <w:b/>
          <w:color w:val="1B365D"/>
        </w:rPr>
        <w:t xml:space="preserve">✓ </w:t>
      </w:r>
      <w:r>
        <w:t>To integrate an Explainable AI (XAI) attribution layer (Grad-CAM / SHAP) that provides visual heatmap evidence for human proctor verification.</w:t>
      </w:r>
    </w:p>
    <w:p>
      <w:pPr>
        <w:spacing w:after="60"/>
        <w:ind w:left="360"/>
      </w:pPr>
      <w:r>
        <w:rPr>
          <w:b/>
          <w:color w:val="1B365D"/>
        </w:rPr>
        <w:t xml:space="preserve">✓ </w:t>
      </w:r>
      <w:r>
        <w:t>To ensure complete evidence integrity by logging cryptographically signed malpractice events on a distributed blockchain ledger.</w:t>
      </w:r>
    </w:p>
    <w:p>
      <w:pPr>
        <w:keepNext/>
        <w:spacing w:before="200" w:after="80"/>
      </w:pPr>
      <w:r>
        <w:rPr>
          <w:b/>
          <w:color w:val="1B365D"/>
          <w:sz w:val="28"/>
        </w:rPr>
        <w:t>1.5 Research Novelty and Key Contributions</w:t>
      </w:r>
    </w:p>
    <w:p>
      <w:r>
        <w:t>The primary novelty of this research lies in its economic feasibility and context-aware intelligence. By combining room-level CCTV cameras with temporal risk fusion (Risk_Total = 0.40*Auth + 0.40*Object + 0.20*Pose), our framework eliminates per-desk equipment procurement costs while drastically reducing false-positive alerts. Furthermore, coupling Explainable AI attributions with blockchain immutability establishes a transparent, audit-ready, and fair proctoring workflow for educational institutions.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