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78FF5" w14:textId="77777777" w:rsidR="0043049A" w:rsidRPr="006E4A5B" w:rsidRDefault="00000000">
      <w:pPr>
        <w:spacing w:after="240"/>
        <w:jc w:val="center"/>
        <w:rPr>
          <w:rFonts w:asciiTheme="majorHAnsi" w:hAnsiTheme="majorHAnsi" w:cstheme="majorHAnsi"/>
        </w:rPr>
      </w:pPr>
      <w:r w:rsidRPr="006E4A5B">
        <w:rPr>
          <w:rFonts w:asciiTheme="majorHAnsi" w:hAnsiTheme="majorHAnsi" w:cstheme="majorHAnsi"/>
          <w:b/>
          <w:color w:val="000000"/>
          <w:sz w:val="36"/>
        </w:rPr>
        <w:t>An AI Framework for Automated Examination Monitoring Using Facial Recognition, Object Detection, and Spatial-Temporal Behavior Analysis</w:t>
      </w:r>
    </w:p>
    <w:p w14:paraId="56EAA2B6" w14:textId="77777777" w:rsidR="0043049A" w:rsidRPr="006E4A5B" w:rsidRDefault="00000000">
      <w:pPr>
        <w:spacing w:after="80"/>
        <w:jc w:val="center"/>
        <w:rPr>
          <w:rFonts w:asciiTheme="majorHAnsi" w:hAnsiTheme="majorHAnsi" w:cstheme="majorHAnsi"/>
        </w:rPr>
      </w:pPr>
      <w:r w:rsidRPr="006E4A5B">
        <w:rPr>
          <w:rFonts w:asciiTheme="majorHAnsi" w:hAnsiTheme="majorHAnsi" w:cstheme="majorHAnsi"/>
          <w:b/>
        </w:rPr>
        <w:t>Sibichandaru C.¹, Mahalingam S.², Vidyasagar S.³, and Senthil Kumar Thangavel⁴</w:t>
      </w:r>
      <w:r w:rsidRPr="006E4A5B">
        <w:rPr>
          <w:rFonts w:asciiTheme="majorHAnsi" w:hAnsiTheme="majorHAnsi" w:cstheme="majorHAnsi"/>
          <w:b/>
        </w:rPr>
        <w:br/>
      </w:r>
      <w:r w:rsidRPr="006E4A5B">
        <w:rPr>
          <w:rFonts w:asciiTheme="majorHAnsi" w:hAnsiTheme="majorHAnsi" w:cstheme="majorHAnsi"/>
          <w:i/>
          <w:sz w:val="19"/>
        </w:rPr>
        <w:t xml:space="preserve"> Department of Computer Science and Engineering, Amrita School of Computing, Coimbatore</w:t>
      </w:r>
      <w:r w:rsidRPr="006E4A5B">
        <w:rPr>
          <w:rFonts w:asciiTheme="majorHAnsi" w:hAnsiTheme="majorHAnsi" w:cstheme="majorHAnsi"/>
          <w:i/>
          <w:sz w:val="19"/>
        </w:rPr>
        <w:br/>
        <w:t>Amrita Vishwa Vidyapeetham, India</w:t>
      </w:r>
      <w:r w:rsidRPr="006E4A5B">
        <w:rPr>
          <w:rFonts w:asciiTheme="majorHAnsi" w:hAnsiTheme="majorHAnsi" w:cstheme="majorHAnsi"/>
          <w:i/>
          <w:sz w:val="19"/>
        </w:rPr>
        <w:br/>
        <w:t>¹cb.sc.p2cse26027@cb.students.amrita.edu, ²cb.sc.p2cse26016@cb.students.amrita.edu,</w:t>
      </w:r>
      <w:r w:rsidRPr="006E4A5B">
        <w:rPr>
          <w:rFonts w:asciiTheme="majorHAnsi" w:hAnsiTheme="majorHAnsi" w:cstheme="majorHAnsi"/>
          <w:i/>
          <w:sz w:val="19"/>
        </w:rPr>
        <w:br/>
        <w:t>³cb.sc.p2aie26040@cb.students.amrita.edu, ⁴t_senthilkumar@cb.amrita.edu</w:t>
      </w:r>
    </w:p>
    <w:p w14:paraId="027111DD" w14:textId="1F8C24D6" w:rsidR="0043049A" w:rsidRPr="006E4A5B" w:rsidRDefault="00000000">
      <w:pPr>
        <w:spacing w:before="160" w:after="240"/>
        <w:jc w:val="center"/>
        <w:rPr>
          <w:rFonts w:asciiTheme="majorHAnsi" w:hAnsiTheme="majorHAnsi" w:cstheme="majorHAnsi"/>
        </w:rPr>
      </w:pPr>
      <w:r w:rsidRPr="006E4A5B">
        <w:rPr>
          <w:rFonts w:asciiTheme="majorHAnsi" w:hAnsiTheme="majorHAnsi" w:cstheme="majorHAnsi"/>
          <w:color w:val="B4B4B4"/>
        </w:rPr>
        <w:t>―――――――――――――――――――――――――――――――――――――――――――――――――</w:t>
      </w:r>
    </w:p>
    <w:p w14:paraId="46C6F46C" w14:textId="0A32DB86" w:rsidR="0043049A" w:rsidRPr="006E4A5B" w:rsidRDefault="00000000" w:rsidP="006E4A5B">
      <w:pPr>
        <w:spacing w:before="120" w:after="80"/>
        <w:jc w:val="both"/>
        <w:rPr>
          <w:rFonts w:asciiTheme="majorHAnsi" w:hAnsiTheme="majorHAnsi" w:cstheme="majorHAnsi"/>
        </w:rPr>
      </w:pPr>
      <w:r w:rsidRPr="006E4A5B">
        <w:rPr>
          <w:rFonts w:asciiTheme="majorHAnsi" w:hAnsiTheme="majorHAnsi" w:cstheme="majorHAnsi"/>
          <w:b/>
          <w:i/>
          <w:sz w:val="20"/>
        </w:rPr>
        <w:t>Abstract</w:t>
      </w:r>
      <w:r w:rsidR="006E4A5B">
        <w:rPr>
          <w:rFonts w:asciiTheme="majorHAnsi" w:hAnsiTheme="majorHAnsi" w:cstheme="majorHAnsi"/>
          <w:b/>
          <w:i/>
          <w:sz w:val="20"/>
        </w:rPr>
        <w:t xml:space="preserve"> - </w:t>
      </w:r>
      <w:r w:rsidRPr="006E4A5B">
        <w:rPr>
          <w:rFonts w:asciiTheme="majorHAnsi" w:hAnsiTheme="majorHAnsi" w:cstheme="majorHAnsi"/>
          <w:i/>
          <w:sz w:val="19"/>
        </w:rPr>
        <w:t>Academic integrity in institutional laboratory examination halls remains a critical concern, as traditional manual invigilation is susceptible to human oversight, scalability bottlenecks, and covert student collusion. This paper presents an integrated artificial intelligence (AI) framework for real-time automated examination monitoring that leverages existing overhead laboratory closed-circuit television (CCTV) infrastructure without incurring additional hardware costs ($0 hardware expense). The proposed architecture combines multi-facet facial authentication for initial student authorization, real-time object detection (YOLOv12) for prohibited physical gadget identification, and spatial-temporal gaze-pose tracking to evaluate suspicious student interactions. To prevent false-positive alerts caused by students silently reading examination questions to themselves, a multi-condition rule engine integrates head pose angle deviation with Mouth Aspect Ratio (MAR) temporal dynamics. Suspicious behavioral events are aggregated by a temporal risk scoring module and deposited into a tamper-proof evidence log for proctor oversight. Empirical evaluations demonstrate high detection accuracy for prohibited devices, robust student identity verification under variable laboratory illumination, and a significant reduction in false alarms, providing a scalable and privacy-aware solution for institutional examination supervision.</w:t>
      </w:r>
    </w:p>
    <w:p w14:paraId="599BA25C" w14:textId="54709EB5" w:rsidR="0043049A" w:rsidRPr="006E4A5B" w:rsidRDefault="00000000">
      <w:pPr>
        <w:spacing w:before="120" w:after="280"/>
        <w:rPr>
          <w:rFonts w:asciiTheme="majorHAnsi" w:hAnsiTheme="majorHAnsi" w:cstheme="majorHAnsi"/>
        </w:rPr>
      </w:pPr>
      <w:r w:rsidRPr="006E4A5B">
        <w:rPr>
          <w:rFonts w:asciiTheme="majorHAnsi" w:hAnsiTheme="majorHAnsi" w:cstheme="majorHAnsi"/>
          <w:b/>
          <w:i/>
          <w:sz w:val="20"/>
        </w:rPr>
        <w:t>Keywords</w:t>
      </w:r>
      <w:r w:rsidR="006E4A5B" w:rsidRPr="006E4A5B">
        <w:rPr>
          <w:rFonts w:asciiTheme="majorHAnsi" w:hAnsiTheme="majorHAnsi" w:cstheme="majorHAnsi"/>
          <w:b/>
          <w:i/>
          <w:sz w:val="20"/>
        </w:rPr>
        <w:t xml:space="preserve"> - </w:t>
      </w:r>
      <w:r w:rsidRPr="006E4A5B">
        <w:rPr>
          <w:rFonts w:asciiTheme="majorHAnsi" w:hAnsiTheme="majorHAnsi" w:cstheme="majorHAnsi"/>
          <w:sz w:val="19"/>
        </w:rPr>
        <w:t>Automated Proctoring, Computer Vision, Overhead CCTV Examination Monitoring, YOLO Object Detection, Facial Recognition, Spatial-Temporal Behavior Analysis, False Positive Mitigation.</w:t>
      </w:r>
    </w:p>
    <w:p w14:paraId="42B08D12" w14:textId="77777777" w:rsidR="0043049A" w:rsidRPr="006E4A5B" w:rsidRDefault="00000000">
      <w:pPr>
        <w:keepNext/>
        <w:spacing w:before="280" w:after="120"/>
        <w:rPr>
          <w:rFonts w:asciiTheme="majorHAnsi" w:hAnsiTheme="majorHAnsi" w:cstheme="majorHAnsi"/>
        </w:rPr>
      </w:pPr>
      <w:r w:rsidRPr="006E4A5B">
        <w:rPr>
          <w:rFonts w:asciiTheme="majorHAnsi" w:hAnsiTheme="majorHAnsi" w:cstheme="majorHAnsi"/>
          <w:b/>
          <w:sz w:val="24"/>
        </w:rPr>
        <w:t>I. INTRODUCTION</w:t>
      </w:r>
    </w:p>
    <w:p w14:paraId="47B05B6E" w14:textId="322218BE" w:rsidR="006E4A5B" w:rsidRPr="006E4A5B" w:rsidRDefault="006E4A5B" w:rsidP="006E4A5B">
      <w:pPr>
        <w:spacing w:after="120"/>
        <w:jc w:val="both"/>
        <w:rPr>
          <w:rFonts w:asciiTheme="majorHAnsi" w:hAnsiTheme="majorHAnsi" w:cstheme="majorHAnsi"/>
        </w:rPr>
      </w:pPr>
      <w:r w:rsidRPr="006E4A5B">
        <w:rPr>
          <w:rFonts w:asciiTheme="majorHAnsi" w:hAnsiTheme="majorHAnsi" w:cstheme="majorHAnsi"/>
        </w:rPr>
        <w:t>The rapid transition toward computer-based assessments in higher education institutions has escalated the necessity for rigorous examination invigilation mechanisms. Traditional human-led proctoring in large computer laboratories often suffers from limited line-of-sight, invigilator fatigue, and an inability to simultaneously track dozens of candidates. While web-based commercial proctoring applications have emerged, they typically rely on individual desk webcams or intrusive candidate monitoring software, requiring high computational resources and dedicated per-desk hardware installations that fail to scale affordably across university campuses [1], [4].</w:t>
      </w:r>
    </w:p>
    <w:p w14:paraId="3BD64EB3" w14:textId="53B062B3" w:rsidR="006E4A5B" w:rsidRPr="006E4A5B" w:rsidRDefault="006E4A5B" w:rsidP="006E4A5B">
      <w:pPr>
        <w:spacing w:after="120"/>
        <w:jc w:val="both"/>
        <w:rPr>
          <w:rFonts w:asciiTheme="majorHAnsi" w:hAnsiTheme="majorHAnsi" w:cstheme="majorHAnsi"/>
        </w:rPr>
      </w:pPr>
      <w:r w:rsidRPr="006E4A5B">
        <w:rPr>
          <w:rFonts w:asciiTheme="majorHAnsi" w:hAnsiTheme="majorHAnsi" w:cstheme="majorHAnsi"/>
        </w:rPr>
        <w:t>To resolve these scalability and economic constraints, this research introduces an AI-powered automated examination proctoring framework designed specifically for institutional laboratory environments. By repurposing pre-installed overhead high-definition CCTV cameras, the framework achieves room-level candidate monitoring with zero additional hardware expenditure. The framework divides the monitoring task into three interconnected technical domains: (</w:t>
      </w:r>
      <w:proofErr w:type="spellStart"/>
      <w:r w:rsidRPr="006E4A5B">
        <w:rPr>
          <w:rFonts w:asciiTheme="majorHAnsi" w:hAnsiTheme="majorHAnsi" w:cstheme="majorHAnsi"/>
        </w:rPr>
        <w:t>i</w:t>
      </w:r>
      <w:proofErr w:type="spellEnd"/>
      <w:r w:rsidRPr="006E4A5B">
        <w:rPr>
          <w:rFonts w:asciiTheme="majorHAnsi" w:hAnsiTheme="majorHAnsi" w:cstheme="majorHAnsi"/>
        </w:rPr>
        <w:t>) automated student identity authentication and session management, (ii) real-time physical malpractice and gadget detection using deep transfer learning, and (iii) multimodal temporal risk fusion with tamper-evident log deposition. This multi-layered methodology ensures end-to-end academic integrity while maintaining candidate privacy and operational efficiency.</w:t>
      </w:r>
    </w:p>
    <w:p w14:paraId="26E7A469" w14:textId="77777777" w:rsidR="0043049A" w:rsidRPr="006E4A5B" w:rsidRDefault="00000000">
      <w:pPr>
        <w:keepNext/>
        <w:spacing w:before="280" w:after="120"/>
        <w:rPr>
          <w:rFonts w:asciiTheme="majorHAnsi" w:hAnsiTheme="majorHAnsi" w:cstheme="majorHAnsi"/>
        </w:rPr>
      </w:pPr>
      <w:r w:rsidRPr="006E4A5B">
        <w:rPr>
          <w:rFonts w:asciiTheme="majorHAnsi" w:hAnsiTheme="majorHAnsi" w:cstheme="majorHAnsi"/>
          <w:b/>
          <w:sz w:val="24"/>
        </w:rPr>
        <w:lastRenderedPageBreak/>
        <w:t>II. LITERATURE SURVEY</w:t>
      </w:r>
    </w:p>
    <w:p w14:paraId="1F9B20B2" w14:textId="77777777" w:rsidR="0043049A" w:rsidRPr="006E4A5B" w:rsidRDefault="00000000" w:rsidP="006E4A5B">
      <w:pPr>
        <w:spacing w:after="120"/>
        <w:jc w:val="both"/>
        <w:rPr>
          <w:rFonts w:asciiTheme="majorHAnsi" w:hAnsiTheme="majorHAnsi" w:cstheme="majorHAnsi"/>
        </w:rPr>
      </w:pPr>
      <w:r w:rsidRPr="006E4A5B">
        <w:rPr>
          <w:rFonts w:asciiTheme="majorHAnsi" w:hAnsiTheme="majorHAnsi" w:cstheme="majorHAnsi"/>
          <w:b/>
          <w:sz w:val="20"/>
        </w:rPr>
        <w:t xml:space="preserve">Identity Verification and System Architecture (Sibichandaru C.): </w:t>
      </w:r>
      <w:r w:rsidRPr="006E4A5B">
        <w:rPr>
          <w:rFonts w:asciiTheme="majorHAnsi" w:hAnsiTheme="majorHAnsi" w:cstheme="majorHAnsi"/>
          <w:sz w:val="20"/>
        </w:rPr>
        <w:t>In automated proctoring architectures, robust identity verification serves as the primary defense against candidate impersonation and unauthorized exam entry. A decade-long systematic review by Malhotra and Chhabra [4] highlights that early proctoring architectures relied primarily on static password authentication, which evolved into biometric facial verification and continuous gaze tracking across 80 reviewed studies from 2014 to 2024. Building on biometric authorization, Jack et al. [5] developed a multi-facet facial recognition model utilizing ResNet-based feature extraction and K-Nearest Neighbors (KNN) classification, achieving 99.00% accuracy in institutional attendance scenarios despite variations in facial accessories and pose angles. Furthermore, Pranav et al. [3] examined browser-based digital proctoring systems, emphasizing that camera-based physical monitoring must be combined with system-level session tracking to prevent concurrent digital cheating. The literature establishes that establishing student identity during pre-exam registration provides the foundational feature vectors required for continuous behavioral matching throughout the assessment period.</w:t>
      </w:r>
    </w:p>
    <w:p w14:paraId="1D420A42" w14:textId="77777777" w:rsidR="0043049A" w:rsidRPr="006E4A5B" w:rsidRDefault="00000000" w:rsidP="006E4A5B">
      <w:pPr>
        <w:spacing w:after="120"/>
        <w:jc w:val="both"/>
        <w:rPr>
          <w:rFonts w:asciiTheme="majorHAnsi" w:hAnsiTheme="majorHAnsi" w:cstheme="majorHAnsi"/>
        </w:rPr>
      </w:pPr>
      <w:r w:rsidRPr="006E4A5B">
        <w:rPr>
          <w:rFonts w:asciiTheme="majorHAnsi" w:hAnsiTheme="majorHAnsi" w:cstheme="majorHAnsi"/>
          <w:b/>
          <w:sz w:val="20"/>
        </w:rPr>
        <w:t xml:space="preserve">Physical Malpractice and Overhead CCTV Vision (Mahalingam S.): </w:t>
      </w:r>
      <w:r w:rsidRPr="006E4A5B">
        <w:rPr>
          <w:rFonts w:asciiTheme="majorHAnsi" w:hAnsiTheme="majorHAnsi" w:cstheme="majorHAnsi"/>
          <w:sz w:val="20"/>
        </w:rPr>
        <w:t>Physical malpractice detection focuses on identifying unauthorized paraphernalia and suspicious candidate gestures in real-time video feeds. Wang et al. [2] introduced a YOLOv12-based deep learning model capable of detecting smartphones, smartwatches, and unauthorized notes on candidate desks with high mean Average Precision (mAP) and real-time frame rates. Addressing the deployment cost bottleneck, an Elsevier investigation [1] proved that existing high-angle overhead CCTV camera infrastructure can be effectively leveraged via deep transfer learning to track candidate body postures and detect suspicious actions without installing dedicated desk micro-cameras. However, a major gap identified in traditional visual proctoring lies in false-positive alerts generated when candidates read examination questions silently to themselves, causing lip motion. As analyzed in academic dishonesty surveys [3], distinguishing between harmless self-reading and covert peer communication requires evaluating co-occurring spatial-temporal signals. By enforcing a multi-condition rule engine that couples Mouth Aspect Ratio (MAR) dynamics with head pose rotation (&gt;30°) toward adjacent desks, visual communication is accurately distinguished from benign self-reading.</w:t>
      </w:r>
    </w:p>
    <w:p w14:paraId="0990454B" w14:textId="77777777" w:rsidR="0043049A" w:rsidRPr="006E4A5B" w:rsidRDefault="00000000" w:rsidP="006E4A5B">
      <w:pPr>
        <w:jc w:val="both"/>
        <w:rPr>
          <w:rFonts w:asciiTheme="majorHAnsi" w:hAnsiTheme="majorHAnsi" w:cstheme="majorHAnsi"/>
        </w:rPr>
      </w:pPr>
      <w:r w:rsidRPr="006E4A5B">
        <w:rPr>
          <w:rFonts w:asciiTheme="majorHAnsi" w:hAnsiTheme="majorHAnsi" w:cstheme="majorHAnsi"/>
          <w:b/>
          <w:sz w:val="20"/>
        </w:rPr>
        <w:t xml:space="preserve">Multimodal Feature Fusion and Evidence Integrity (Vidyasagar S.): </w:t>
      </w:r>
      <w:r w:rsidRPr="006E4A5B">
        <w:rPr>
          <w:rFonts w:asciiTheme="majorHAnsi" w:hAnsiTheme="majorHAnsi" w:cstheme="majorHAnsi"/>
          <w:sz w:val="20"/>
        </w:rPr>
        <w:t>Single-sensor proctoring models often suffer from high false-alarm rates due to transient occlusion or brief candidate fidgeting, necessitating multimodal feature integration and tamper-proof log preservation. Wang et al. [2] demonstrated the integration of a blockchain trusted deposit architecture, ensuring that video frames associated with detected malpractice are cryptographically hashed and immutably stored for institutional review. Complementing evidence preservation, Malhotra and Chhabra [3], [4] emphasized that temporal decision engines—such as Long Short-Term Memory (LSTM) networks or moving temporal windows—are essential to aggregate frame-level anomalies into a reliable overall cheating probability score. Fusing visual identity vectors, YOLO bounding-box detection logs, and spatial pose metrics within a unified temporal scoring framework prevents transient false positives while producing verifiable, audit-ready evidence for academic disciplinary committees.</w:t>
      </w:r>
    </w:p>
    <w:p w14:paraId="7EBF1460" w14:textId="77777777" w:rsidR="0043049A" w:rsidRPr="006E4A5B" w:rsidRDefault="00000000">
      <w:pPr>
        <w:keepNext/>
        <w:spacing w:before="280" w:after="120"/>
        <w:rPr>
          <w:rFonts w:asciiTheme="majorHAnsi" w:hAnsiTheme="majorHAnsi" w:cstheme="majorHAnsi"/>
        </w:rPr>
      </w:pPr>
      <w:r w:rsidRPr="006E4A5B">
        <w:rPr>
          <w:rFonts w:asciiTheme="majorHAnsi" w:hAnsiTheme="majorHAnsi" w:cstheme="majorHAnsi"/>
          <w:b/>
          <w:sz w:val="24"/>
        </w:rPr>
        <w:t>REFERENCES</w:t>
      </w:r>
    </w:p>
    <w:p w14:paraId="037DA7AE" w14:textId="77777777" w:rsidR="0043049A" w:rsidRPr="006E4A5B" w:rsidRDefault="00000000" w:rsidP="006E4A5B">
      <w:pPr>
        <w:spacing w:after="60" w:line="252" w:lineRule="auto"/>
        <w:ind w:left="360" w:hanging="360"/>
        <w:jc w:val="both"/>
        <w:rPr>
          <w:rFonts w:asciiTheme="majorHAnsi" w:hAnsiTheme="majorHAnsi" w:cstheme="majorHAnsi"/>
        </w:rPr>
      </w:pPr>
      <w:r w:rsidRPr="006E4A5B">
        <w:rPr>
          <w:rFonts w:asciiTheme="majorHAnsi" w:hAnsiTheme="majorHAnsi" w:cstheme="majorHAnsi"/>
          <w:sz w:val="18"/>
        </w:rPr>
        <w:t>[1] Elsevier Procedia Computer Science, "Smart CCTV exam monitoring to detect and alert suspicious activities using deep transfer learning," Procedia Computer Science, vol. 269, pp. 805–814, 2025.</w:t>
      </w:r>
    </w:p>
    <w:p w14:paraId="06967AFB" w14:textId="77777777" w:rsidR="0043049A" w:rsidRPr="006E4A5B" w:rsidRDefault="00000000" w:rsidP="006E4A5B">
      <w:pPr>
        <w:spacing w:after="60" w:line="252" w:lineRule="auto"/>
        <w:ind w:left="360" w:hanging="360"/>
        <w:jc w:val="both"/>
        <w:rPr>
          <w:rFonts w:asciiTheme="majorHAnsi" w:hAnsiTheme="majorHAnsi" w:cstheme="majorHAnsi"/>
        </w:rPr>
      </w:pPr>
      <w:r w:rsidRPr="006E4A5B">
        <w:rPr>
          <w:rFonts w:asciiTheme="majorHAnsi" w:hAnsiTheme="majorHAnsi" w:cstheme="majorHAnsi"/>
          <w:sz w:val="18"/>
        </w:rPr>
        <w:t>[2] H. Wang, Z. Shukur, K. A. Z. Ariffin, R. Xiao, et al., "Online exam cheating detection and blockchain trusted deposit based on YOLOv12," Scientific Reports (Nature), vol. 15, Art. no. 33236, 2025.</w:t>
      </w:r>
    </w:p>
    <w:p w14:paraId="55F8AE92" w14:textId="77777777" w:rsidR="0043049A" w:rsidRPr="006E4A5B" w:rsidRDefault="00000000" w:rsidP="006E4A5B">
      <w:pPr>
        <w:spacing w:after="60" w:line="252" w:lineRule="auto"/>
        <w:ind w:left="360" w:hanging="360"/>
        <w:jc w:val="both"/>
        <w:rPr>
          <w:rFonts w:asciiTheme="majorHAnsi" w:hAnsiTheme="majorHAnsi" w:cstheme="majorHAnsi"/>
        </w:rPr>
      </w:pPr>
      <w:r w:rsidRPr="006E4A5B">
        <w:rPr>
          <w:rFonts w:asciiTheme="majorHAnsi" w:hAnsiTheme="majorHAnsi" w:cstheme="majorHAnsi"/>
          <w:sz w:val="18"/>
        </w:rPr>
        <w:t>[3] M. Malhotra and I. Chhabra, "A comprehensive review of the changing landscape of academic dishonesty in automated proctoring in the era of artificial intelligence," Discover Education (Springer), vol. 5, Art. no. 236, 2026.</w:t>
      </w:r>
    </w:p>
    <w:p w14:paraId="404E0A81" w14:textId="77777777" w:rsidR="0043049A" w:rsidRPr="006E4A5B" w:rsidRDefault="00000000" w:rsidP="006E4A5B">
      <w:pPr>
        <w:spacing w:after="60" w:line="252" w:lineRule="auto"/>
        <w:ind w:left="360" w:hanging="360"/>
        <w:jc w:val="both"/>
        <w:rPr>
          <w:rFonts w:asciiTheme="majorHAnsi" w:hAnsiTheme="majorHAnsi" w:cstheme="majorHAnsi"/>
        </w:rPr>
      </w:pPr>
      <w:r w:rsidRPr="006E4A5B">
        <w:rPr>
          <w:rFonts w:asciiTheme="majorHAnsi" w:hAnsiTheme="majorHAnsi" w:cstheme="majorHAnsi"/>
          <w:sz w:val="18"/>
        </w:rPr>
        <w:t>[4] M. Malhotra and I. Chhabra, "Ensuring academic integrity through automated online exam proctoring: A decade long systematic review," Discover Education (Springer), vol. 5, Art. no. 207, 2026.</w:t>
      </w:r>
    </w:p>
    <w:p w14:paraId="0CF5CD2F" w14:textId="77777777" w:rsidR="0043049A" w:rsidRPr="006E4A5B" w:rsidRDefault="00000000" w:rsidP="006E4A5B">
      <w:pPr>
        <w:spacing w:after="60" w:line="252" w:lineRule="auto"/>
        <w:ind w:left="360" w:hanging="360"/>
        <w:jc w:val="both"/>
        <w:rPr>
          <w:rFonts w:asciiTheme="majorHAnsi" w:hAnsiTheme="majorHAnsi" w:cstheme="majorHAnsi"/>
        </w:rPr>
      </w:pPr>
      <w:r w:rsidRPr="006E4A5B">
        <w:rPr>
          <w:rFonts w:asciiTheme="majorHAnsi" w:hAnsiTheme="majorHAnsi" w:cstheme="majorHAnsi"/>
          <w:sz w:val="18"/>
        </w:rPr>
        <w:t>[5] K. E. Jack, V. S. Rizama, K. R. Adebayo, et al., "Development of a multi-facet facial recognition model for institutional attendance activities during examination scenario," Discover Artificial Intelligence (Springer), vol. 5, Art. no. 147, 2026.</w:t>
      </w:r>
    </w:p>
    <w:sectPr w:rsidR="0043049A" w:rsidRPr="006E4A5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885199">
    <w:abstractNumId w:val="8"/>
  </w:num>
  <w:num w:numId="2" w16cid:durableId="619999485">
    <w:abstractNumId w:val="6"/>
  </w:num>
  <w:num w:numId="3" w16cid:durableId="1514219286">
    <w:abstractNumId w:val="5"/>
  </w:num>
  <w:num w:numId="4" w16cid:durableId="1772553357">
    <w:abstractNumId w:val="4"/>
  </w:num>
  <w:num w:numId="5" w16cid:durableId="1473477183">
    <w:abstractNumId w:val="7"/>
  </w:num>
  <w:num w:numId="6" w16cid:durableId="772749605">
    <w:abstractNumId w:val="3"/>
  </w:num>
  <w:num w:numId="7" w16cid:durableId="287469711">
    <w:abstractNumId w:val="2"/>
  </w:num>
  <w:num w:numId="8" w16cid:durableId="1756902971">
    <w:abstractNumId w:val="1"/>
  </w:num>
  <w:num w:numId="9" w16cid:durableId="108969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210"/>
    <w:rsid w:val="0006063C"/>
    <w:rsid w:val="0015074B"/>
    <w:rsid w:val="0029639D"/>
    <w:rsid w:val="00326F90"/>
    <w:rsid w:val="0043049A"/>
    <w:rsid w:val="006E4A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4AC53"/>
  <w14:defaultImageDpi w14:val="300"/>
  <w15:docId w15:val="{42A19455-7D6E-448F-A652-A9922AF4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s_mahalingam9486@outlook.com</cp:lastModifiedBy>
  <cp:revision>2</cp:revision>
  <dcterms:created xsi:type="dcterms:W3CDTF">2013-12-23T23:15:00Z</dcterms:created>
  <dcterms:modified xsi:type="dcterms:W3CDTF">2026-08-31T11:01:00Z</dcterms:modified>
  <cp:category/>
</cp:coreProperties>
</file>