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Complete Phase-Based Research &amp; Development Workflow</w:t>
      </w:r>
    </w:p>
    <w:p>
      <w:pPr>
        <w:jc w:val="center"/>
      </w:pPr>
      <w:r>
        <w:rPr>
          <w:sz w:val="28"/>
        </w:rPr>
        <w:t>AI-Driven RTL Test Generation, Coverage Analysis and Verification</w:t>
      </w:r>
    </w:p>
    <w:p>
      <w:pPr>
        <w:jc w:val="center"/>
      </w:pPr>
      <w:r>
        <w:t>M.Tech implementation roadmap • Safe repository reorganization • UART AI integration • Acceptance gates</w:t>
      </w:r>
    </w:p>
    <w:p>
      <w:pPr>
        <w:pStyle w:val="Heading1"/>
      </w:pPr>
      <w:r>
        <w:t>1. Current status: measured versus pending</w:t>
      </w:r>
    </w:p>
    <w:p>
      <w:r>
        <w:t>The original verified project passes 18/18 defined technical requirements. That success does not imply that UART has already passed the new, end-to-end RTL → AST → Hermes → generated testbench → coverage closure flow. The additional UART AI evaluation is a new experiment and must be run and measured.</w:t>
      </w:r>
    </w:p>
    <w:tbl>
      <w:tblPr>
        <w:tblStyle w:val="TableGrid"/>
        <w:tblW w:type="auto" w:w="0"/>
        <w:jc w:val="center"/>
        <w:tblLook w:firstColumn="1" w:firstRow="1" w:lastColumn="0" w:lastRow="0" w:noHBand="0" w:noVBand="1" w:val="04A0"/>
      </w:tblPr>
      <w:tblGrid>
        <w:gridCol w:w="3202"/>
        <w:gridCol w:w="3202"/>
        <w:gridCol w:w="3202"/>
      </w:tblGrid>
      <w:tr>
        <w:tc>
          <w:tcPr>
            <w:tcW w:type="dxa" w:w="3202"/>
            <w:shd w:fill="DCE9F3"/>
            <w:cantSplit/>
          </w:tcPr>
          <w:p>
            <w:r>
              <w:rPr>
                <w:sz w:val="16"/>
              </w:rPr>
              <w:t>Component</w:t>
            </w:r>
          </w:p>
        </w:tc>
        <w:tc>
          <w:tcPr>
            <w:tcW w:type="dxa" w:w="3202"/>
            <w:shd w:fill="DCE9F3"/>
            <w:cantSplit/>
          </w:tcPr>
          <w:p>
            <w:r>
              <w:rPr>
                <w:sz w:val="16"/>
              </w:rPr>
              <w:t>Verified evidence</w:t>
            </w:r>
          </w:p>
        </w:tc>
        <w:tc>
          <w:tcPr>
            <w:tcW w:type="dxa" w:w="3202"/>
            <w:shd w:fill="DCE9F3"/>
            <w:cantSplit/>
          </w:tcPr>
          <w:p>
            <w:r>
              <w:rPr>
                <w:sz w:val="16"/>
              </w:rPr>
              <w:t>Current scope</w:t>
            </w:r>
          </w:p>
        </w:tc>
      </w:tr>
      <w:tr>
        <w:tc>
          <w:tcPr>
            <w:tcW w:type="dxa" w:w="3202"/>
            <w:vAlign w:val="center"/>
            <w:cantSplit/>
          </w:tcPr>
          <w:p>
            <w:r>
              <w:rPr>
                <w:sz w:val="16"/>
              </w:rPr>
              <w:t>ALU</w:t>
            </w:r>
          </w:p>
        </w:tc>
        <w:tc>
          <w:tcPr>
            <w:tcW w:type="dxa" w:w="3202"/>
            <w:vAlign w:val="center"/>
            <w:cantSplit/>
          </w:tcPr>
          <w:p>
            <w:r>
              <w:rPr>
                <w:sz w:val="16"/>
              </w:rPr>
              <w:t>2,048/2,048 equivalence checks</w:t>
            </w:r>
          </w:p>
        </w:tc>
        <w:tc>
          <w:tcPr>
            <w:tcW w:type="dxa" w:w="3202"/>
            <w:vAlign w:val="center"/>
            <w:cantSplit/>
          </w:tcPr>
          <w:p>
            <w:r>
              <w:rPr>
                <w:sz w:val="16"/>
              </w:rPr>
              <w:t>Original and optimized RTL; Hermes framework demonstrated</w:t>
            </w:r>
          </w:p>
        </w:tc>
      </w:tr>
      <w:tr>
        <w:tc>
          <w:tcPr>
            <w:tcW w:type="dxa" w:w="3202"/>
            <w:vAlign w:val="center"/>
            <w:cantSplit/>
          </w:tcPr>
          <w:p>
            <w:r>
              <w:rPr>
                <w:sz w:val="16"/>
              </w:rPr>
              <w:t>FIFO</w:t>
            </w:r>
          </w:p>
        </w:tc>
        <w:tc>
          <w:tcPr>
            <w:tcW w:type="dxa" w:w="3202"/>
            <w:vAlign w:val="center"/>
            <w:cantSplit/>
          </w:tcPr>
          <w:p>
            <w:r>
              <w:rPr>
                <w:sz w:val="16"/>
              </w:rPr>
              <w:t>124,008/124,008 equivalence checks</w:t>
            </w:r>
          </w:p>
        </w:tc>
        <w:tc>
          <w:tcPr>
            <w:tcW w:type="dxa" w:w="3202"/>
            <w:vAlign w:val="center"/>
            <w:cantSplit/>
          </w:tcPr>
          <w:p>
            <w:r>
              <w:rPr>
                <w:sz w:val="16"/>
              </w:rPr>
              <w:t>Four evaluated configurations</w:t>
            </w:r>
          </w:p>
        </w:tc>
      </w:tr>
      <w:tr>
        <w:tc>
          <w:tcPr>
            <w:tcW w:type="dxa" w:w="3202"/>
            <w:vAlign w:val="center"/>
            <w:cantSplit/>
          </w:tcPr>
          <w:p>
            <w:r>
              <w:rPr>
                <w:sz w:val="16"/>
              </w:rPr>
              <w:t>FSM</w:t>
            </w:r>
          </w:p>
        </w:tc>
        <w:tc>
          <w:tcPr>
            <w:tcW w:type="dxa" w:w="3202"/>
            <w:vAlign w:val="center"/>
            <w:cantSplit/>
          </w:tcPr>
          <w:p>
            <w:r>
              <w:rPr>
                <w:sz w:val="16"/>
              </w:rPr>
              <w:t>20 variants; 147,844 independent checks</w:t>
            </w:r>
          </w:p>
        </w:tc>
        <w:tc>
          <w:tcPr>
            <w:tcW w:type="dxa" w:w="3202"/>
            <w:vAlign w:val="center"/>
            <w:cantSplit/>
          </w:tcPr>
          <w:p>
            <w:r>
              <w:rPr>
                <w:sz w:val="16"/>
              </w:rPr>
              <w:t>Mealy/Moore, overlap modes, mapped comparisons</w:t>
            </w:r>
          </w:p>
        </w:tc>
      </w:tr>
      <w:tr>
        <w:tc>
          <w:tcPr>
            <w:tcW w:type="dxa" w:w="3202"/>
            <w:vAlign w:val="center"/>
            <w:cantSplit/>
          </w:tcPr>
          <w:p>
            <w:r>
              <w:rPr>
                <w:sz w:val="16"/>
              </w:rPr>
              <w:t>UART</w:t>
            </w:r>
          </w:p>
        </w:tc>
        <w:tc>
          <w:tcPr>
            <w:tcW w:type="dxa" w:w="3202"/>
            <w:vAlign w:val="center"/>
            <w:cantSplit/>
          </w:tcPr>
          <w:p>
            <w:r>
              <w:rPr>
                <w:sz w:val="16"/>
              </w:rPr>
              <w:t>Existing equivalence, loopback and PPA tests pass</w:t>
            </w:r>
          </w:p>
        </w:tc>
        <w:tc>
          <w:tcPr>
            <w:tcW w:type="dxa" w:w="3202"/>
            <w:vAlign w:val="center"/>
            <w:cantSplit/>
          </w:tcPr>
          <w:p>
            <w:r>
              <w:rPr>
                <w:sz w:val="16"/>
              </w:rPr>
              <w:t>New Hermes knowledge/coverage integration pending</w:t>
            </w:r>
          </w:p>
        </w:tc>
      </w:tr>
      <w:tr>
        <w:tc>
          <w:tcPr>
            <w:tcW w:type="dxa" w:w="3202"/>
            <w:vAlign w:val="center"/>
            <w:cantSplit/>
          </w:tcPr>
          <w:p>
            <w:r>
              <w:rPr>
                <w:sz w:val="16"/>
              </w:rPr>
              <w:t>Overall audit</w:t>
            </w:r>
          </w:p>
        </w:tc>
        <w:tc>
          <w:tcPr>
            <w:tcW w:type="dxa" w:w="3202"/>
            <w:vAlign w:val="center"/>
            <w:cantSplit/>
          </w:tcPr>
          <w:p>
            <w:r>
              <w:rPr>
                <w:sz w:val="16"/>
              </w:rPr>
              <w:t>18/18 PASS</w:t>
            </w:r>
          </w:p>
        </w:tc>
        <w:tc>
          <w:tcPr>
            <w:tcW w:type="dxa" w:w="3202"/>
            <w:vAlign w:val="center"/>
            <w:cantSplit/>
          </w:tcPr>
          <w:p>
            <w:r>
              <w:rPr>
                <w:sz w:val="16"/>
              </w:rPr>
              <w:t>Original technical scope, not a certification of the new AI-UART work</w:t>
            </w:r>
          </w:p>
        </w:tc>
      </w:tr>
    </w:tbl>
    <w:p/>
    <w:p>
      <w:pPr>
        <w:pStyle w:val="Heading1"/>
      </w:pPr>
      <w:r>
        <w:t>2. Requested architecture and terminology</w:t>
      </w:r>
    </w:p>
    <w:tbl>
      <w:tblPr>
        <w:tblStyle w:val="TableGrid"/>
        <w:tblW w:type="auto" w:w="0"/>
        <w:jc w:val="center"/>
        <w:tblLook w:firstColumn="1" w:firstRow="1" w:lastColumn="0" w:lastRow="0" w:noHBand="0" w:noVBand="1" w:val="04A0"/>
      </w:tblPr>
      <w:tblGrid>
        <w:gridCol w:w="3202"/>
        <w:gridCol w:w="3202"/>
        <w:gridCol w:w="3202"/>
      </w:tblGrid>
      <w:tr>
        <w:tc>
          <w:tcPr>
            <w:tcW w:type="dxa" w:w="3202"/>
            <w:shd w:fill="DCE9F3"/>
            <w:cantSplit/>
          </w:tcPr>
          <w:p>
            <w:r>
              <w:rPr>
                <w:sz w:val="16"/>
              </w:rPr>
              <w:t>Phase</w:t>
            </w:r>
          </w:p>
        </w:tc>
        <w:tc>
          <w:tcPr>
            <w:tcW w:type="dxa" w:w="3202"/>
            <w:shd w:fill="DCE9F3"/>
            <w:cantSplit/>
          </w:tcPr>
          <w:p>
            <w:r>
              <w:rPr>
                <w:sz w:val="16"/>
              </w:rPr>
              <w:t>Purpose</w:t>
            </w:r>
          </w:p>
        </w:tc>
        <w:tc>
          <w:tcPr>
            <w:tcW w:type="dxa" w:w="3202"/>
            <w:shd w:fill="DCE9F3"/>
            <w:cantSplit/>
          </w:tcPr>
          <w:p>
            <w:r>
              <w:rPr>
                <w:sz w:val="16"/>
              </w:rPr>
              <w:t>Reviewer-facing folder</w:t>
            </w:r>
          </w:p>
        </w:tc>
      </w:tr>
      <w:tr>
        <w:tc>
          <w:tcPr>
            <w:tcW w:type="dxa" w:w="3202"/>
            <w:vAlign w:val="center"/>
            <w:cantSplit/>
          </w:tcPr>
          <w:p>
            <w:r>
              <w:rPr>
                <w:sz w:val="16"/>
              </w:rPr>
              <w:t>Phase 1 — RTL Design</w:t>
            </w:r>
          </w:p>
        </w:tc>
        <w:tc>
          <w:tcPr>
            <w:tcW w:type="dxa" w:w="3202"/>
            <w:vAlign w:val="center"/>
            <w:cantSplit/>
          </w:tcPr>
          <w:p>
            <w:r>
              <w:rPr>
                <w:sz w:val="16"/>
              </w:rPr>
              <w:t>Four RTL DUT families, UART baseline and optimized TX/RX</w:t>
            </w:r>
          </w:p>
        </w:tc>
        <w:tc>
          <w:tcPr>
            <w:tcW w:type="dxa" w:w="3202"/>
            <w:vAlign w:val="center"/>
            <w:cantSplit/>
          </w:tcPr>
          <w:p>
            <w:r>
              <w:rPr>
                <w:sz w:val="16"/>
              </w:rPr>
              <w:t>phase_workflow/phase_01_rtl/</w:t>
            </w:r>
          </w:p>
        </w:tc>
      </w:tr>
      <w:tr>
        <w:tc>
          <w:tcPr>
            <w:tcW w:type="dxa" w:w="3202"/>
            <w:vAlign w:val="center"/>
            <w:cantSplit/>
          </w:tcPr>
          <w:p>
            <w:r>
              <w:rPr>
                <w:sz w:val="16"/>
              </w:rPr>
              <w:t>Phase 2 — RTL Parsing to Python</w:t>
            </w:r>
          </w:p>
        </w:tc>
        <w:tc>
          <w:tcPr>
            <w:tcW w:type="dxa" w:w="3202"/>
            <w:vAlign w:val="center"/>
            <w:cantSplit/>
          </w:tcPr>
          <w:p>
            <w:r>
              <w:rPr>
                <w:sz w:val="16"/>
              </w:rPr>
              <w:t>PyVerilog AST; module, port, FSM and UART knowledge JSON</w:t>
            </w:r>
          </w:p>
        </w:tc>
        <w:tc>
          <w:tcPr>
            <w:tcW w:type="dxa" w:w="3202"/>
            <w:vAlign w:val="center"/>
            <w:cantSplit/>
          </w:tcPr>
          <w:p>
            <w:r>
              <w:rPr>
                <w:sz w:val="16"/>
              </w:rPr>
              <w:t>phase_workflow/phase_02_parsing/</w:t>
            </w:r>
          </w:p>
        </w:tc>
      </w:tr>
      <w:tr>
        <w:tc>
          <w:tcPr>
            <w:tcW w:type="dxa" w:w="3202"/>
            <w:vAlign w:val="center"/>
            <w:cantSplit/>
          </w:tcPr>
          <w:p>
            <w:r>
              <w:rPr>
                <w:sz w:val="16"/>
              </w:rPr>
              <w:t>Phase 3 — AI/LLM Verification</w:t>
            </w:r>
          </w:p>
        </w:tc>
        <w:tc>
          <w:tcPr>
            <w:tcW w:type="dxa" w:w="3202"/>
            <w:vAlign w:val="center"/>
            <w:cantSplit/>
          </w:tcPr>
          <w:p>
            <w:r>
              <w:rPr>
                <w:sz w:val="16"/>
              </w:rPr>
              <w:t>Hermes scenarios; whitelist; testbench; simulator; coverage; feedback</w:t>
            </w:r>
          </w:p>
        </w:tc>
        <w:tc>
          <w:tcPr>
            <w:tcW w:type="dxa" w:w="3202"/>
            <w:vAlign w:val="center"/>
            <w:cantSplit/>
          </w:tcPr>
          <w:p>
            <w:r>
              <w:rPr>
                <w:sz w:val="16"/>
              </w:rPr>
              <w:t>phase_workflow/phase_03_ai_verification/</w:t>
            </w:r>
          </w:p>
        </w:tc>
      </w:tr>
      <w:tr>
        <w:tc>
          <w:tcPr>
            <w:tcW w:type="dxa" w:w="3202"/>
            <w:vAlign w:val="center"/>
            <w:cantSplit/>
          </w:tcPr>
          <w:p>
            <w:r>
              <w:rPr>
                <w:sz w:val="16"/>
              </w:rPr>
              <w:t>Phase 4 — UART Novelty</w:t>
            </w:r>
          </w:p>
        </w:tc>
        <w:tc>
          <w:tcPr>
            <w:tcW w:type="dxa" w:w="3202"/>
            <w:vAlign w:val="center"/>
            <w:cantSplit/>
          </w:tcPr>
          <w:p>
            <w:r>
              <w:rPr>
                <w:sz w:val="16"/>
              </w:rPr>
              <w:t>UART AI comparison integrated with optimized/hybrid architecture PPA</w:t>
            </w:r>
          </w:p>
        </w:tc>
        <w:tc>
          <w:tcPr>
            <w:tcW w:type="dxa" w:w="3202"/>
            <w:vAlign w:val="center"/>
            <w:cantSplit/>
          </w:tcPr>
          <w:p>
            <w:r>
              <w:rPr>
                <w:sz w:val="16"/>
              </w:rPr>
              <w:t>phase_workflow/phase_04_uart_novelty/</w:t>
            </w:r>
          </w:p>
        </w:tc>
      </w:tr>
      <w:tr>
        <w:tc>
          <w:tcPr>
            <w:tcW w:type="dxa" w:w="3202"/>
            <w:vAlign w:val="center"/>
            <w:cantSplit/>
          </w:tcPr>
          <w:p>
            <w:r>
              <w:rPr>
                <w:sz w:val="16"/>
              </w:rPr>
              <w:t>Final evaluation</w:t>
            </w:r>
          </w:p>
        </w:tc>
        <w:tc>
          <w:tcPr>
            <w:tcW w:type="dxa" w:w="3202"/>
            <w:vAlign w:val="center"/>
            <w:cantSplit/>
          </w:tcPr>
          <w:p>
            <w:r>
              <w:rPr>
                <w:sz w:val="16"/>
              </w:rPr>
              <w:t>Controlled comparison and evidence audit</w:t>
            </w:r>
          </w:p>
        </w:tc>
        <w:tc>
          <w:tcPr>
            <w:tcW w:type="dxa" w:w="3202"/>
            <w:vAlign w:val="center"/>
            <w:cantSplit/>
          </w:tcPr>
          <w:p>
            <w:r>
              <w:rPr>
                <w:sz w:val="16"/>
              </w:rPr>
              <w:t>phase_workflow/evaluation/</w:t>
            </w:r>
          </w:p>
        </w:tc>
      </w:tr>
    </w:tbl>
    <w:p/>
    <w:p>
      <w:r>
        <w:t>Terminology correction: Python does not execute a behavioral conversion of the Verilog RTL. It parses the AST and produces structured data to inform a language-model prompt. The LLM proposes tests; an independent deterministic simulator/scoreboard decides pass or fail.</w:t>
      </w:r>
    </w:p>
    <w:p>
      <w:pPr>
        <w:pStyle w:val="Heading1"/>
      </w:pPr>
      <w:r>
        <w:t>3. Safe migration and reproducibility policy</w:t>
      </w:r>
    </w:p>
    <w:p>
      <w:pPr>
        <w:pStyle w:val="ListBullet"/>
      </w:pPr>
      <w:r>
        <w:t>Do not rename or delete original historical folders, RTL source paths, mapped PPA files, logs or Git commits; many old scripts contain absolute paths and fixed evidence references.</w:t>
      </w:r>
    </w:p>
    <w:p>
      <w:pPr>
        <w:pStyle w:val="ListBullet"/>
      </w:pPr>
      <w:r>
        <w:t>Create a new phase-named reviewer-facing tree with byte-identical source snapshots. Clean aliases contain no chronological filenames; a hidden mapping records original paths and SHA-256 hashes.</w:t>
      </w:r>
    </w:p>
    <w:p>
      <w:pPr>
        <w:pStyle w:val="ListBullet"/>
      </w:pPr>
      <w:r>
        <w:t>New AI-UART code reads those frozen snapshots. Historic results and fresh AI measurements are reported separately.</w:t>
      </w:r>
    </w:p>
    <w:p>
      <w:pPr>
        <w:pStyle w:val="ListBullet"/>
      </w:pPr>
      <w:r>
        <w:t>Only after independent re-verification should you commit the phase view. Keep local Nangate45 Liberty files outside Git unless redistribution rights are established.</w:t>
      </w:r>
    </w:p>
    <w:p>
      <w:pPr>
        <w:pStyle w:val="Heading1"/>
      </w:pPr>
      <w:r>
        <w:t>4. Complete execution checklist</w:t>
      </w:r>
    </w:p>
    <w:tbl>
      <w:tblPr>
        <w:tblStyle w:val="TableGrid"/>
        <w:tblW w:type="auto" w:w="0"/>
        <w:jc w:val="center"/>
        <w:tblLook w:firstColumn="1" w:firstRow="1" w:lastColumn="0" w:lastRow="0" w:noHBand="0" w:noVBand="1" w:val="04A0"/>
      </w:tblPr>
      <w:tblGrid>
        <w:gridCol w:w="3202"/>
        <w:gridCol w:w="3202"/>
        <w:gridCol w:w="3202"/>
      </w:tblGrid>
      <w:tr>
        <w:tc>
          <w:tcPr>
            <w:tcW w:type="dxa" w:w="3202"/>
            <w:shd w:fill="DCE9F3"/>
            <w:cantSplit/>
          </w:tcPr>
          <w:p>
            <w:r>
              <w:rPr>
                <w:sz w:val="16"/>
              </w:rPr>
              <w:t>ID</w:t>
            </w:r>
          </w:p>
        </w:tc>
        <w:tc>
          <w:tcPr>
            <w:tcW w:type="dxa" w:w="3202"/>
            <w:shd w:fill="DCE9F3"/>
            <w:cantSplit/>
          </w:tcPr>
          <w:p>
            <w:r>
              <w:rPr>
                <w:sz w:val="16"/>
              </w:rPr>
              <w:t>Required action</w:t>
            </w:r>
          </w:p>
        </w:tc>
        <w:tc>
          <w:tcPr>
            <w:tcW w:type="dxa" w:w="3202"/>
            <w:shd w:fill="DCE9F3"/>
            <w:cantSplit/>
          </w:tcPr>
          <w:p>
            <w:r>
              <w:rPr>
                <w:sz w:val="16"/>
              </w:rPr>
              <w:t>Proof</w:t>
            </w:r>
          </w:p>
        </w:tc>
      </w:tr>
      <w:tr>
        <w:tc>
          <w:tcPr>
            <w:tcW w:type="dxa" w:w="3202"/>
            <w:vAlign w:val="center"/>
            <w:cantSplit/>
          </w:tcPr>
          <w:p>
            <w:r>
              <w:rPr>
                <w:sz w:val="16"/>
              </w:rPr>
              <w:t>P1.01</w:t>
            </w:r>
          </w:p>
        </w:tc>
        <w:tc>
          <w:tcPr>
            <w:tcW w:type="dxa" w:w="3202"/>
            <w:vAlign w:val="center"/>
            <w:cantSplit/>
          </w:tcPr>
          <w:p>
            <w:r>
              <w:rPr>
                <w:sz w:val="16"/>
              </w:rPr>
              <w:t>Preserve validated source, audit and remote Git commits</w:t>
            </w:r>
          </w:p>
        </w:tc>
        <w:tc>
          <w:tcPr>
            <w:tcW w:type="dxa" w:w="3202"/>
            <w:vAlign w:val="center"/>
            <w:cantSplit/>
          </w:tcPr>
          <w:p>
            <w:r>
              <w:rPr>
                <w:sz w:val="16"/>
              </w:rPr>
              <w:t>Already evidenced</w:t>
            </w:r>
          </w:p>
        </w:tc>
      </w:tr>
      <w:tr>
        <w:tc>
          <w:tcPr>
            <w:tcW w:type="dxa" w:w="3202"/>
            <w:vAlign w:val="center"/>
            <w:cantSplit/>
          </w:tcPr>
          <w:p>
            <w:r>
              <w:rPr>
                <w:sz w:val="16"/>
              </w:rPr>
              <w:t>P1.02</w:t>
            </w:r>
          </w:p>
        </w:tc>
        <w:tc>
          <w:tcPr>
            <w:tcW w:type="dxa" w:w="3202"/>
            <w:vAlign w:val="center"/>
            <w:cantSplit/>
          </w:tcPr>
          <w:p>
            <w:r>
              <w:rPr>
                <w:sz w:val="16"/>
              </w:rPr>
              <w:t>Copy baseline and optimized RTL into phase-named source views</w:t>
            </w:r>
          </w:p>
        </w:tc>
        <w:tc>
          <w:tcPr>
            <w:tcW w:type="dxa" w:w="3202"/>
            <w:vAlign w:val="center"/>
            <w:cantSplit/>
          </w:tcPr>
          <w:p>
            <w:r>
              <w:rPr>
                <w:sz w:val="16"/>
              </w:rPr>
              <w:t>Organizer command</w:t>
            </w:r>
          </w:p>
        </w:tc>
      </w:tr>
      <w:tr>
        <w:tc>
          <w:tcPr>
            <w:tcW w:type="dxa" w:w="3202"/>
            <w:vAlign w:val="center"/>
            <w:cantSplit/>
          </w:tcPr>
          <w:p>
            <w:r>
              <w:rPr>
                <w:sz w:val="16"/>
              </w:rPr>
              <w:t>P1.03</w:t>
            </w:r>
          </w:p>
        </w:tc>
        <w:tc>
          <w:tcPr>
            <w:tcW w:type="dxa" w:w="3202"/>
            <w:vAlign w:val="center"/>
            <w:cantSplit/>
          </w:tcPr>
          <w:p>
            <w:r>
              <w:rPr>
                <w:sz w:val="16"/>
              </w:rPr>
              <w:t>Verify UART ports, reset, baud clock and 8N1 restrictions</w:t>
            </w:r>
          </w:p>
        </w:tc>
        <w:tc>
          <w:tcPr>
            <w:tcW w:type="dxa" w:w="3202"/>
            <w:vAlign w:val="center"/>
            <w:cantSplit/>
          </w:tcPr>
          <w:p>
            <w:r>
              <w:rPr>
                <w:sz w:val="16"/>
              </w:rPr>
              <w:t>AST/source checks</w:t>
            </w:r>
          </w:p>
        </w:tc>
      </w:tr>
      <w:tr>
        <w:tc>
          <w:tcPr>
            <w:tcW w:type="dxa" w:w="3202"/>
            <w:vAlign w:val="center"/>
            <w:cantSplit/>
          </w:tcPr>
          <w:p>
            <w:r>
              <w:rPr>
                <w:sz w:val="16"/>
              </w:rPr>
              <w:t>P2.01</w:t>
            </w:r>
          </w:p>
        </w:tc>
        <w:tc>
          <w:tcPr>
            <w:tcW w:type="dxa" w:w="3202"/>
            <w:vAlign w:val="center"/>
            <w:cantSplit/>
          </w:tcPr>
          <w:p>
            <w:r>
              <w:rPr>
                <w:sz w:val="16"/>
              </w:rPr>
              <w:t>Check Ubuntu dependencies and activate correct Python environment</w:t>
            </w:r>
          </w:p>
        </w:tc>
        <w:tc>
          <w:tcPr>
            <w:tcW w:type="dxa" w:w="3202"/>
            <w:vAlign w:val="center"/>
            <w:cantSplit/>
          </w:tcPr>
          <w:p>
            <w:r>
              <w:rPr>
                <w:sz w:val="16"/>
              </w:rPr>
              <w:t>Dependency printout</w:t>
            </w:r>
          </w:p>
        </w:tc>
      </w:tr>
      <w:tr>
        <w:tc>
          <w:tcPr>
            <w:tcW w:type="dxa" w:w="3202"/>
            <w:vAlign w:val="center"/>
            <w:cantSplit/>
          </w:tcPr>
          <w:p>
            <w:r>
              <w:rPr>
                <w:sz w:val="16"/>
              </w:rPr>
              <w:t>P2.02</w:t>
            </w:r>
          </w:p>
        </w:tc>
        <w:tc>
          <w:tcPr>
            <w:tcW w:type="dxa" w:w="3202"/>
            <w:vAlign w:val="center"/>
            <w:cantSplit/>
          </w:tcPr>
          <w:p>
            <w:r>
              <w:rPr>
                <w:sz w:val="16"/>
              </w:rPr>
              <w:t>Parse baseline and optimized UART RTL using PyVerilog AST</w:t>
            </w:r>
          </w:p>
        </w:tc>
        <w:tc>
          <w:tcPr>
            <w:tcW w:type="dxa" w:w="3202"/>
            <w:vAlign w:val="center"/>
            <w:cantSplit/>
          </w:tcPr>
          <w:p>
            <w:r>
              <w:rPr>
                <w:sz w:val="16"/>
              </w:rPr>
              <w:t>UART knowledge JSON</w:t>
            </w:r>
          </w:p>
        </w:tc>
      </w:tr>
      <w:tr>
        <w:tc>
          <w:tcPr>
            <w:tcW w:type="dxa" w:w="3202"/>
            <w:vAlign w:val="center"/>
            <w:cantSplit/>
          </w:tcPr>
          <w:p>
            <w:r>
              <w:rPr>
                <w:sz w:val="16"/>
              </w:rPr>
              <w:t>P2.03</w:t>
            </w:r>
          </w:p>
        </w:tc>
        <w:tc>
          <w:tcPr>
            <w:tcW w:type="dxa" w:w="3202"/>
            <w:vAlign w:val="center"/>
            <w:cantSplit/>
          </w:tcPr>
          <w:p>
            <w:r>
              <w:rPr>
                <w:sz w:val="16"/>
              </w:rPr>
              <w:t>Extract module ports, widths, FSM states and protocol expectations</w:t>
            </w:r>
          </w:p>
        </w:tc>
        <w:tc>
          <w:tcPr>
            <w:tcW w:type="dxa" w:w="3202"/>
            <w:vAlign w:val="center"/>
            <w:cantSplit/>
          </w:tcPr>
          <w:p>
            <w:r>
              <w:rPr>
                <w:sz w:val="16"/>
              </w:rPr>
              <w:t>Structured knowledge</w:t>
            </w:r>
          </w:p>
        </w:tc>
      </w:tr>
      <w:tr>
        <w:tc>
          <w:tcPr>
            <w:tcW w:type="dxa" w:w="3202"/>
            <w:vAlign w:val="center"/>
            <w:cantSplit/>
          </w:tcPr>
          <w:p>
            <w:r>
              <w:rPr>
                <w:sz w:val="16"/>
              </w:rPr>
              <w:t>P2.04</w:t>
            </w:r>
          </w:p>
        </w:tc>
        <w:tc>
          <w:tcPr>
            <w:tcW w:type="dxa" w:w="3202"/>
            <w:vAlign w:val="center"/>
            <w:cantSplit/>
          </w:tcPr>
          <w:p>
            <w:r>
              <w:rPr>
                <w:sz w:val="16"/>
              </w:rPr>
              <w:t>Compute and compare RTL SHA-256 source fingerprints</w:t>
            </w:r>
          </w:p>
        </w:tc>
        <w:tc>
          <w:tcPr>
            <w:tcW w:type="dxa" w:w="3202"/>
            <w:vAlign w:val="center"/>
            <w:cantSplit/>
          </w:tcPr>
          <w:p>
            <w:r>
              <w:rPr>
                <w:sz w:val="16"/>
              </w:rPr>
              <w:t>Knowledge model</w:t>
            </w:r>
          </w:p>
        </w:tc>
      </w:tr>
      <w:tr>
        <w:tc>
          <w:tcPr>
            <w:tcW w:type="dxa" w:w="3202"/>
            <w:vAlign w:val="center"/>
            <w:cantSplit/>
          </w:tcPr>
          <w:p>
            <w:r>
              <w:rPr>
                <w:sz w:val="16"/>
              </w:rPr>
              <w:t>P3.01</w:t>
            </w:r>
          </w:p>
        </w:tc>
        <w:tc>
          <w:tcPr>
            <w:tcW w:type="dxa" w:w="3202"/>
            <w:vAlign w:val="center"/>
            <w:cantSplit/>
          </w:tcPr>
          <w:p>
            <w:r>
              <w:rPr>
                <w:sz w:val="16"/>
              </w:rPr>
              <w:t>Generate protocol verification objectives and functional coverage bins</w:t>
            </w:r>
          </w:p>
        </w:tc>
        <w:tc>
          <w:tcPr>
            <w:tcW w:type="dxa" w:w="3202"/>
            <w:vAlign w:val="center"/>
            <w:cantSplit/>
          </w:tcPr>
          <w:p>
            <w:r>
              <w:rPr>
                <w:sz w:val="16"/>
              </w:rPr>
              <w:t>Objectives JSON</w:t>
            </w:r>
          </w:p>
        </w:tc>
      </w:tr>
      <w:tr>
        <w:tc>
          <w:tcPr>
            <w:tcW w:type="dxa" w:w="3202"/>
            <w:vAlign w:val="center"/>
            <w:cantSplit/>
          </w:tcPr>
          <w:p>
            <w:r>
              <w:rPr>
                <w:sz w:val="16"/>
              </w:rPr>
              <w:t>P3.02</w:t>
            </w:r>
          </w:p>
        </w:tc>
        <w:tc>
          <w:tcPr>
            <w:tcW w:type="dxa" w:w="3202"/>
            <w:vAlign w:val="center"/>
            <w:cantSplit/>
          </w:tcPr>
          <w:p>
            <w:r>
              <w:rPr>
                <w:sz w:val="16"/>
              </w:rPr>
              <w:t>Construct actual UART-context Hermes prompt</w:t>
            </w:r>
          </w:p>
        </w:tc>
        <w:tc>
          <w:tcPr>
            <w:tcW w:type="dxa" w:w="3202"/>
            <w:vAlign w:val="center"/>
            <w:cantSplit/>
          </w:tcPr>
          <w:p>
            <w:r>
              <w:rPr>
                <w:sz w:val="16"/>
              </w:rPr>
              <w:t>Saved prompt</w:t>
            </w:r>
          </w:p>
        </w:tc>
      </w:tr>
      <w:tr>
        <w:tc>
          <w:tcPr>
            <w:tcW w:type="dxa" w:w="3202"/>
            <w:vAlign w:val="center"/>
            <w:cantSplit/>
          </w:tcPr>
          <w:p>
            <w:r>
              <w:rPr>
                <w:sz w:val="16"/>
              </w:rPr>
              <w:t>P3.03</w:t>
            </w:r>
          </w:p>
        </w:tc>
        <w:tc>
          <w:tcPr>
            <w:tcW w:type="dxa" w:w="3202"/>
            <w:vAlign w:val="center"/>
            <w:cantSplit/>
          </w:tcPr>
          <w:p>
            <w:r>
              <w:rPr>
                <w:sz w:val="16"/>
              </w:rPr>
              <w:t>Invoke real Hermes and preserve its raw response</w:t>
            </w:r>
          </w:p>
        </w:tc>
        <w:tc>
          <w:tcPr>
            <w:tcW w:type="dxa" w:w="3202"/>
            <w:vAlign w:val="center"/>
            <w:cantSplit/>
          </w:tcPr>
          <w:p>
            <w:r>
              <w:rPr>
                <w:sz w:val="16"/>
              </w:rPr>
              <w:t>Raw response</w:t>
            </w:r>
          </w:p>
        </w:tc>
      </w:tr>
      <w:tr>
        <w:tc>
          <w:tcPr>
            <w:tcW w:type="dxa" w:w="3202"/>
            <w:vAlign w:val="center"/>
            <w:cantSplit/>
          </w:tcPr>
          <w:p>
            <w:r>
              <w:rPr>
                <w:sz w:val="16"/>
              </w:rPr>
              <w:t>P3.04</w:t>
            </w:r>
          </w:p>
        </w:tc>
        <w:tc>
          <w:tcPr>
            <w:tcW w:type="dxa" w:w="3202"/>
            <w:vAlign w:val="center"/>
            <w:cantSplit/>
          </w:tcPr>
          <w:p>
            <w:r>
              <w:rPr>
                <w:sz w:val="16"/>
              </w:rPr>
              <w:t>Validate and whitelist candidate scenarios; reject unsupported data</w:t>
            </w:r>
          </w:p>
        </w:tc>
        <w:tc>
          <w:tcPr>
            <w:tcW w:type="dxa" w:w="3202"/>
            <w:vAlign w:val="center"/>
            <w:cantSplit/>
          </w:tcPr>
          <w:p>
            <w:r>
              <w:rPr>
                <w:sz w:val="16"/>
              </w:rPr>
              <w:t>Validated scenarios</w:t>
            </w:r>
          </w:p>
        </w:tc>
      </w:tr>
      <w:tr>
        <w:tc>
          <w:tcPr>
            <w:tcW w:type="dxa" w:w="3202"/>
            <w:vAlign w:val="center"/>
            <w:cantSplit/>
          </w:tcPr>
          <w:p>
            <w:r>
              <w:rPr>
                <w:sz w:val="16"/>
              </w:rPr>
              <w:t>P3.05</w:t>
            </w:r>
          </w:p>
        </w:tc>
        <w:tc>
          <w:tcPr>
            <w:tcW w:type="dxa" w:w="3202"/>
            <w:vAlign w:val="center"/>
            <w:cantSplit/>
          </w:tcPr>
          <w:p>
            <w:r>
              <w:rPr>
                <w:sz w:val="16"/>
              </w:rPr>
              <w:t>Generate complete deterministic self-checking Verilog testbench</w:t>
            </w:r>
          </w:p>
        </w:tc>
        <w:tc>
          <w:tcPr>
            <w:tcW w:type="dxa" w:w="3202"/>
            <w:vAlign w:val="center"/>
            <w:cantSplit/>
          </w:tcPr>
          <w:p>
            <w:r>
              <w:rPr>
                <w:sz w:val="16"/>
              </w:rPr>
              <w:t>Generated TB</w:t>
            </w:r>
          </w:p>
        </w:tc>
      </w:tr>
      <w:tr>
        <w:tc>
          <w:tcPr>
            <w:tcW w:type="dxa" w:w="3202"/>
            <w:vAlign w:val="center"/>
            <w:cantSplit/>
          </w:tcPr>
          <w:p>
            <w:r>
              <w:rPr>
                <w:sz w:val="16"/>
              </w:rPr>
              <w:t>P3.06</w:t>
            </w:r>
          </w:p>
        </w:tc>
        <w:tc>
          <w:tcPr>
            <w:tcW w:type="dxa" w:w="3202"/>
            <w:vAlign w:val="center"/>
            <w:cantSplit/>
          </w:tcPr>
          <w:p>
            <w:r>
              <w:rPr>
                <w:sz w:val="16"/>
              </w:rPr>
              <w:t>Compile and simulate at CPB 8, 16, 32 and 64</w:t>
            </w:r>
          </w:p>
        </w:tc>
        <w:tc>
          <w:tcPr>
            <w:tcW w:type="dxa" w:w="3202"/>
            <w:vAlign w:val="center"/>
            <w:cantSplit/>
          </w:tcPr>
          <w:p>
            <w:r>
              <w:rPr>
                <w:sz w:val="16"/>
              </w:rPr>
              <w:t>Icarus logs</w:t>
            </w:r>
          </w:p>
        </w:tc>
      </w:tr>
      <w:tr>
        <w:tc>
          <w:tcPr>
            <w:tcW w:type="dxa" w:w="3202"/>
            <w:vAlign w:val="center"/>
            <w:cantSplit/>
          </w:tcPr>
          <w:p>
            <w:r>
              <w:rPr>
                <w:sz w:val="16"/>
              </w:rPr>
              <w:t>P3.07</w:t>
            </w:r>
          </w:p>
        </w:tc>
        <w:tc>
          <w:tcPr>
            <w:tcW w:type="dxa" w:w="3202"/>
            <w:vAlign w:val="center"/>
            <w:cantSplit/>
          </w:tcPr>
          <w:p>
            <w:r>
              <w:rPr>
                <w:sz w:val="16"/>
              </w:rPr>
              <w:t>Check baseline and optimized TX/RX, expected payload and framing</w:t>
            </w:r>
          </w:p>
        </w:tc>
        <w:tc>
          <w:tcPr>
            <w:tcW w:type="dxa" w:w="3202"/>
            <w:vAlign w:val="center"/>
            <w:cantSplit/>
          </w:tcPr>
          <w:p>
            <w:r>
              <w:rPr>
                <w:sz w:val="16"/>
              </w:rPr>
              <w:t>Zero failures</w:t>
            </w:r>
          </w:p>
        </w:tc>
      </w:tr>
      <w:tr>
        <w:tc>
          <w:tcPr>
            <w:tcW w:type="dxa" w:w="3202"/>
            <w:vAlign w:val="center"/>
            <w:cantSplit/>
          </w:tcPr>
          <w:p>
            <w:r>
              <w:rPr>
                <w:sz w:val="16"/>
              </w:rPr>
              <w:t>P3.08</w:t>
            </w:r>
          </w:p>
        </w:tc>
        <w:tc>
          <w:tcPr>
            <w:tcW w:type="dxa" w:w="3202"/>
            <w:vAlign w:val="center"/>
            <w:cantSplit/>
          </w:tcPr>
          <w:p>
            <w:r>
              <w:rPr>
                <w:sz w:val="16"/>
              </w:rPr>
              <w:t>Run comparable directed and deterministic-random baseline suites</w:t>
            </w:r>
          </w:p>
        </w:tc>
        <w:tc>
          <w:tcPr>
            <w:tcW w:type="dxa" w:w="3202"/>
            <w:vAlign w:val="center"/>
            <w:cantSplit/>
          </w:tcPr>
          <w:p>
            <w:r>
              <w:rPr>
                <w:sz w:val="16"/>
              </w:rPr>
              <w:t>Simulation reports</w:t>
            </w:r>
          </w:p>
        </w:tc>
      </w:tr>
      <w:tr>
        <w:tc>
          <w:tcPr>
            <w:tcW w:type="dxa" w:w="3202"/>
            <w:vAlign w:val="center"/>
            <w:cantSplit/>
          </w:tcPr>
          <w:p>
            <w:r>
              <w:rPr>
                <w:sz w:val="16"/>
              </w:rPr>
              <w:t>P3.09</w:t>
            </w:r>
          </w:p>
        </w:tc>
        <w:tc>
          <w:tcPr>
            <w:tcW w:type="dxa" w:w="3202"/>
            <w:vAlign w:val="center"/>
            <w:cantSplit/>
          </w:tcPr>
          <w:p>
            <w:r>
              <w:rPr>
                <w:sz w:val="16"/>
              </w:rPr>
              <w:t>Measure observed coverage bins from actual simulator output</w:t>
            </w:r>
          </w:p>
        </w:tc>
        <w:tc>
          <w:tcPr>
            <w:tcW w:type="dxa" w:w="3202"/>
            <w:vAlign w:val="center"/>
            <w:cantSplit/>
          </w:tcPr>
          <w:p>
            <w:r>
              <w:rPr>
                <w:sz w:val="16"/>
              </w:rPr>
              <w:t>Coverage summary</w:t>
            </w:r>
          </w:p>
        </w:tc>
      </w:tr>
      <w:tr>
        <w:tc>
          <w:tcPr>
            <w:tcW w:type="dxa" w:w="3202"/>
            <w:vAlign w:val="center"/>
            <w:cantSplit/>
          </w:tcPr>
          <w:p>
            <w:r>
              <w:rPr>
                <w:sz w:val="16"/>
              </w:rPr>
              <w:t>P3.10</w:t>
            </w:r>
          </w:p>
        </w:tc>
        <w:tc>
          <w:tcPr>
            <w:tcW w:type="dxa" w:w="3202"/>
            <w:vAlign w:val="center"/>
            <w:cantSplit/>
          </w:tcPr>
          <w:p>
            <w:r>
              <w:rPr>
                <w:sz w:val="16"/>
              </w:rPr>
              <w:t>Find uncovered bins and build targeted Hermes feedback prompt</w:t>
            </w:r>
          </w:p>
        </w:tc>
        <w:tc>
          <w:tcPr>
            <w:tcW w:type="dxa" w:w="3202"/>
            <w:vAlign w:val="center"/>
            <w:cantSplit/>
          </w:tcPr>
          <w:p>
            <w:r>
              <w:rPr>
                <w:sz w:val="16"/>
              </w:rPr>
              <w:t>Gap prompts</w:t>
            </w:r>
          </w:p>
        </w:tc>
      </w:tr>
      <w:tr>
        <w:tc>
          <w:tcPr>
            <w:tcW w:type="dxa" w:w="3202"/>
            <w:vAlign w:val="center"/>
            <w:cantSplit/>
          </w:tcPr>
          <w:p>
            <w:r>
              <w:rPr>
                <w:sz w:val="16"/>
              </w:rPr>
              <w:t>P3.11</w:t>
            </w:r>
          </w:p>
        </w:tc>
        <w:tc>
          <w:tcPr>
            <w:tcW w:type="dxa" w:w="3202"/>
            <w:vAlign w:val="center"/>
            <w:cantSplit/>
          </w:tcPr>
          <w:p>
            <w:r>
              <w:rPr>
                <w:sz w:val="16"/>
              </w:rPr>
              <w:t>Run new targeted tests and verify coverage closure</w:t>
            </w:r>
          </w:p>
        </w:tc>
        <w:tc>
          <w:tcPr>
            <w:tcW w:type="dxa" w:w="3202"/>
            <w:vAlign w:val="center"/>
            <w:cantSplit/>
          </w:tcPr>
          <w:p>
            <w:r>
              <w:rPr>
                <w:sz w:val="16"/>
              </w:rPr>
              <w:t>Coverage before/after</w:t>
            </w:r>
          </w:p>
        </w:tc>
      </w:tr>
      <w:tr>
        <w:tc>
          <w:tcPr>
            <w:tcW w:type="dxa" w:w="3202"/>
            <w:vAlign w:val="center"/>
            <w:cantSplit/>
          </w:tcPr>
          <w:p>
            <w:r>
              <w:rPr>
                <w:sz w:val="16"/>
              </w:rPr>
              <w:t>P3.12</w:t>
            </w:r>
          </w:p>
        </w:tc>
        <w:tc>
          <w:tcPr>
            <w:tcW w:type="dxa" w:w="3202"/>
            <w:vAlign w:val="center"/>
            <w:cantSplit/>
          </w:tcPr>
          <w:p>
            <w:r>
              <w:rPr>
                <w:sz w:val="16"/>
              </w:rPr>
              <w:t>Compare initial equal scenario budgets; report extra closure effort</w:t>
            </w:r>
          </w:p>
        </w:tc>
        <w:tc>
          <w:tcPr>
            <w:tcW w:type="dxa" w:w="3202"/>
            <w:vAlign w:val="center"/>
            <w:cantSplit/>
          </w:tcPr>
          <w:p>
            <w:r>
              <w:rPr>
                <w:sz w:val="16"/>
              </w:rPr>
              <w:t>Fair comparison</w:t>
            </w:r>
          </w:p>
        </w:tc>
      </w:tr>
      <w:tr>
        <w:tc>
          <w:tcPr>
            <w:tcW w:type="dxa" w:w="3202"/>
            <w:vAlign w:val="center"/>
            <w:cantSplit/>
          </w:tcPr>
          <w:p>
            <w:r>
              <w:rPr>
                <w:sz w:val="16"/>
              </w:rPr>
              <w:t>P4.01</w:t>
            </w:r>
          </w:p>
        </w:tc>
        <w:tc>
          <w:tcPr>
            <w:tcW w:type="dxa" w:w="3202"/>
            <w:vAlign w:val="center"/>
            <w:cantSplit/>
          </w:tcPr>
          <w:p>
            <w:r>
              <w:rPr>
                <w:sz w:val="16"/>
              </w:rPr>
              <w:t>Preserve original UART architecture PPA evidence</w:t>
            </w:r>
          </w:p>
        </w:tc>
        <w:tc>
          <w:tcPr>
            <w:tcW w:type="dxa" w:w="3202"/>
            <w:vAlign w:val="center"/>
            <w:cantSplit/>
          </w:tcPr>
          <w:p>
            <w:r>
              <w:rPr>
                <w:sz w:val="16"/>
              </w:rPr>
              <w:t>Phase reference tables</w:t>
            </w:r>
          </w:p>
        </w:tc>
      </w:tr>
      <w:tr>
        <w:tc>
          <w:tcPr>
            <w:tcW w:type="dxa" w:w="3202"/>
            <w:vAlign w:val="center"/>
            <w:cantSplit/>
          </w:tcPr>
          <w:p>
            <w:r>
              <w:rPr>
                <w:sz w:val="16"/>
              </w:rPr>
              <w:t>P4.02</w:t>
            </w:r>
          </w:p>
        </w:tc>
        <w:tc>
          <w:tcPr>
            <w:tcW w:type="dxa" w:w="3202"/>
            <w:vAlign w:val="center"/>
            <w:cantSplit/>
          </w:tcPr>
          <w:p>
            <w:r>
              <w:rPr>
                <w:sz w:val="16"/>
              </w:rPr>
              <w:t>Explain TX/RX shift-register optimization and hybrid choice</w:t>
            </w:r>
          </w:p>
        </w:tc>
        <w:tc>
          <w:tcPr>
            <w:tcW w:type="dxa" w:w="3202"/>
            <w:vAlign w:val="center"/>
            <w:cantSplit/>
          </w:tcPr>
          <w:p>
            <w:r>
              <w:rPr>
                <w:sz w:val="16"/>
              </w:rPr>
              <w:t>Review write-up</w:t>
            </w:r>
          </w:p>
        </w:tc>
      </w:tr>
      <w:tr>
        <w:tc>
          <w:tcPr>
            <w:tcW w:type="dxa" w:w="3202"/>
            <w:vAlign w:val="center"/>
            <w:cantSplit/>
          </w:tcPr>
          <w:p>
            <w:r>
              <w:rPr>
                <w:sz w:val="16"/>
              </w:rPr>
              <w:t>P4.03</w:t>
            </w:r>
          </w:p>
        </w:tc>
        <w:tc>
          <w:tcPr>
            <w:tcW w:type="dxa" w:w="3202"/>
            <w:vAlign w:val="center"/>
            <w:cantSplit/>
          </w:tcPr>
          <w:p>
            <w:r>
              <w:rPr>
                <w:sz w:val="16"/>
              </w:rPr>
              <w:t>Determine whether UART AI verification yields a measured improvement</w:t>
            </w:r>
          </w:p>
        </w:tc>
        <w:tc>
          <w:tcPr>
            <w:tcW w:type="dxa" w:w="3202"/>
            <w:vAlign w:val="center"/>
            <w:cantSplit/>
          </w:tcPr>
          <w:p>
            <w:r>
              <w:rPr>
                <w:sz w:val="16"/>
              </w:rPr>
              <w:t>Comparative results</w:t>
            </w:r>
          </w:p>
        </w:tc>
      </w:tr>
      <w:tr>
        <w:tc>
          <w:tcPr>
            <w:tcW w:type="dxa" w:w="3202"/>
            <w:vAlign w:val="center"/>
            <w:cantSplit/>
          </w:tcPr>
          <w:p>
            <w:r>
              <w:rPr>
                <w:sz w:val="16"/>
              </w:rPr>
              <w:t>P4.04</w:t>
            </w:r>
          </w:p>
        </w:tc>
        <w:tc>
          <w:tcPr>
            <w:tcW w:type="dxa" w:w="3202"/>
            <w:vAlign w:val="center"/>
            <w:cantSplit/>
          </w:tcPr>
          <w:p>
            <w:r>
              <w:rPr>
                <w:sz w:val="16"/>
              </w:rPr>
              <w:t>Document protocol, mapped-PPA and novelty limitations</w:t>
            </w:r>
          </w:p>
        </w:tc>
        <w:tc>
          <w:tcPr>
            <w:tcW w:type="dxa" w:w="3202"/>
            <w:vAlign w:val="center"/>
            <w:cantSplit/>
          </w:tcPr>
          <w:p>
            <w:r>
              <w:rPr>
                <w:sz w:val="16"/>
              </w:rPr>
              <w:t>Research scope</w:t>
            </w:r>
          </w:p>
        </w:tc>
      </w:tr>
      <w:tr>
        <w:tc>
          <w:tcPr>
            <w:tcW w:type="dxa" w:w="3202"/>
            <w:vAlign w:val="center"/>
            <w:cantSplit/>
          </w:tcPr>
          <w:p>
            <w:r>
              <w:rPr>
                <w:sz w:val="16"/>
              </w:rPr>
              <w:t>EV.01</w:t>
            </w:r>
          </w:p>
        </w:tc>
        <w:tc>
          <w:tcPr>
            <w:tcW w:type="dxa" w:w="3202"/>
            <w:vAlign w:val="center"/>
            <w:cantSplit/>
          </w:tcPr>
          <w:p>
            <w:r>
              <w:rPr>
                <w:sz w:val="16"/>
              </w:rPr>
              <w:t>Run automated acceptance gates for historic and new experimental work</w:t>
            </w:r>
          </w:p>
        </w:tc>
        <w:tc>
          <w:tcPr>
            <w:tcW w:type="dxa" w:w="3202"/>
            <w:vAlign w:val="center"/>
            <w:cantSplit/>
          </w:tcPr>
          <w:p>
            <w:r>
              <w:rPr>
                <w:sz w:val="16"/>
              </w:rPr>
              <w:t>Workflow audit</w:t>
            </w:r>
          </w:p>
        </w:tc>
      </w:tr>
      <w:tr>
        <w:tc>
          <w:tcPr>
            <w:tcW w:type="dxa" w:w="3202"/>
            <w:vAlign w:val="center"/>
            <w:cantSplit/>
          </w:tcPr>
          <w:p>
            <w:r>
              <w:rPr>
                <w:sz w:val="16"/>
              </w:rPr>
              <w:t>EV.02</w:t>
            </w:r>
          </w:p>
        </w:tc>
        <w:tc>
          <w:tcPr>
            <w:tcW w:type="dxa" w:w="3202"/>
            <w:vAlign w:val="center"/>
            <w:cantSplit/>
          </w:tcPr>
          <w:p>
            <w:r>
              <w:rPr>
                <w:sz w:val="16"/>
              </w:rPr>
              <w:t>Update final thesis using only measured new UART AI results</w:t>
            </w:r>
          </w:p>
        </w:tc>
        <w:tc>
          <w:tcPr>
            <w:tcW w:type="dxa" w:w="3202"/>
            <w:vAlign w:val="center"/>
            <w:cantSplit/>
          </w:tcPr>
          <w:p>
            <w:r>
              <w:rPr>
                <w:sz w:val="16"/>
              </w:rPr>
              <w:t>Revised thesis</w:t>
            </w:r>
          </w:p>
        </w:tc>
      </w:tr>
      <w:tr>
        <w:tc>
          <w:tcPr>
            <w:tcW w:type="dxa" w:w="3202"/>
            <w:vAlign w:val="center"/>
            <w:cantSplit/>
          </w:tcPr>
          <w:p>
            <w:r>
              <w:rPr>
                <w:sz w:val="16"/>
              </w:rPr>
              <w:t>EV.03</w:t>
            </w:r>
          </w:p>
        </w:tc>
        <w:tc>
          <w:tcPr>
            <w:tcW w:type="dxa" w:w="3202"/>
            <w:vAlign w:val="center"/>
            <w:cantSplit/>
          </w:tcPr>
          <w:p>
            <w:r>
              <w:rPr>
                <w:sz w:val="16"/>
              </w:rPr>
              <w:t>Verify related work and defensible research novelty</w:t>
            </w:r>
          </w:p>
        </w:tc>
        <w:tc>
          <w:tcPr>
            <w:tcW w:type="dxa" w:w="3202"/>
            <w:vAlign w:val="center"/>
            <w:cantSplit/>
          </w:tcPr>
          <w:p>
            <w:r>
              <w:rPr>
                <w:sz w:val="16"/>
              </w:rPr>
              <w:t>Literature comparison</w:t>
            </w:r>
          </w:p>
        </w:tc>
      </w:tr>
      <w:tr>
        <w:tc>
          <w:tcPr>
            <w:tcW w:type="dxa" w:w="3202"/>
            <w:vAlign w:val="center"/>
            <w:cantSplit/>
          </w:tcPr>
          <w:p>
            <w:r>
              <w:rPr>
                <w:sz w:val="16"/>
              </w:rPr>
              <w:t>EV.04</w:t>
            </w:r>
          </w:p>
        </w:tc>
        <w:tc>
          <w:tcPr>
            <w:tcW w:type="dxa" w:w="3202"/>
            <w:vAlign w:val="center"/>
            <w:cantSplit/>
          </w:tcPr>
          <w:p>
            <w:r>
              <w:rPr>
                <w:sz w:val="16"/>
              </w:rPr>
              <w:t>Package raw logs, source and summary without restricted third-party files</w:t>
            </w:r>
          </w:p>
        </w:tc>
        <w:tc>
          <w:tcPr>
            <w:tcW w:type="dxa" w:w="3202"/>
            <w:vAlign w:val="center"/>
            <w:cantSplit/>
          </w:tcPr>
          <w:p>
            <w:r>
              <w:rPr>
                <w:sz w:val="16"/>
              </w:rPr>
              <w:t>Evidence ZIP</w:t>
            </w:r>
          </w:p>
        </w:tc>
      </w:tr>
      <w:tr>
        <w:tc>
          <w:tcPr>
            <w:tcW w:type="dxa" w:w="3202"/>
            <w:vAlign w:val="center"/>
            <w:cantSplit/>
          </w:tcPr>
          <w:p>
            <w:r>
              <w:rPr>
                <w:sz w:val="16"/>
              </w:rPr>
              <w:t>EV.05</w:t>
            </w:r>
          </w:p>
        </w:tc>
        <w:tc>
          <w:tcPr>
            <w:tcW w:type="dxa" w:w="3202"/>
            <w:vAlign w:val="center"/>
            <w:cantSplit/>
          </w:tcPr>
          <w:p>
            <w:r>
              <w:rPr>
                <w:sz w:val="16"/>
              </w:rPr>
              <w:t>Run project demo from a clean WSL process and freeze final commit</w:t>
            </w:r>
          </w:p>
        </w:tc>
        <w:tc>
          <w:tcPr>
            <w:tcW w:type="dxa" w:w="3202"/>
            <w:vAlign w:val="center"/>
            <w:cantSplit/>
          </w:tcPr>
          <w:p>
            <w:r>
              <w:rPr>
                <w:sz w:val="16"/>
              </w:rPr>
              <w:t>Final transcript</w:t>
            </w:r>
          </w:p>
        </w:tc>
      </w:tr>
    </w:tbl>
    <w:p/>
    <w:p>
      <w:pPr>
        <w:pStyle w:val="Heading1"/>
      </w:pPr>
      <w:r>
        <w:t>5. Installation and initial validation in WSL</w:t>
      </w:r>
    </w:p>
    <w:p>
      <w:r>
        <w:t>Download the companion project ZIP. Extract it into the original repository root so the phase_workflow directory sits beside the existing rtl, parser, hermes and extensions folders.</w:t>
      </w:r>
    </w:p>
    <w:p>
      <w:pPr>
        <w:spacing w:after="0"/>
      </w:pPr>
      <w:r>
        <w:rPr>
          <w:rFonts w:ascii="Consolas" w:hAnsi="Consolas"/>
          <w:color w:val="18354C"/>
          <w:sz w:val="14"/>
        </w:rPr>
        <w:t>cd ~/Mtech_project/AI_RTL_Verification</w:t>
      </w:r>
    </w:p>
    <w:p>
      <w:pPr>
        <w:spacing w:after="0"/>
      </w:pPr>
      <w:r>
        <w:rPr>
          <w:rFonts w:ascii="Consolas" w:hAnsi="Consolas"/>
          <w:color w:val="18354C"/>
          <w:sz w:val="14"/>
        </w:rPr>
        <w:t>python3 phase_workflow/tools/organize.py</w:t>
      </w:r>
    </w:p>
    <w:p>
      <w:pPr>
        <w:spacing w:after="0"/>
      </w:pPr>
      <w:r>
        <w:rPr>
          <w:rFonts w:ascii="Consolas" w:hAnsi="Consolas"/>
          <w:color w:val="18354C"/>
          <w:sz w:val="14"/>
        </w:rPr>
        <w:t>python3 phase_workflow/phase_04_uart_novelty/build_architecture_report.py</w:t>
      </w:r>
    </w:p>
    <w:p>
      <w:pPr>
        <w:spacing w:after="0"/>
      </w:pPr>
      <w:r>
        <w:rPr>
          <w:rFonts w:ascii="Consolas" w:hAnsi="Consolas"/>
          <w:color w:val="18354C"/>
          <w:sz w:val="14"/>
        </w:rPr>
        <w:t>python3 phase_workflow/evaluation/build_review_summary.py</w:t>
      </w:r>
    </w:p>
    <w:p>
      <w:pPr>
        <w:spacing w:after="0"/>
      </w:pPr>
      <w:r>
        <w:rPr>
          <w:rFonts w:ascii="Consolas" w:hAnsi="Consolas"/>
          <w:color w:val="18354C"/>
          <w:sz w:val="14"/>
        </w:rPr>
        <w:t>bash phase_workflow/tools/check_dependencies.sh</w:t>
      </w:r>
    </w:p>
    <w:p>
      <w:pPr>
        <w:spacing w:after="0"/>
      </w:pPr>
      <w:r>
        <w:rPr>
          <w:rFonts w:ascii="Consolas" w:hAnsi="Consolas"/>
          <w:color w:val="18354C"/>
          <w:sz w:val="14"/>
        </w:rPr>
        <w:t>python3 -m unittest discover -s phase_workflow/tests -v</w:t>
      </w:r>
    </w:p>
    <w:p>
      <w:pPr>
        <w:spacing w:after="0"/>
      </w:pPr>
      <w:r>
        <w:rPr>
          <w:rFonts w:ascii="Consolas" w:hAnsi="Consolas"/>
          <w:color w:val="18354C"/>
          <w:sz w:val="14"/>
        </w:rPr>
        <w:t>python3 phase_workflow/phase_03_ai_verification/uart_ai_pipeline.py --mode prepare</w:t>
      </w:r>
    </w:p>
    <w:p/>
    <w:p>
      <w:r>
        <w:t>If PyVerilog fails, use the existing verified WSL virtual environment; do not substitute hardcoded/assumed knowledge data. The new parser must succeed for all four real UART modules.</w:t>
      </w:r>
    </w:p>
    <w:p>
      <w:pPr>
        <w:pStyle w:val="Heading1"/>
      </w:pPr>
      <w:r>
        <w:t>6. Simulation baseline and real Hermes integration</w:t>
      </w:r>
    </w:p>
    <w:p>
      <w:pPr>
        <w:spacing w:after="0"/>
      </w:pPr>
      <w:r>
        <w:rPr>
          <w:rFonts w:ascii="Consolas" w:hAnsi="Consolas"/>
          <w:color w:val="18354C"/>
          <w:sz w:val="14"/>
        </w:rPr>
        <w:t>cd ~/Mtech_project/AI_RTL_Verification</w:t>
      </w:r>
    </w:p>
    <w:p>
      <w:pPr>
        <w:spacing w:after="0"/>
      </w:pPr>
      <w:r>
        <w:rPr>
          <w:rFonts w:ascii="Consolas" w:hAnsi="Consolas"/>
          <w:color w:val="18354C"/>
          <w:sz w:val="14"/>
        </w:rPr>
        <w:t>python3 phase_workflow/phase_03_ai_verification/uart_ai_pipeline.py --mode baseline</w:t>
      </w:r>
    </w:p>
    <w:p>
      <w:pPr>
        <w:spacing w:after="0"/>
      </w:pPr>
      <w:r>
        <w:rPr>
          <w:rFonts w:ascii="Consolas" w:hAnsi="Consolas"/>
          <w:color w:val="18354C"/>
          <w:sz w:val="14"/>
        </w:rPr>
        <w:t>python3 phase_workflow/phase_03_ai_verification/uart_ai_pipeline.py --mode all</w:t>
      </w:r>
    </w:p>
    <w:p>
      <w:pPr>
        <w:spacing w:after="0"/>
      </w:pPr>
      <w:r>
        <w:rPr>
          <w:rFonts w:ascii="Consolas" w:hAnsi="Consolas"/>
          <w:color w:val="18354C"/>
          <w:sz w:val="14"/>
        </w:rPr>
        <w:t>python3 phase_workflow/tools/final_audit.py</w:t>
      </w:r>
    </w:p>
    <w:p/>
    <w:p>
      <w:r>
        <w:t>Baseline mode intentionally reports BASELINES_PASS_AI_PENDING. The complete AI mode sends a real prompt to Hermes, safely parses its JSON scenarios and generates Verilog testbenches for Icarus. A failed Hermes invocation must not be quietly replaced by predetermined scenarios. The feedback loop checks missing bins and makes at most two additional AI calls.</w:t>
      </w:r>
    </w:p>
    <w:p>
      <w:pPr>
        <w:pStyle w:val="Heading1"/>
      </w:pPr>
      <w:r>
        <w:t>7. Research evaluation and novelty decision</w:t>
      </w:r>
    </w:p>
    <w:p>
      <w:r>
        <w:t>Treat the initial 10-scenario AI, directed and random suites as the controlled equal-budget comparison. Report any additional feedback tests and simulation cycles separately. Claim better coverage, fewer checks or less verification effort only when measured results support it. Verification accuracy comes from RTL simulation and reference checkers, not LLM output text.</w:t>
      </w:r>
    </w:p>
    <w:p>
      <w:r>
        <w:t>Existing UART architecture data at CPB=16: mapped area (µm²)/estimated power (µW) — baseline 450.604/370.282; fully optimized 440.230/392.761; hybrid 425.600/366.547. Hybrid versus baseline: 5.55% lower mapped area, 1.01% lower assumed-activity estimated power. These values are historic mapped estimates, not new AI verification results.</w:t>
      </w:r>
    </w:p>
    <w:p>
      <w:pPr>
        <w:pStyle w:val="Heading1"/>
      </w:pPr>
      <w:r>
        <w:t>8. What can be claimed immediately?</w:t>
      </w:r>
    </w:p>
    <w:tbl>
      <w:tblPr>
        <w:tblStyle w:val="TableGrid"/>
        <w:tblW w:type="auto" w:w="0"/>
        <w:jc w:val="center"/>
        <w:tblLook w:firstColumn="1" w:firstRow="1" w:lastColumn="0" w:lastRow="0" w:noHBand="0" w:noVBand="1" w:val="04A0"/>
      </w:tblPr>
      <w:tblGrid>
        <w:gridCol w:w="4802"/>
        <w:gridCol w:w="4802"/>
      </w:tblGrid>
      <w:tr>
        <w:tc>
          <w:tcPr>
            <w:tcW w:type="dxa" w:w="4802"/>
            <w:shd w:fill="DCE9F3"/>
            <w:cantSplit/>
          </w:tcPr>
          <w:p>
            <w:r>
              <w:rPr>
                <w:sz w:val="16"/>
              </w:rPr>
              <w:t>Evidence gate</w:t>
            </w:r>
          </w:p>
        </w:tc>
        <w:tc>
          <w:tcPr>
            <w:tcW w:type="dxa" w:w="4802"/>
            <w:shd w:fill="DCE9F3"/>
            <w:cantSplit/>
          </w:tcPr>
          <w:p>
            <w:r>
              <w:rPr>
                <w:sz w:val="16"/>
              </w:rPr>
              <w:t>Truthful state</w:t>
            </w:r>
          </w:p>
        </w:tc>
      </w:tr>
      <w:tr>
        <w:tc>
          <w:tcPr>
            <w:tcW w:type="dxa" w:w="4802"/>
            <w:vAlign w:val="center"/>
            <w:cantSplit/>
          </w:tcPr>
          <w:p>
            <w:r>
              <w:rPr>
                <w:sz w:val="16"/>
              </w:rPr>
              <w:t>Four RTL DUT families and historic audit</w:t>
            </w:r>
          </w:p>
        </w:tc>
        <w:tc>
          <w:tcPr>
            <w:tcW w:type="dxa" w:w="4802"/>
            <w:vAlign w:val="center"/>
            <w:cantSplit/>
          </w:tcPr>
          <w:p>
            <w:r>
              <w:rPr>
                <w:sz w:val="16"/>
              </w:rPr>
              <w:t>COMPLETE for previously validated scope</w:t>
            </w:r>
          </w:p>
        </w:tc>
      </w:tr>
      <w:tr>
        <w:tc>
          <w:tcPr>
            <w:tcW w:type="dxa" w:w="4802"/>
            <w:vAlign w:val="center"/>
            <w:cantSplit/>
          </w:tcPr>
          <w:p>
            <w:r>
              <w:rPr>
                <w:sz w:val="16"/>
              </w:rPr>
              <w:t>Phase-named review workspace</w:t>
            </w:r>
          </w:p>
        </w:tc>
        <w:tc>
          <w:tcPr>
            <w:tcW w:type="dxa" w:w="4802"/>
            <w:vAlign w:val="center"/>
            <w:cantSplit/>
          </w:tcPr>
          <w:p>
            <w:r>
              <w:rPr>
                <w:sz w:val="16"/>
              </w:rPr>
              <w:t>PROVIDED AS SAFE ORGANIZER — must execute in user WSL</w:t>
            </w:r>
          </w:p>
        </w:tc>
      </w:tr>
      <w:tr>
        <w:tc>
          <w:tcPr>
            <w:tcW w:type="dxa" w:w="4802"/>
            <w:vAlign w:val="center"/>
            <w:cantSplit/>
          </w:tcPr>
          <w:p>
            <w:r>
              <w:rPr>
                <w:sz w:val="16"/>
              </w:rPr>
              <w:t>UART AST extraction script</w:t>
            </w:r>
          </w:p>
        </w:tc>
        <w:tc>
          <w:tcPr>
            <w:tcW w:type="dxa" w:w="4802"/>
            <w:vAlign w:val="center"/>
            <w:cantSplit/>
          </w:tcPr>
          <w:p>
            <w:r>
              <w:rPr>
                <w:sz w:val="16"/>
              </w:rPr>
              <w:t>IMPLEMENTED — requires actual PyVerilog run</w:t>
            </w:r>
          </w:p>
        </w:tc>
      </w:tr>
      <w:tr>
        <w:tc>
          <w:tcPr>
            <w:tcW w:type="dxa" w:w="4802"/>
            <w:vAlign w:val="center"/>
            <w:cantSplit/>
          </w:tcPr>
          <w:p>
            <w:r>
              <w:rPr>
                <w:sz w:val="16"/>
              </w:rPr>
              <w:t>Hermes UART scenario/feedback code</w:t>
            </w:r>
          </w:p>
        </w:tc>
        <w:tc>
          <w:tcPr>
            <w:tcW w:type="dxa" w:w="4802"/>
            <w:vAlign w:val="center"/>
            <w:cantSplit/>
          </w:tcPr>
          <w:p>
            <w:r>
              <w:rPr>
                <w:sz w:val="16"/>
              </w:rPr>
              <w:t>IMPLEMENTED — requires real Hermes run</w:t>
            </w:r>
          </w:p>
        </w:tc>
      </w:tr>
      <w:tr>
        <w:tc>
          <w:tcPr>
            <w:tcW w:type="dxa" w:w="4802"/>
            <w:vAlign w:val="center"/>
            <w:cantSplit/>
          </w:tcPr>
          <w:p>
            <w:r>
              <w:rPr>
                <w:sz w:val="16"/>
              </w:rPr>
              <w:t>Generated UART testbench and checker</w:t>
            </w:r>
          </w:p>
        </w:tc>
        <w:tc>
          <w:tcPr>
            <w:tcW w:type="dxa" w:w="4802"/>
            <w:vAlign w:val="center"/>
            <w:cantSplit/>
          </w:tcPr>
          <w:p>
            <w:r>
              <w:rPr>
                <w:sz w:val="16"/>
              </w:rPr>
              <w:t>IMPLEMENTED — requires real Icarus simulation</w:t>
            </w:r>
          </w:p>
        </w:tc>
      </w:tr>
      <w:tr>
        <w:tc>
          <w:tcPr>
            <w:tcW w:type="dxa" w:w="4802"/>
            <w:vAlign w:val="center"/>
            <w:cantSplit/>
          </w:tcPr>
          <w:p>
            <w:r>
              <w:rPr>
                <w:sz w:val="16"/>
              </w:rPr>
              <w:t>AI vs directed vs random performance</w:t>
            </w:r>
          </w:p>
        </w:tc>
        <w:tc>
          <w:tcPr>
            <w:tcW w:type="dxa" w:w="4802"/>
            <w:vAlign w:val="center"/>
            <w:cantSplit/>
          </w:tcPr>
          <w:p>
            <w:r>
              <w:rPr>
                <w:sz w:val="16"/>
              </w:rPr>
              <w:t>NOT YET MEASURED</w:t>
            </w:r>
          </w:p>
        </w:tc>
      </w:tr>
      <w:tr>
        <w:tc>
          <w:tcPr>
            <w:tcW w:type="dxa" w:w="4802"/>
            <w:vAlign w:val="center"/>
            <w:cantSplit/>
          </w:tcPr>
          <w:p>
            <w:r>
              <w:rPr>
                <w:sz w:val="16"/>
              </w:rPr>
              <w:t>Complete UART AI novelty and final thesis claim</w:t>
            </w:r>
          </w:p>
        </w:tc>
        <w:tc>
          <w:tcPr>
            <w:tcW w:type="dxa" w:w="4802"/>
            <w:vAlign w:val="center"/>
            <w:cantSplit/>
          </w:tcPr>
          <w:p>
            <w:r>
              <w:rPr>
                <w:sz w:val="16"/>
              </w:rPr>
              <w:t>PENDING experiments and literature verification</w:t>
            </w:r>
          </w:p>
        </w:tc>
      </w:tr>
    </w:tbl>
    <w:p/>
    <w:p>
      <w:r>
        <w:t>A final end-to-end verdict must come from phase_workflow/tools/final_audit.py. It intentionally reports WORK_REMAINING until all new UART AI acceptance gates pass.</w:t>
      </w:r>
    </w:p>
    <w:p>
      <w:pPr>
        <w:pStyle w:val="Heading1"/>
      </w:pPr>
      <w:r>
        <w:t>9. Recommended review explanation</w:t>
      </w:r>
    </w:p>
    <w:p>
      <w:r>
        <w:t>“We start with reference and optimized Verilog RTL, parse each UART variant into a structured Python knowledge model using PyVerilog, and present this representation to Hermes. Hermes proposes constrained UART verification cases. A deterministic validator produces testbenches, while Icarus Verilog and a reference checker measure actual behavior and coverage. Coverage gaps are fed back for targeted tests. We then compare the AI initial suite with equal-budget directed and random suites and connect the verified results to separately measured pre-layout UART architecture trade-offs.”</w:t>
      </w:r>
    </w:p>
    <w:sectPr w:rsidR="00FC693F" w:rsidRPr="0006063C" w:rsidSect="00034616">
      <w:headerReference w:type="default" r:id="rId9"/>
      <w:footerReference w:type="default" r:id="rId10"/>
      <w:pgSz w:w="11909" w:h="16834"/>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Phase-based research workflow • Reference copy for project review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M.TECH  |  AI-ASSISTED RTL VERIFICATION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2F5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52F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52F5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52F51"/>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