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color w:val="0B6779"/>
          <w:sz w:val="20"/>
        </w:rPr>
        <w:t>RESEARCH VALIDATION REPORT</w:t>
      </w:r>
    </w:p>
    <w:p>
      <w:pPr>
        <w:pStyle w:val="Title"/>
      </w:pPr>
      <w:r>
        <w:t>Phase 4E</w:t>
        <w:br/>
        <w:t>Literature Review &amp; Novelty Assessment</w:t>
      </w:r>
    </w:p>
    <w:p>
      <w:r>
        <w:rPr>
          <w:b/>
        </w:rPr>
        <w:t>AI-Driven RTL Test Generation, Coverage Analysis and Verification</w:t>
      </w:r>
    </w:p>
    <w:p>
      <w:r>
        <w:t>Simulation-only M.Tech study | UART TX/RX case study | Phase-based development workflow</w:t>
      </w:r>
    </w:p>
    <w:p>
      <w:r>
        <w:t>Evidence date: 10 October 2026 | Scope: verified UART trials, fault injection, coverage feedback and archived pre-layout PPA</w:t>
      </w:r>
    </w:p>
    <w:p/>
    <w:p>
      <w:pPr>
        <w:pStyle w:val="Heading2"/>
      </w:pPr>
      <w:r>
        <w:t>Research decision</w:t>
      </w:r>
    </w:p>
    <w:p>
      <w:r>
        <w:t>The four-phase implementation and its 12/12 acceptance audit are complete. The work supports a bounded, experimentally evidenced M.Tech contribution, but the underlying LLM test-generation, AST analysis and coverage-feedback techniques already have substantial published prior art. Publication-level novelty has not been established.</w:t>
      </w:r>
    </w:p>
    <w:p>
      <w:r>
        <w:t>Sources: user-supplied WSL execution outputs and the archived base-paper preview, compared with verified publisher/DOI metadata. A separate WSL evidence-audit script checks original JSON results before thesis submission.</w:t>
      </w:r>
    </w:p>
    <w:p>
      <w:r>
        <w:br w:type="page"/>
      </w:r>
    </w:p>
    <w:p>
      <w:pPr>
        <w:pStyle w:val="Heading1"/>
      </w:pPr>
      <w:r>
        <w:t>1. Project scope and research questions</w:t>
      </w:r>
    </w:p>
    <w:p>
      <w:r>
        <w:t>The implemented simulation-only pipeline is: Phase 1 UART baseline and optimized RTL; Phase 2 PyVerilog AST to UART knowledge; Phase 3 Hermes structured scenarios to deterministic validator, self-checking Icarus testbench, coverage and feedback; Phase 4 reproducibility, pre-layout PPA analysis, mutation testing and reporting. ALU, FIFO and FSM earlier technical work is retained as supporting evidence rather than conflated with UART-specific AI measurements.</w:t>
      </w:r>
    </w:p>
    <w:tbl>
      <w:tblPr>
        <w:tblStyle w:val="LightShading-Accent1"/>
        <w:tblW w:type="auto" w:w="0"/>
        <w:jc w:val="center"/>
        <w:tblLook w:firstColumn="1" w:firstRow="1" w:lastColumn="0" w:lastRow="0" w:noHBand="0" w:noVBand="1" w:val="04A0"/>
      </w:tblPr>
      <w:tblGrid>
        <w:gridCol w:w="4882"/>
        <w:gridCol w:w="4882"/>
      </w:tblGrid>
      <w:tr>
        <w:tc>
          <w:tcPr>
            <w:tcW w:type="dxa" w:w="4882"/>
            <w:tcMar>
              <w:top w:w="75" w:type="dxa"/>
              <w:left w:w="75" w:type="dxa"/>
              <w:bottom w:w="75" w:type="dxa"/>
              <w:right w:w="75" w:type="dxa"/>
            </w:tcMar>
            <w:shd w:fill="EAF4F6"/>
          </w:tcPr>
          <w:p>
            <w:r>
              <w:rPr>
                <w:b/>
                <w:sz w:val="16"/>
              </w:rPr>
              <w:t>Research question</w:t>
            </w:r>
          </w:p>
        </w:tc>
        <w:tc>
          <w:tcPr>
            <w:tcW w:type="dxa" w:w="4882"/>
            <w:tcMar>
              <w:top w:w="75" w:type="dxa"/>
              <w:left w:w="75" w:type="dxa"/>
              <w:bottom w:w="75" w:type="dxa"/>
              <w:right w:w="75" w:type="dxa"/>
            </w:tcMar>
            <w:shd w:fill="EAF4F6"/>
          </w:tcPr>
          <w:p>
            <w:r>
              <w:rPr>
                <w:b/>
                <w:sz w:val="16"/>
              </w:rPr>
              <w:t>Evidence and appropriate interpretation</w:t>
            </w:r>
          </w:p>
        </w:tc>
      </w:tr>
      <w:tr>
        <w:tc>
          <w:tcPr>
            <w:tcW w:type="dxa" w:w="4882"/>
            <w:vAlign w:val="center"/>
            <w:tcMar>
              <w:top w:w="75" w:type="dxa"/>
              <w:left w:w="75" w:type="dxa"/>
              <w:bottom w:w="75" w:type="dxa"/>
              <w:right w:w="75" w:type="dxa"/>
            </w:tcMar>
          </w:tcPr>
          <w:p>
            <w:pPr>
              <w:spacing w:after="40" w:before="40"/>
            </w:pPr>
            <w:r>
              <w:rPr>
                <w:sz w:val="16"/>
              </w:rPr>
              <w:t>RQ1: Can a real LLM generate valid UART tests?</w:t>
            </w:r>
          </w:p>
        </w:tc>
        <w:tc>
          <w:tcPr>
            <w:tcW w:type="dxa" w:w="4882"/>
            <w:vAlign w:val="center"/>
            <w:tcMar>
              <w:top w:w="75" w:type="dxa"/>
              <w:left w:w="75" w:type="dxa"/>
              <w:bottom w:w="75" w:type="dxa"/>
              <w:right w:w="75" w:type="dxa"/>
            </w:tcMar>
          </w:tcPr>
          <w:p>
            <w:pPr>
              <w:spacing w:after="40" w:before="40"/>
            </w:pPr>
            <w:r>
              <w:rPr>
                <w:sz w:val="16"/>
              </w:rPr>
              <w:t>Five fresh valid Hermes generations and one archived initial generation; deterministic JSON constraints and simulator checks.</w:t>
            </w:r>
          </w:p>
        </w:tc>
      </w:tr>
      <w:tr>
        <w:tc>
          <w:tcPr>
            <w:tcW w:type="dxa" w:w="4882"/>
            <w:vAlign w:val="center"/>
            <w:tcMar>
              <w:top w:w="75" w:type="dxa"/>
              <w:left w:w="75" w:type="dxa"/>
              <w:bottom w:w="75" w:type="dxa"/>
              <w:right w:w="75" w:type="dxa"/>
            </w:tcMar>
          </w:tcPr>
          <w:p>
            <w:pPr>
              <w:spacing w:after="40" w:before="40"/>
            </w:pPr>
            <w:r>
              <w:rPr>
                <w:sz w:val="16"/>
              </w:rPr>
              <w:t>RQ2: How does coverage compare with fair baselines?</w:t>
            </w:r>
          </w:p>
        </w:tc>
        <w:tc>
          <w:tcPr>
            <w:tcW w:type="dxa" w:w="4882"/>
            <w:vAlign w:val="center"/>
            <w:tcMar>
              <w:top w:w="75" w:type="dxa"/>
              <w:left w:w="75" w:type="dxa"/>
              <w:bottom w:w="75" w:type="dxa"/>
              <w:right w:w="75" w:type="dxa"/>
            </w:tcMar>
          </w:tcPr>
          <w:p>
            <w:pPr>
              <w:spacing w:after="40" w:before="40"/>
            </w:pPr>
            <w:r>
              <w:rPr>
                <w:sz w:val="16"/>
              </w:rPr>
              <w:t>Compare equal initial 10-scenario budgets, but also disclose differences in simulation cycles; balanced-directed achieved 100%.</w:t>
            </w:r>
          </w:p>
        </w:tc>
      </w:tr>
      <w:tr>
        <w:tc>
          <w:tcPr>
            <w:tcW w:type="dxa" w:w="4882"/>
            <w:vAlign w:val="center"/>
            <w:tcMar>
              <w:top w:w="75" w:type="dxa"/>
              <w:left w:w="75" w:type="dxa"/>
              <w:bottom w:w="75" w:type="dxa"/>
              <w:right w:w="75" w:type="dxa"/>
            </w:tcMar>
          </w:tcPr>
          <w:p>
            <w:pPr>
              <w:spacing w:after="40" w:before="40"/>
            </w:pPr>
            <w:r>
              <w:rPr>
                <w:sz w:val="16"/>
              </w:rPr>
              <w:t>RQ3: Do tests detect faults?</w:t>
            </w:r>
          </w:p>
        </w:tc>
        <w:tc>
          <w:tcPr>
            <w:tcW w:type="dxa" w:w="4882"/>
            <w:vAlign w:val="center"/>
            <w:tcMar>
              <w:top w:w="75" w:type="dxa"/>
              <w:left w:w="75" w:type="dxa"/>
              <w:bottom w:w="75" w:type="dxa"/>
              <w:right w:w="75" w:type="dxa"/>
            </w:tcMar>
          </w:tcPr>
          <w:p>
            <w:pPr>
              <w:spacing w:after="40" w:before="40"/>
            </w:pPr>
            <w:r>
              <w:rPr>
                <w:sz w:val="16"/>
              </w:rPr>
              <w:t>14 chosen fault operators, four CPBs, corrected reset-cycle oracle; AI and balanced-directed each killed all 14.</w:t>
            </w:r>
          </w:p>
        </w:tc>
      </w:tr>
      <w:tr>
        <w:tc>
          <w:tcPr>
            <w:tcW w:type="dxa" w:w="4882"/>
            <w:vAlign w:val="center"/>
            <w:tcMar>
              <w:top w:w="75" w:type="dxa"/>
              <w:left w:w="75" w:type="dxa"/>
              <w:bottom w:w="75" w:type="dxa"/>
              <w:right w:w="75" w:type="dxa"/>
            </w:tcMar>
          </w:tcPr>
          <w:p>
            <w:pPr>
              <w:spacing w:after="40" w:before="40"/>
            </w:pPr>
            <w:r>
              <w:rPr>
                <w:sz w:val="16"/>
              </w:rPr>
              <w:t>RQ4: Does feedback close a measured gap?</w:t>
            </w:r>
          </w:p>
        </w:tc>
        <w:tc>
          <w:tcPr>
            <w:tcW w:type="dxa" w:w="4882"/>
            <w:vAlign w:val="center"/>
            <w:tcMar>
              <w:top w:w="75" w:type="dxa"/>
              <w:left w:w="75" w:type="dxa"/>
              <w:bottom w:w="75" w:type="dxa"/>
              <w:right w:w="75" w:type="dxa"/>
            </w:tcMar>
          </w:tcPr>
          <w:p>
            <w:pPr>
              <w:spacing w:after="40" w:before="40"/>
            </w:pPr>
            <w:r>
              <w:rPr>
                <w:sz w:val="16"/>
              </w:rPr>
              <w:t>Trial 5 edge_81 was 90%; one explicit Hermes follow-up plus a matched directed follow-up each reached 100%.</w:t>
            </w:r>
          </w:p>
        </w:tc>
      </w:tr>
      <w:tr>
        <w:tc>
          <w:tcPr>
            <w:tcW w:type="dxa" w:w="4882"/>
            <w:vAlign w:val="center"/>
            <w:tcMar>
              <w:top w:w="75" w:type="dxa"/>
              <w:left w:w="75" w:type="dxa"/>
              <w:bottom w:w="75" w:type="dxa"/>
              <w:right w:w="75" w:type="dxa"/>
            </w:tcMar>
          </w:tcPr>
          <w:p>
            <w:pPr>
              <w:spacing w:after="40" w:before="40"/>
            </w:pPr>
            <w:r>
              <w:rPr>
                <w:sz w:val="16"/>
              </w:rPr>
              <w:t>RQ5: Does UART implementation efficiency improve?</w:t>
            </w:r>
          </w:p>
        </w:tc>
        <w:tc>
          <w:tcPr>
            <w:tcW w:type="dxa" w:w="4882"/>
            <w:vAlign w:val="center"/>
            <w:tcMar>
              <w:top w:w="75" w:type="dxa"/>
              <w:left w:w="75" w:type="dxa"/>
              <w:bottom w:w="75" w:type="dxa"/>
              <w:right w:w="75" w:type="dxa"/>
            </w:tcMar>
          </w:tcPr>
          <w:p>
            <w:pPr>
              <w:spacing w:after="40" w:before="40"/>
            </w:pPr>
            <w:r>
              <w:rPr>
                <w:sz w:val="16"/>
              </w:rPr>
              <w:t>Archived pre-layout mapped architecture comparison is separate from verification AI: best hybrid lowered area and estimated power.</w:t>
            </w:r>
          </w:p>
        </w:tc>
      </w:tr>
    </w:tbl>
    <w:p>
      <w:pPr>
        <w:pStyle w:val="SmallCaption"/>
      </w:pPr>
      <w:r>
        <w:t>Evidence basis: accepted WSL terminal logs. The supplied project does not establish results on independent third-party RTL designs.</w:t>
      </w:r>
    </w:p>
    <w:p>
      <w:pPr>
        <w:pStyle w:val="Heading1"/>
      </w:pPr>
      <w:r>
        <w:t>2. Verified quantitative evidence</w:t>
      </w:r>
    </w:p>
    <w:p>
      <w:pPr>
        <w:pStyle w:val="Heading2"/>
      </w:pPr>
      <w:r>
        <w:t>2.1 Functional coverage and independent repetitions</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tcMar>
              <w:top w:w="75" w:type="dxa"/>
              <w:left w:w="75" w:type="dxa"/>
              <w:bottom w:w="75" w:type="dxa"/>
              <w:right w:w="75" w:type="dxa"/>
            </w:tcMar>
            <w:shd w:fill="EAF4F6"/>
          </w:tcPr>
          <w:p>
            <w:r>
              <w:rPr>
                <w:b/>
                <w:sz w:val="16"/>
              </w:rPr>
              <w:t>Method</w:t>
            </w:r>
          </w:p>
        </w:tc>
        <w:tc>
          <w:tcPr>
            <w:tcW w:type="dxa" w:w="2441"/>
            <w:tcMar>
              <w:top w:w="75" w:type="dxa"/>
              <w:left w:w="75" w:type="dxa"/>
              <w:bottom w:w="75" w:type="dxa"/>
              <w:right w:w="75" w:type="dxa"/>
            </w:tcMar>
            <w:shd w:fill="EAF4F6"/>
          </w:tcPr>
          <w:p>
            <w:r>
              <w:rPr>
                <w:b/>
                <w:sz w:val="16"/>
              </w:rPr>
              <w:t>Runs</w:t>
            </w:r>
          </w:p>
        </w:tc>
        <w:tc>
          <w:tcPr>
            <w:tcW w:type="dxa" w:w="2441"/>
            <w:tcMar>
              <w:top w:w="75" w:type="dxa"/>
              <w:left w:w="75" w:type="dxa"/>
              <w:bottom w:w="75" w:type="dxa"/>
              <w:right w:w="75" w:type="dxa"/>
            </w:tcMar>
            <w:shd w:fill="EAF4F6"/>
          </w:tcPr>
          <w:p>
            <w:r>
              <w:rPr>
                <w:b/>
                <w:sz w:val="16"/>
              </w:rPr>
              <w:t>10-bin coverage</w:t>
            </w:r>
          </w:p>
        </w:tc>
        <w:tc>
          <w:tcPr>
            <w:tcW w:type="dxa" w:w="2441"/>
            <w:tcMar>
              <w:top w:w="75" w:type="dxa"/>
              <w:left w:w="75" w:type="dxa"/>
              <w:bottom w:w="75" w:type="dxa"/>
              <w:right w:w="75" w:type="dxa"/>
            </w:tcMar>
            <w:shd w:fill="EAF4F6"/>
          </w:tcPr>
          <w:p>
            <w:r>
              <w:rPr>
                <w:b/>
                <w:sz w:val="16"/>
              </w:rPr>
              <w:t>Important qualifier</w:t>
            </w:r>
          </w:p>
        </w:tc>
      </w:tr>
      <w:tr>
        <w:tc>
          <w:tcPr>
            <w:tcW w:type="dxa" w:w="2441"/>
            <w:vAlign w:val="center"/>
            <w:tcMar>
              <w:top w:w="75" w:type="dxa"/>
              <w:left w:w="75" w:type="dxa"/>
              <w:bottom w:w="75" w:type="dxa"/>
              <w:right w:w="75" w:type="dxa"/>
            </w:tcMar>
          </w:tcPr>
          <w:p>
            <w:pPr>
              <w:spacing w:after="40" w:before="40"/>
            </w:pPr>
            <w:r>
              <w:rPr>
                <w:sz w:val="16"/>
              </w:rPr>
              <w:t>Payload-only random</w:t>
            </w:r>
          </w:p>
        </w:tc>
        <w:tc>
          <w:tcPr>
            <w:tcW w:type="dxa" w:w="2441"/>
            <w:vAlign w:val="center"/>
            <w:tcMar>
              <w:top w:w="75" w:type="dxa"/>
              <w:left w:w="75" w:type="dxa"/>
              <w:bottom w:w="75" w:type="dxa"/>
              <w:right w:w="75" w:type="dxa"/>
            </w:tcMar>
          </w:tcPr>
          <w:p>
            <w:pPr>
              <w:spacing w:after="40" w:before="40"/>
            </w:pPr>
            <w:r>
              <w:rPr>
                <w:sz w:val="16"/>
              </w:rPr>
              <w:t>10 seeds</w:t>
            </w:r>
          </w:p>
        </w:tc>
        <w:tc>
          <w:tcPr>
            <w:tcW w:type="dxa" w:w="2441"/>
            <w:vAlign w:val="center"/>
            <w:tcMar>
              <w:top w:w="75" w:type="dxa"/>
              <w:left w:w="75" w:type="dxa"/>
              <w:bottom w:w="75" w:type="dxa"/>
              <w:right w:w="75" w:type="dxa"/>
            </w:tcMar>
          </w:tcPr>
          <w:p>
            <w:pPr>
              <w:spacing w:after="40" w:before="40"/>
            </w:pPr>
            <w:r>
              <w:rPr>
                <w:sz w:val="16"/>
              </w:rPr>
              <w:t>Mean 13%; range 10–30%</w:t>
            </w:r>
          </w:p>
        </w:tc>
        <w:tc>
          <w:tcPr>
            <w:tcW w:type="dxa" w:w="2441"/>
            <w:vAlign w:val="center"/>
            <w:tcMar>
              <w:top w:w="75" w:type="dxa"/>
              <w:left w:w="75" w:type="dxa"/>
              <w:bottom w:w="75" w:type="dxa"/>
              <w:right w:w="75" w:type="dxa"/>
            </w:tcMar>
          </w:tcPr>
          <w:p>
            <w:pPr>
              <w:spacing w:after="40" w:before="40"/>
            </w:pPr>
            <w:r>
              <w:rPr>
                <w:sz w:val="16"/>
              </w:rPr>
              <w:t>Weak baseline; mostly loopback stimuli</w:t>
            </w:r>
          </w:p>
        </w:tc>
      </w:tr>
      <w:tr>
        <w:tc>
          <w:tcPr>
            <w:tcW w:type="dxa" w:w="2441"/>
            <w:vAlign w:val="center"/>
            <w:tcMar>
              <w:top w:w="75" w:type="dxa"/>
              <w:left w:w="75" w:type="dxa"/>
              <w:bottom w:w="75" w:type="dxa"/>
              <w:right w:w="75" w:type="dxa"/>
            </w:tcMar>
          </w:tcPr>
          <w:p>
            <w:pPr>
              <w:spacing w:after="40" w:before="40"/>
            </w:pPr>
            <w:r>
              <w:rPr>
                <w:sz w:val="16"/>
              </w:rPr>
              <w:t>Protocol-aware random</w:t>
            </w:r>
          </w:p>
        </w:tc>
        <w:tc>
          <w:tcPr>
            <w:tcW w:type="dxa" w:w="2441"/>
            <w:vAlign w:val="center"/>
            <w:tcMar>
              <w:top w:w="75" w:type="dxa"/>
              <w:left w:w="75" w:type="dxa"/>
              <w:bottom w:w="75" w:type="dxa"/>
              <w:right w:w="75" w:type="dxa"/>
            </w:tcMar>
          </w:tcPr>
          <w:p>
            <w:pPr>
              <w:spacing w:after="40" w:before="40"/>
            </w:pPr>
            <w:r>
              <w:rPr>
                <w:sz w:val="16"/>
              </w:rPr>
              <w:t>10 seeds</w:t>
            </w:r>
          </w:p>
        </w:tc>
        <w:tc>
          <w:tcPr>
            <w:tcW w:type="dxa" w:w="2441"/>
            <w:vAlign w:val="center"/>
            <w:tcMar>
              <w:top w:w="75" w:type="dxa"/>
              <w:left w:w="75" w:type="dxa"/>
              <w:bottom w:w="75" w:type="dxa"/>
              <w:right w:w="75" w:type="dxa"/>
            </w:tcMar>
          </w:tcPr>
          <w:p>
            <w:pPr>
              <w:spacing w:after="40" w:before="40"/>
            </w:pPr>
            <w:r>
              <w:rPr>
                <w:sz w:val="16"/>
              </w:rPr>
              <w:t>Mean 69%; range 50–80%</w:t>
            </w:r>
          </w:p>
        </w:tc>
        <w:tc>
          <w:tcPr>
            <w:tcW w:type="dxa" w:w="2441"/>
            <w:vAlign w:val="center"/>
            <w:tcMar>
              <w:top w:w="75" w:type="dxa"/>
              <w:left w:w="75" w:type="dxa"/>
              <w:bottom w:w="75" w:type="dxa"/>
              <w:right w:w="75" w:type="dxa"/>
            </w:tcMar>
          </w:tcPr>
          <w:p>
            <w:pPr>
              <w:spacing w:after="40" w:before="40"/>
            </w:pPr>
            <w:r>
              <w:rPr>
                <w:sz w:val="16"/>
              </w:rPr>
              <w:t>Stronger generated protocol scenarios</w:t>
            </w:r>
          </w:p>
        </w:tc>
      </w:tr>
      <w:tr>
        <w:tc>
          <w:tcPr>
            <w:tcW w:type="dxa" w:w="2441"/>
            <w:vAlign w:val="center"/>
            <w:tcMar>
              <w:top w:w="75" w:type="dxa"/>
              <w:left w:w="75" w:type="dxa"/>
              <w:bottom w:w="75" w:type="dxa"/>
              <w:right w:w="75" w:type="dxa"/>
            </w:tcMar>
          </w:tcPr>
          <w:p>
            <w:pPr>
              <w:spacing w:after="40" w:before="40"/>
            </w:pPr>
            <w:r>
              <w:rPr>
                <w:sz w:val="16"/>
              </w:rPr>
              <w:t>Balanced directed</w:t>
            </w:r>
          </w:p>
        </w:tc>
        <w:tc>
          <w:tcPr>
            <w:tcW w:type="dxa" w:w="2441"/>
            <w:vAlign w:val="center"/>
            <w:tcMar>
              <w:top w:w="75" w:type="dxa"/>
              <w:left w:w="75" w:type="dxa"/>
              <w:bottom w:w="75" w:type="dxa"/>
              <w:right w:w="75" w:type="dxa"/>
            </w:tcMar>
          </w:tcPr>
          <w:p>
            <w:pPr>
              <w:spacing w:after="40" w:before="40"/>
            </w:pPr>
            <w:r>
              <w:rPr>
                <w:sz w:val="16"/>
              </w:rPr>
              <w:t>1 suite</w:t>
            </w:r>
          </w:p>
        </w:tc>
        <w:tc>
          <w:tcPr>
            <w:tcW w:type="dxa" w:w="2441"/>
            <w:vAlign w:val="center"/>
            <w:tcMar>
              <w:top w:w="75" w:type="dxa"/>
              <w:left w:w="75" w:type="dxa"/>
              <w:bottom w:w="75" w:type="dxa"/>
              <w:right w:w="75" w:type="dxa"/>
            </w:tcMar>
          </w:tcPr>
          <w:p>
            <w:pPr>
              <w:spacing w:after="40" w:before="40"/>
            </w:pPr>
            <w:r>
              <w:rPr>
                <w:sz w:val="16"/>
              </w:rPr>
              <w:t>100%</w:t>
            </w:r>
          </w:p>
        </w:tc>
        <w:tc>
          <w:tcPr>
            <w:tcW w:type="dxa" w:w="2441"/>
            <w:vAlign w:val="center"/>
            <w:tcMar>
              <w:top w:w="75" w:type="dxa"/>
              <w:left w:w="75" w:type="dxa"/>
              <w:bottom w:w="75" w:type="dxa"/>
              <w:right w:w="75" w:type="dxa"/>
            </w:tcMar>
          </w:tcPr>
          <w:p>
            <w:pPr>
              <w:spacing w:after="40" w:before="40"/>
            </w:pPr>
            <w:r>
              <w:rPr>
                <w:sz w:val="16"/>
              </w:rPr>
              <w:t>A well-designed suite matches AI</w:t>
            </w:r>
          </w:p>
        </w:tc>
      </w:tr>
      <w:tr>
        <w:tc>
          <w:tcPr>
            <w:tcW w:type="dxa" w:w="2441"/>
            <w:vAlign w:val="center"/>
            <w:tcMar>
              <w:top w:w="75" w:type="dxa"/>
              <w:left w:w="75" w:type="dxa"/>
              <w:bottom w:w="75" w:type="dxa"/>
              <w:right w:w="75" w:type="dxa"/>
            </w:tcMar>
          </w:tcPr>
          <w:p>
            <w:pPr>
              <w:spacing w:after="40" w:before="40"/>
            </w:pPr>
            <w:r>
              <w:rPr>
                <w:sz w:val="16"/>
              </w:rPr>
              <w:t>Fresh Hermes</w:t>
            </w:r>
          </w:p>
        </w:tc>
        <w:tc>
          <w:tcPr>
            <w:tcW w:type="dxa" w:w="2441"/>
            <w:vAlign w:val="center"/>
            <w:tcMar>
              <w:top w:w="75" w:type="dxa"/>
              <w:left w:w="75" w:type="dxa"/>
              <w:bottom w:w="75" w:type="dxa"/>
              <w:right w:w="75" w:type="dxa"/>
            </w:tcMar>
          </w:tcPr>
          <w:p>
            <w:pPr>
              <w:spacing w:after="40" w:before="40"/>
            </w:pPr>
            <w:r>
              <w:rPr>
                <w:sz w:val="16"/>
              </w:rPr>
              <w:t>5 independent calls</w:t>
            </w:r>
          </w:p>
        </w:tc>
        <w:tc>
          <w:tcPr>
            <w:tcW w:type="dxa" w:w="2441"/>
            <w:vAlign w:val="center"/>
            <w:tcMar>
              <w:top w:w="75" w:type="dxa"/>
              <w:left w:w="75" w:type="dxa"/>
              <w:bottom w:w="75" w:type="dxa"/>
              <w:right w:w="75" w:type="dxa"/>
            </w:tcMar>
          </w:tcPr>
          <w:p>
            <w:pPr>
              <w:spacing w:after="40" w:before="40"/>
            </w:pPr>
            <w:r>
              <w:rPr>
                <w:sz w:val="16"/>
              </w:rPr>
              <w:t>Mean 98%; range 90–100%; 4/5 full</w:t>
            </w:r>
          </w:p>
        </w:tc>
        <w:tc>
          <w:tcPr>
            <w:tcW w:type="dxa" w:w="2441"/>
            <w:vAlign w:val="center"/>
            <w:tcMar>
              <w:top w:w="75" w:type="dxa"/>
              <w:left w:w="75" w:type="dxa"/>
              <w:bottom w:w="75" w:type="dxa"/>
              <w:right w:w="75" w:type="dxa"/>
            </w:tcMar>
          </w:tcPr>
          <w:p>
            <w:pPr>
              <w:spacing w:after="40" w:before="40"/>
            </w:pPr>
            <w:r>
              <w:rPr>
                <w:sz w:val="16"/>
              </w:rPr>
              <w:t>Five distinct scenario sequences; one 90% result</w:t>
            </w:r>
          </w:p>
        </w:tc>
      </w:tr>
      <w:tr>
        <w:tc>
          <w:tcPr>
            <w:tcW w:type="dxa" w:w="2441"/>
            <w:vAlign w:val="center"/>
            <w:tcMar>
              <w:top w:w="75" w:type="dxa"/>
              <w:left w:w="75" w:type="dxa"/>
              <w:bottom w:w="75" w:type="dxa"/>
              <w:right w:w="75" w:type="dxa"/>
            </w:tcMar>
          </w:tcPr>
          <w:p>
            <w:pPr>
              <w:spacing w:after="40" w:before="40"/>
            </w:pPr>
            <w:r>
              <w:rPr>
                <w:sz w:val="16"/>
              </w:rPr>
              <w:t>Original Hermes</w:t>
            </w:r>
          </w:p>
        </w:tc>
        <w:tc>
          <w:tcPr>
            <w:tcW w:type="dxa" w:w="2441"/>
            <w:vAlign w:val="center"/>
            <w:tcMar>
              <w:top w:w="75" w:type="dxa"/>
              <w:left w:w="75" w:type="dxa"/>
              <w:bottom w:w="75" w:type="dxa"/>
              <w:right w:w="75" w:type="dxa"/>
            </w:tcMar>
          </w:tcPr>
          <w:p>
            <w:pPr>
              <w:spacing w:after="40" w:before="40"/>
            </w:pPr>
            <w:r>
              <w:rPr>
                <w:sz w:val="16"/>
              </w:rPr>
              <w:t>1 call</w:t>
            </w:r>
          </w:p>
        </w:tc>
        <w:tc>
          <w:tcPr>
            <w:tcW w:type="dxa" w:w="2441"/>
            <w:vAlign w:val="center"/>
            <w:tcMar>
              <w:top w:w="75" w:type="dxa"/>
              <w:left w:w="75" w:type="dxa"/>
              <w:bottom w:w="75" w:type="dxa"/>
              <w:right w:w="75" w:type="dxa"/>
            </w:tcMar>
          </w:tcPr>
          <w:p>
            <w:pPr>
              <w:spacing w:after="40" w:before="40"/>
            </w:pPr>
            <w:r>
              <w:rPr>
                <w:sz w:val="16"/>
              </w:rPr>
              <w:t>100%</w:t>
            </w:r>
          </w:p>
        </w:tc>
        <w:tc>
          <w:tcPr>
            <w:tcW w:type="dxa" w:w="2441"/>
            <w:vAlign w:val="center"/>
            <w:tcMar>
              <w:top w:w="75" w:type="dxa"/>
              <w:left w:w="75" w:type="dxa"/>
              <w:bottom w:w="75" w:type="dxa"/>
              <w:right w:w="75" w:type="dxa"/>
            </w:tcMar>
          </w:tcPr>
          <w:p>
            <w:pPr>
              <w:spacing w:after="40" w:before="40"/>
            </w:pPr>
            <w:r>
              <w:rPr>
                <w:sz w:val="16"/>
              </w:rPr>
              <w:t>Separate archived evidence</w:t>
            </w:r>
          </w:p>
        </w:tc>
      </w:tr>
    </w:tbl>
    <w:p>
      <w:r>
        <w:t>All five fresh Hermes trials produced valid scenario sets and passed 20 total Icarus runs across CPB 8/16/32/64, with 182,040 reported checks and no failures. Fresh model calls should not be equated with statistically independent samples unless provider/model settings and sampling controls are recorded.</w:t>
      </w:r>
    </w:p>
    <w:p>
      <w:pPr>
        <w:pStyle w:val="Heading2"/>
      </w:pPr>
      <w:r>
        <w:t>2.2 Corrected checker and mutation sensitivity</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Mar>
              <w:top w:w="75" w:type="dxa"/>
              <w:left w:w="75" w:type="dxa"/>
              <w:bottom w:w="75" w:type="dxa"/>
              <w:right w:w="75" w:type="dxa"/>
            </w:tcMar>
            <w:shd w:fill="EAF4F6"/>
          </w:tcPr>
          <w:p>
            <w:r>
              <w:rPr>
                <w:b/>
                <w:sz w:val="16"/>
              </w:rPr>
              <w:t>Verification method</w:t>
            </w:r>
          </w:p>
        </w:tc>
        <w:tc>
          <w:tcPr>
            <w:tcW w:type="dxa" w:w="3255"/>
            <w:tcMar>
              <w:top w:w="75" w:type="dxa"/>
              <w:left w:w="75" w:type="dxa"/>
              <w:bottom w:w="75" w:type="dxa"/>
              <w:right w:w="75" w:type="dxa"/>
            </w:tcMar>
            <w:shd w:fill="EAF4F6"/>
          </w:tcPr>
          <w:p>
            <w:r>
              <w:rPr>
                <w:b/>
                <w:sz w:val="16"/>
              </w:rPr>
              <w:t>Old checker</w:t>
            </w:r>
          </w:p>
        </w:tc>
        <w:tc>
          <w:tcPr>
            <w:tcW w:type="dxa" w:w="3255"/>
            <w:tcMar>
              <w:top w:w="75" w:type="dxa"/>
              <w:left w:w="75" w:type="dxa"/>
              <w:bottom w:w="75" w:type="dxa"/>
              <w:right w:w="75" w:type="dxa"/>
            </w:tcMar>
            <w:shd w:fill="EAF4F6"/>
          </w:tcPr>
          <w:p>
            <w:r>
              <w:rPr>
                <w:b/>
                <w:sz w:val="16"/>
              </w:rPr>
              <w:t>Corrected checker</w:t>
            </w:r>
          </w:p>
        </w:tc>
      </w:tr>
      <w:tr>
        <w:tc>
          <w:tcPr>
            <w:tcW w:type="dxa" w:w="3255"/>
            <w:vAlign w:val="center"/>
            <w:tcMar>
              <w:top w:w="75" w:type="dxa"/>
              <w:left w:w="75" w:type="dxa"/>
              <w:bottom w:w="75" w:type="dxa"/>
              <w:right w:w="75" w:type="dxa"/>
            </w:tcMar>
          </w:tcPr>
          <w:p>
            <w:pPr>
              <w:spacing w:after="40" w:before="40"/>
            </w:pPr>
            <w:r>
              <w:rPr>
                <w:sz w:val="16"/>
              </w:rPr>
              <w:t>Hermes AI (five fresh suites)</w:t>
            </w:r>
          </w:p>
        </w:tc>
        <w:tc>
          <w:tcPr>
            <w:tcW w:type="dxa" w:w="3255"/>
            <w:vAlign w:val="center"/>
            <w:tcMar>
              <w:top w:w="75" w:type="dxa"/>
              <w:left w:w="75" w:type="dxa"/>
              <w:bottom w:w="75" w:type="dxa"/>
              <w:right w:w="75" w:type="dxa"/>
            </w:tcMar>
          </w:tcPr>
          <w:p>
            <w:pPr>
              <w:spacing w:after="40" w:before="40"/>
            </w:pPr>
            <w:r>
              <w:rPr>
                <w:sz w:val="16"/>
              </w:rPr>
              <w:t>92.86%</w:t>
            </w:r>
          </w:p>
        </w:tc>
        <w:tc>
          <w:tcPr>
            <w:tcW w:type="dxa" w:w="3255"/>
            <w:vAlign w:val="center"/>
            <w:tcMar>
              <w:top w:w="75" w:type="dxa"/>
              <w:left w:w="75" w:type="dxa"/>
              <w:bottom w:w="75" w:type="dxa"/>
              <w:right w:w="75" w:type="dxa"/>
            </w:tcMar>
          </w:tcPr>
          <w:p>
            <w:pPr>
              <w:spacing w:after="40" w:before="40"/>
            </w:pPr>
            <w:r>
              <w:rPr>
                <w:sz w:val="16"/>
              </w:rPr>
              <w:t>100.00%</w:t>
            </w:r>
          </w:p>
        </w:tc>
      </w:tr>
      <w:tr>
        <w:tc>
          <w:tcPr>
            <w:tcW w:type="dxa" w:w="3255"/>
            <w:vAlign w:val="center"/>
            <w:tcMar>
              <w:top w:w="75" w:type="dxa"/>
              <w:left w:w="75" w:type="dxa"/>
              <w:bottom w:w="75" w:type="dxa"/>
              <w:right w:w="75" w:type="dxa"/>
            </w:tcMar>
          </w:tcPr>
          <w:p>
            <w:pPr>
              <w:spacing w:after="40" w:before="40"/>
            </w:pPr>
            <w:r>
              <w:rPr>
                <w:sz w:val="16"/>
              </w:rPr>
              <w:t>Hermes archived</w:t>
            </w:r>
          </w:p>
        </w:tc>
        <w:tc>
          <w:tcPr>
            <w:tcW w:type="dxa" w:w="3255"/>
            <w:vAlign w:val="center"/>
            <w:tcMar>
              <w:top w:w="75" w:type="dxa"/>
              <w:left w:w="75" w:type="dxa"/>
              <w:bottom w:w="75" w:type="dxa"/>
              <w:right w:w="75" w:type="dxa"/>
            </w:tcMar>
          </w:tcPr>
          <w:p>
            <w:pPr>
              <w:spacing w:after="40" w:before="40"/>
            </w:pPr>
            <w:r>
              <w:rPr>
                <w:sz w:val="16"/>
              </w:rPr>
              <w:t>92.86%</w:t>
            </w:r>
          </w:p>
        </w:tc>
        <w:tc>
          <w:tcPr>
            <w:tcW w:type="dxa" w:w="3255"/>
            <w:vAlign w:val="center"/>
            <w:tcMar>
              <w:top w:w="75" w:type="dxa"/>
              <w:left w:w="75" w:type="dxa"/>
              <w:bottom w:w="75" w:type="dxa"/>
              <w:right w:w="75" w:type="dxa"/>
            </w:tcMar>
          </w:tcPr>
          <w:p>
            <w:pPr>
              <w:spacing w:after="40" w:before="40"/>
            </w:pPr>
            <w:r>
              <w:rPr>
                <w:sz w:val="16"/>
              </w:rPr>
              <w:t>100.00%</w:t>
            </w:r>
          </w:p>
        </w:tc>
      </w:tr>
      <w:tr>
        <w:tc>
          <w:tcPr>
            <w:tcW w:type="dxa" w:w="3255"/>
            <w:vAlign w:val="center"/>
            <w:tcMar>
              <w:top w:w="75" w:type="dxa"/>
              <w:left w:w="75" w:type="dxa"/>
              <w:bottom w:w="75" w:type="dxa"/>
              <w:right w:w="75" w:type="dxa"/>
            </w:tcMar>
          </w:tcPr>
          <w:p>
            <w:pPr>
              <w:spacing w:after="40" w:before="40"/>
            </w:pPr>
            <w:r>
              <w:rPr>
                <w:sz w:val="16"/>
              </w:rPr>
              <w:t>Balanced directed</w:t>
            </w:r>
          </w:p>
        </w:tc>
        <w:tc>
          <w:tcPr>
            <w:tcW w:type="dxa" w:w="3255"/>
            <w:vAlign w:val="center"/>
            <w:tcMar>
              <w:top w:w="75" w:type="dxa"/>
              <w:left w:w="75" w:type="dxa"/>
              <w:bottom w:w="75" w:type="dxa"/>
              <w:right w:w="75" w:type="dxa"/>
            </w:tcMar>
          </w:tcPr>
          <w:p>
            <w:pPr>
              <w:spacing w:after="40" w:before="40"/>
            </w:pPr>
            <w:r>
              <w:rPr>
                <w:sz w:val="16"/>
              </w:rPr>
              <w:t>92.86%</w:t>
            </w:r>
          </w:p>
        </w:tc>
        <w:tc>
          <w:tcPr>
            <w:tcW w:type="dxa" w:w="3255"/>
            <w:vAlign w:val="center"/>
            <w:tcMar>
              <w:top w:w="75" w:type="dxa"/>
              <w:left w:w="75" w:type="dxa"/>
              <w:bottom w:w="75" w:type="dxa"/>
              <w:right w:w="75" w:type="dxa"/>
            </w:tcMar>
          </w:tcPr>
          <w:p>
            <w:pPr>
              <w:spacing w:after="40" w:before="40"/>
            </w:pPr>
            <w:r>
              <w:rPr>
                <w:sz w:val="16"/>
              </w:rPr>
              <w:t>100.00%</w:t>
            </w:r>
          </w:p>
        </w:tc>
      </w:tr>
      <w:tr>
        <w:tc>
          <w:tcPr>
            <w:tcW w:type="dxa" w:w="3255"/>
            <w:vAlign w:val="center"/>
            <w:tcMar>
              <w:top w:w="75" w:type="dxa"/>
              <w:left w:w="75" w:type="dxa"/>
              <w:bottom w:w="75" w:type="dxa"/>
              <w:right w:w="75" w:type="dxa"/>
            </w:tcMar>
          </w:tcPr>
          <w:p>
            <w:pPr>
              <w:spacing w:after="40" w:before="40"/>
            </w:pPr>
            <w:r>
              <w:rPr>
                <w:sz w:val="16"/>
              </w:rPr>
              <w:t>Protocol-aware random (10)</w:t>
            </w:r>
          </w:p>
        </w:tc>
        <w:tc>
          <w:tcPr>
            <w:tcW w:type="dxa" w:w="3255"/>
            <w:vAlign w:val="center"/>
            <w:tcMar>
              <w:top w:w="75" w:type="dxa"/>
              <w:left w:w="75" w:type="dxa"/>
              <w:bottom w:w="75" w:type="dxa"/>
              <w:right w:w="75" w:type="dxa"/>
            </w:tcMar>
          </w:tcPr>
          <w:p>
            <w:pPr>
              <w:spacing w:after="40" w:before="40"/>
            </w:pPr>
            <w:r>
              <w:rPr>
                <w:sz w:val="16"/>
              </w:rPr>
              <w:t>77.14%</w:t>
            </w:r>
          </w:p>
        </w:tc>
        <w:tc>
          <w:tcPr>
            <w:tcW w:type="dxa" w:w="3255"/>
            <w:vAlign w:val="center"/>
            <w:tcMar>
              <w:top w:w="75" w:type="dxa"/>
              <w:left w:w="75" w:type="dxa"/>
              <w:bottom w:w="75" w:type="dxa"/>
              <w:right w:w="75" w:type="dxa"/>
            </w:tcMar>
          </w:tcPr>
          <w:p>
            <w:pPr>
              <w:spacing w:after="40" w:before="40"/>
            </w:pPr>
            <w:r>
              <w:rPr>
                <w:sz w:val="16"/>
              </w:rPr>
              <w:t>81.43%</w:t>
            </w:r>
          </w:p>
        </w:tc>
      </w:tr>
      <w:tr>
        <w:tc>
          <w:tcPr>
            <w:tcW w:type="dxa" w:w="3255"/>
            <w:vAlign w:val="center"/>
            <w:tcMar>
              <w:top w:w="75" w:type="dxa"/>
              <w:left w:w="75" w:type="dxa"/>
              <w:bottom w:w="75" w:type="dxa"/>
              <w:right w:w="75" w:type="dxa"/>
            </w:tcMar>
          </w:tcPr>
          <w:p>
            <w:pPr>
              <w:spacing w:after="40" w:before="40"/>
            </w:pPr>
            <w:r>
              <w:rPr>
                <w:sz w:val="16"/>
              </w:rPr>
              <w:t>Payload-only random (10)</w:t>
            </w:r>
          </w:p>
        </w:tc>
        <w:tc>
          <w:tcPr>
            <w:tcW w:type="dxa" w:w="3255"/>
            <w:vAlign w:val="center"/>
            <w:tcMar>
              <w:top w:w="75" w:type="dxa"/>
              <w:left w:w="75" w:type="dxa"/>
              <w:bottom w:w="75" w:type="dxa"/>
              <w:right w:w="75" w:type="dxa"/>
            </w:tcMar>
          </w:tcPr>
          <w:p>
            <w:pPr>
              <w:spacing w:after="40" w:before="40"/>
            </w:pPr>
            <w:r>
              <w:rPr>
                <w:sz w:val="16"/>
              </w:rPr>
              <w:t>50.71%</w:t>
            </w:r>
          </w:p>
        </w:tc>
        <w:tc>
          <w:tcPr>
            <w:tcW w:type="dxa" w:w="3255"/>
            <w:vAlign w:val="center"/>
            <w:tcMar>
              <w:top w:w="75" w:type="dxa"/>
              <w:left w:w="75" w:type="dxa"/>
              <w:bottom w:w="75" w:type="dxa"/>
              <w:right w:w="75" w:type="dxa"/>
            </w:tcMar>
          </w:tcPr>
          <w:p>
            <w:pPr>
              <w:spacing w:after="40" w:before="40"/>
            </w:pPr>
            <w:r>
              <w:rPr>
                <w:sz w:val="16"/>
              </w:rPr>
              <w:t>50.71%</w:t>
            </w:r>
          </w:p>
        </w:tc>
      </w:tr>
    </w:tbl>
    <w:p>
      <w:r>
        <w:t>The final corrected-oracle study passed 108 clean controls and 1,512 mutant simulations, with zero invalid runs. The previously surviving TX_RESET_BUSY_FAULT mutant exposed a reset-observability weakness in the checker; correcting the assertion changed the score without changing AI scenarios. Thus the measured gain is partly due to verification-oracle quality, not solely stimulus generation.</w:t>
      </w:r>
    </w:p>
    <w:p>
      <w:pPr>
        <w:pStyle w:val="Heading2"/>
      </w:pPr>
      <w:r>
        <w:t>2.3 Targeted feedback and architecture data</w:t>
      </w:r>
    </w:p>
    <w:p>
      <w:r>
        <w:t>For the fifth Hermes trial, the only unhit functional bin was edge_81. An additional validated Hermes-generated loopback(0x81) scenario changed coverage from 90% (10 scenarios) to 100% (11). A matched directed scenario achieved exactly the same closure. The feedback prompt disclosed both the missing bin and the deterministic loopback(129) remedy; this is feedback-loop integration, not autonomous discovery.</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Mar>
              <w:top w:w="75" w:type="dxa"/>
              <w:left w:w="75" w:type="dxa"/>
              <w:bottom w:w="75" w:type="dxa"/>
              <w:right w:w="75" w:type="dxa"/>
            </w:tcMar>
            <w:shd w:fill="EAF4F6"/>
          </w:tcPr>
          <w:p>
            <w:r>
              <w:rPr>
                <w:b/>
                <w:sz w:val="16"/>
              </w:rPr>
              <w:t>Mapped UART arrangement</w:t>
            </w:r>
          </w:p>
        </w:tc>
        <w:tc>
          <w:tcPr>
            <w:tcW w:type="dxa" w:w="3255"/>
            <w:tcMar>
              <w:top w:w="75" w:type="dxa"/>
              <w:left w:w="75" w:type="dxa"/>
              <w:bottom w:w="75" w:type="dxa"/>
              <w:right w:w="75" w:type="dxa"/>
            </w:tcMar>
            <w:shd w:fill="EAF4F6"/>
          </w:tcPr>
          <w:p>
            <w:r>
              <w:rPr>
                <w:b/>
                <w:sz w:val="16"/>
              </w:rPr>
              <w:t>Cell area (µm²)</w:t>
            </w:r>
          </w:p>
        </w:tc>
        <w:tc>
          <w:tcPr>
            <w:tcW w:type="dxa" w:w="3255"/>
            <w:tcMar>
              <w:top w:w="75" w:type="dxa"/>
              <w:left w:w="75" w:type="dxa"/>
              <w:bottom w:w="75" w:type="dxa"/>
              <w:right w:w="75" w:type="dxa"/>
            </w:tcMar>
            <w:shd w:fill="EAF4F6"/>
          </w:tcPr>
          <w:p>
            <w:r>
              <w:rPr>
                <w:b/>
                <w:sz w:val="16"/>
              </w:rPr>
              <w:t>Estimated power (µW)</w:t>
            </w:r>
          </w:p>
        </w:tc>
      </w:tr>
      <w:tr>
        <w:tc>
          <w:tcPr>
            <w:tcW w:type="dxa" w:w="3255"/>
            <w:vAlign w:val="center"/>
            <w:tcMar>
              <w:top w:w="75" w:type="dxa"/>
              <w:left w:w="75" w:type="dxa"/>
              <w:bottom w:w="75" w:type="dxa"/>
              <w:right w:w="75" w:type="dxa"/>
            </w:tcMar>
          </w:tcPr>
          <w:p>
            <w:pPr>
              <w:spacing w:after="40" w:before="40"/>
            </w:pPr>
            <w:r>
              <w:rPr>
                <w:sz w:val="16"/>
              </w:rPr>
              <w:t>Baseline TX + baseline RX</w:t>
            </w:r>
          </w:p>
        </w:tc>
        <w:tc>
          <w:tcPr>
            <w:tcW w:type="dxa" w:w="3255"/>
            <w:vAlign w:val="center"/>
            <w:tcMar>
              <w:top w:w="75" w:type="dxa"/>
              <w:left w:w="75" w:type="dxa"/>
              <w:bottom w:w="75" w:type="dxa"/>
              <w:right w:w="75" w:type="dxa"/>
            </w:tcMar>
          </w:tcPr>
          <w:p>
            <w:pPr>
              <w:spacing w:after="40" w:before="40"/>
            </w:pPr>
            <w:r>
              <w:rPr>
                <w:sz w:val="16"/>
              </w:rPr>
              <w:t>450.604</w:t>
            </w:r>
          </w:p>
        </w:tc>
        <w:tc>
          <w:tcPr>
            <w:tcW w:type="dxa" w:w="3255"/>
            <w:vAlign w:val="center"/>
            <w:tcMar>
              <w:top w:w="75" w:type="dxa"/>
              <w:left w:w="75" w:type="dxa"/>
              <w:bottom w:w="75" w:type="dxa"/>
              <w:right w:w="75" w:type="dxa"/>
            </w:tcMar>
          </w:tcPr>
          <w:p>
            <w:pPr>
              <w:spacing w:after="40" w:before="40"/>
            </w:pPr>
            <w:r>
              <w:rPr>
                <w:sz w:val="16"/>
              </w:rPr>
              <w:t>370.282</w:t>
            </w:r>
          </w:p>
        </w:tc>
      </w:tr>
      <w:tr>
        <w:tc>
          <w:tcPr>
            <w:tcW w:type="dxa" w:w="3255"/>
            <w:vAlign w:val="center"/>
            <w:tcMar>
              <w:top w:w="75" w:type="dxa"/>
              <w:left w:w="75" w:type="dxa"/>
              <w:bottom w:w="75" w:type="dxa"/>
              <w:right w:w="75" w:type="dxa"/>
            </w:tcMar>
          </w:tcPr>
          <w:p>
            <w:pPr>
              <w:spacing w:after="40" w:before="40"/>
            </w:pPr>
            <w:r>
              <w:rPr>
                <w:sz w:val="16"/>
              </w:rPr>
              <w:t>Optimized TX + optimized RX</w:t>
            </w:r>
          </w:p>
        </w:tc>
        <w:tc>
          <w:tcPr>
            <w:tcW w:type="dxa" w:w="3255"/>
            <w:vAlign w:val="center"/>
            <w:tcMar>
              <w:top w:w="75" w:type="dxa"/>
              <w:left w:w="75" w:type="dxa"/>
              <w:bottom w:w="75" w:type="dxa"/>
              <w:right w:w="75" w:type="dxa"/>
            </w:tcMar>
          </w:tcPr>
          <w:p>
            <w:pPr>
              <w:spacing w:after="40" w:before="40"/>
            </w:pPr>
            <w:r>
              <w:rPr>
                <w:sz w:val="16"/>
              </w:rPr>
              <w:t>440.230</w:t>
            </w:r>
          </w:p>
        </w:tc>
        <w:tc>
          <w:tcPr>
            <w:tcW w:type="dxa" w:w="3255"/>
            <w:vAlign w:val="center"/>
            <w:tcMar>
              <w:top w:w="75" w:type="dxa"/>
              <w:left w:w="75" w:type="dxa"/>
              <w:bottom w:w="75" w:type="dxa"/>
              <w:right w:w="75" w:type="dxa"/>
            </w:tcMar>
          </w:tcPr>
          <w:p>
            <w:pPr>
              <w:spacing w:after="40" w:before="40"/>
            </w:pPr>
            <w:r>
              <w:rPr>
                <w:sz w:val="16"/>
              </w:rPr>
              <w:t>392.761</w:t>
            </w:r>
          </w:p>
        </w:tc>
      </w:tr>
      <w:tr>
        <w:tc>
          <w:tcPr>
            <w:tcW w:type="dxa" w:w="3255"/>
            <w:vAlign w:val="center"/>
            <w:tcMar>
              <w:top w:w="75" w:type="dxa"/>
              <w:left w:w="75" w:type="dxa"/>
              <w:bottom w:w="75" w:type="dxa"/>
              <w:right w:w="75" w:type="dxa"/>
            </w:tcMar>
          </w:tcPr>
          <w:p>
            <w:pPr>
              <w:spacing w:after="40" w:before="40"/>
            </w:pPr>
            <w:r>
              <w:rPr>
                <w:sz w:val="16"/>
              </w:rPr>
              <w:t>Baseline TX + optimized RX (hybrid)</w:t>
            </w:r>
          </w:p>
        </w:tc>
        <w:tc>
          <w:tcPr>
            <w:tcW w:type="dxa" w:w="3255"/>
            <w:vAlign w:val="center"/>
            <w:tcMar>
              <w:top w:w="75" w:type="dxa"/>
              <w:left w:w="75" w:type="dxa"/>
              <w:bottom w:w="75" w:type="dxa"/>
              <w:right w:w="75" w:type="dxa"/>
            </w:tcMar>
          </w:tcPr>
          <w:p>
            <w:pPr>
              <w:spacing w:after="40" w:before="40"/>
            </w:pPr>
            <w:r>
              <w:rPr>
                <w:sz w:val="16"/>
              </w:rPr>
              <w:t>425.600</w:t>
            </w:r>
          </w:p>
        </w:tc>
        <w:tc>
          <w:tcPr>
            <w:tcW w:type="dxa" w:w="3255"/>
            <w:vAlign w:val="center"/>
            <w:tcMar>
              <w:top w:w="75" w:type="dxa"/>
              <w:left w:w="75" w:type="dxa"/>
              <w:bottom w:w="75" w:type="dxa"/>
              <w:right w:w="75" w:type="dxa"/>
            </w:tcMar>
          </w:tcPr>
          <w:p>
            <w:pPr>
              <w:spacing w:after="40" w:before="40"/>
            </w:pPr>
            <w:r>
              <w:rPr>
                <w:sz w:val="16"/>
              </w:rPr>
              <w:t>366.547</w:t>
            </w:r>
          </w:p>
        </w:tc>
      </w:tr>
    </w:tbl>
    <w:p>
      <w:r>
        <w:t>These synthesis mapping values are pre-layout estimates, not measured silicon power or an AI-created architecture improvement. The hybrid reduces area by about 5.55% and estimated power by about 1.01% versus the baseline. Results are archived separately from the AI verification evaluation.</w:t>
      </w:r>
    </w:p>
    <w:p>
      <w:pPr>
        <w:pStyle w:val="Heading1"/>
      </w:pPr>
      <w:r>
        <w:t>3. Published research and closest methodological prior art</w:t>
      </w:r>
    </w:p>
    <w:p>
      <w:r>
        <w:t>The references below were checked against IEEE/ACM/institutional, Springer and Elsevier publisher or DOI records as available by 10 October 2026. Short source descriptions are based on the public abstracts/metadata and the supplied Elsevier preview, not a full-text systematic review.</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Mar>
              <w:top w:w="75" w:type="dxa"/>
              <w:left w:w="75" w:type="dxa"/>
              <w:bottom w:w="75" w:type="dxa"/>
              <w:right w:w="75" w:type="dxa"/>
            </w:tcMar>
            <w:shd w:fill="EAF4F6"/>
          </w:tcPr>
          <w:p>
            <w:r>
              <w:rPr>
                <w:b/>
                <w:sz w:val="16"/>
              </w:rPr>
              <w:t>Study</w:t>
            </w:r>
          </w:p>
        </w:tc>
        <w:tc>
          <w:tcPr>
            <w:tcW w:type="dxa" w:w="3255"/>
            <w:tcMar>
              <w:top w:w="75" w:type="dxa"/>
              <w:left w:w="75" w:type="dxa"/>
              <w:bottom w:w="75" w:type="dxa"/>
              <w:right w:w="75" w:type="dxa"/>
            </w:tcMar>
            <w:shd w:fill="EAF4F6"/>
          </w:tcPr>
          <w:p>
            <w:r>
              <w:rPr>
                <w:b/>
                <w:sz w:val="16"/>
              </w:rPr>
              <w:t>Prior contribution</w:t>
            </w:r>
          </w:p>
        </w:tc>
        <w:tc>
          <w:tcPr>
            <w:tcW w:type="dxa" w:w="3255"/>
            <w:tcMar>
              <w:top w:w="75" w:type="dxa"/>
              <w:left w:w="75" w:type="dxa"/>
              <w:bottom w:w="75" w:type="dxa"/>
              <w:right w:w="75" w:type="dxa"/>
            </w:tcMar>
            <w:shd w:fill="EAF4F6"/>
          </w:tcPr>
          <w:p>
            <w:r>
              <w:rPr>
                <w:b/>
                <w:sz w:val="16"/>
              </w:rPr>
              <w:t>Position of this UART project</w:t>
            </w:r>
          </w:p>
        </w:tc>
      </w:tr>
      <w:tr>
        <w:tc>
          <w:tcPr>
            <w:tcW w:type="dxa" w:w="3255"/>
            <w:vAlign w:val="center"/>
            <w:tcMar>
              <w:top w:w="75" w:type="dxa"/>
              <w:left w:w="75" w:type="dxa"/>
              <w:bottom w:w="75" w:type="dxa"/>
              <w:right w:w="75" w:type="dxa"/>
            </w:tcMar>
          </w:tcPr>
          <w:p>
            <w:pPr>
              <w:spacing w:after="40" w:before="40"/>
            </w:pPr>
            <w:r>
              <w:rPr>
                <w:sz w:val="16"/>
              </w:rPr>
              <w:t>[R1] AutoBench, 2024</w:t>
            </w:r>
          </w:p>
        </w:tc>
        <w:tc>
          <w:tcPr>
            <w:tcW w:type="dxa" w:w="3255"/>
            <w:vAlign w:val="center"/>
            <w:tcMar>
              <w:top w:w="75" w:type="dxa"/>
              <w:left w:w="75" w:type="dxa"/>
              <w:bottom w:w="75" w:type="dxa"/>
              <w:right w:w="75" w:type="dxa"/>
            </w:tcMar>
          </w:tcPr>
          <w:p>
            <w:pPr>
              <w:spacing w:after="40" w:before="40"/>
            </w:pPr>
            <w:r>
              <w:rPr>
                <w:sz w:val="16"/>
              </w:rPr>
              <w:t>LLM-driven HDL testbench generation and evaluation.</w:t>
            </w:r>
          </w:p>
        </w:tc>
        <w:tc>
          <w:tcPr>
            <w:tcW w:type="dxa" w:w="3255"/>
            <w:vAlign w:val="center"/>
            <w:tcMar>
              <w:top w:w="75" w:type="dxa"/>
              <w:left w:w="75" w:type="dxa"/>
              <w:bottom w:w="75" w:type="dxa"/>
              <w:right w:w="75" w:type="dxa"/>
            </w:tcMar>
          </w:tcPr>
          <w:p>
            <w:pPr>
              <w:spacing w:after="40" w:before="40"/>
            </w:pPr>
            <w:r>
              <w:rPr>
                <w:sz w:val="16"/>
              </w:rPr>
              <w:t>Overlap: test generation; contribution here is a constrained UART simulator/coverage/mutation evaluation.</w:t>
            </w:r>
          </w:p>
        </w:tc>
      </w:tr>
      <w:tr>
        <w:tc>
          <w:tcPr>
            <w:tcW w:type="dxa" w:w="3255"/>
            <w:vAlign w:val="center"/>
            <w:tcMar>
              <w:top w:w="75" w:type="dxa"/>
              <w:left w:w="75" w:type="dxa"/>
              <w:bottom w:w="75" w:type="dxa"/>
              <w:right w:w="75" w:type="dxa"/>
            </w:tcMar>
          </w:tcPr>
          <w:p>
            <w:pPr>
              <w:spacing w:after="40" w:before="40"/>
            </w:pPr>
            <w:r>
              <w:rPr>
                <w:sz w:val="16"/>
              </w:rPr>
              <w:t>[R2] CorrectBench, 2025</w:t>
            </w:r>
          </w:p>
        </w:tc>
        <w:tc>
          <w:tcPr>
            <w:tcW w:type="dxa" w:w="3255"/>
            <w:vAlign w:val="center"/>
            <w:tcMar>
              <w:top w:w="75" w:type="dxa"/>
              <w:left w:w="75" w:type="dxa"/>
              <w:bottom w:w="75" w:type="dxa"/>
              <w:right w:w="75" w:type="dxa"/>
            </w:tcMar>
          </w:tcPr>
          <w:p>
            <w:pPr>
              <w:spacing w:after="40" w:before="40"/>
            </w:pPr>
            <w:r>
              <w:rPr>
                <w:sz w:val="16"/>
              </w:rPr>
              <w:t>Automatic self-validation and correction of generated testbenches.</w:t>
            </w:r>
          </w:p>
        </w:tc>
        <w:tc>
          <w:tcPr>
            <w:tcW w:type="dxa" w:w="3255"/>
            <w:vAlign w:val="center"/>
            <w:tcMar>
              <w:top w:w="75" w:type="dxa"/>
              <w:left w:w="75" w:type="dxa"/>
              <w:bottom w:w="75" w:type="dxa"/>
              <w:right w:w="75" w:type="dxa"/>
            </w:tcMar>
          </w:tcPr>
          <w:p>
            <w:pPr>
              <w:spacing w:after="40" w:before="40"/>
            </w:pPr>
            <w:r>
              <w:rPr>
                <w:sz w:val="16"/>
              </w:rPr>
              <w:t>Overlap: simulation feedback; here AI emits whitelisted scenarios, not unrestricted HDL code.</w:t>
            </w:r>
          </w:p>
        </w:tc>
      </w:tr>
      <w:tr>
        <w:tc>
          <w:tcPr>
            <w:tcW w:type="dxa" w:w="3255"/>
            <w:vAlign w:val="center"/>
            <w:tcMar>
              <w:top w:w="75" w:type="dxa"/>
              <w:left w:w="75" w:type="dxa"/>
              <w:bottom w:w="75" w:type="dxa"/>
              <w:right w:w="75" w:type="dxa"/>
            </w:tcMar>
          </w:tcPr>
          <w:p>
            <w:pPr>
              <w:spacing w:after="40" w:before="40"/>
            </w:pPr>
            <w:r>
              <w:rPr>
                <w:sz w:val="16"/>
              </w:rPr>
              <w:t>[R3] LLM4DV, 2025</w:t>
            </w:r>
          </w:p>
        </w:tc>
        <w:tc>
          <w:tcPr>
            <w:tcW w:type="dxa" w:w="3255"/>
            <w:vAlign w:val="center"/>
            <w:tcMar>
              <w:top w:w="75" w:type="dxa"/>
              <w:left w:w="75" w:type="dxa"/>
              <w:bottom w:w="75" w:type="dxa"/>
              <w:right w:w="75" w:type="dxa"/>
            </w:tcMar>
          </w:tcPr>
          <w:p>
            <w:pPr>
              <w:spacing w:after="40" w:before="40"/>
            </w:pPr>
            <w:r>
              <w:rPr>
                <w:sz w:val="16"/>
              </w:rPr>
              <w:t>Hardware test stimuli targeting predefined coverage bins.</w:t>
            </w:r>
          </w:p>
        </w:tc>
        <w:tc>
          <w:tcPr>
            <w:tcW w:type="dxa" w:w="3255"/>
            <w:vAlign w:val="center"/>
            <w:tcMar>
              <w:top w:w="75" w:type="dxa"/>
              <w:left w:w="75" w:type="dxa"/>
              <w:bottom w:w="75" w:type="dxa"/>
              <w:right w:w="75" w:type="dxa"/>
            </w:tcMar>
          </w:tcPr>
          <w:p>
            <w:pPr>
              <w:spacing w:after="40" w:before="40"/>
            </w:pPr>
            <w:r>
              <w:rPr>
                <w:sz w:val="16"/>
              </w:rPr>
              <w:t>Direct overlap: bin-oriented LLM stimuli; do not claim this concept is new.</w:t>
            </w:r>
          </w:p>
        </w:tc>
      </w:tr>
      <w:tr>
        <w:tc>
          <w:tcPr>
            <w:tcW w:type="dxa" w:w="3255"/>
            <w:vAlign w:val="center"/>
            <w:tcMar>
              <w:top w:w="75" w:type="dxa"/>
              <w:left w:w="75" w:type="dxa"/>
              <w:bottom w:w="75" w:type="dxa"/>
              <w:right w:w="75" w:type="dxa"/>
            </w:tcMar>
          </w:tcPr>
          <w:p>
            <w:pPr>
              <w:spacing w:after="40" w:before="40"/>
            </w:pPr>
            <w:r>
              <w:rPr>
                <w:sz w:val="16"/>
              </w:rPr>
              <w:t>[R4] ChatTest, 2026</w:t>
            </w:r>
          </w:p>
        </w:tc>
        <w:tc>
          <w:tcPr>
            <w:tcW w:type="dxa" w:w="3255"/>
            <w:vAlign w:val="center"/>
            <w:tcMar>
              <w:top w:w="75" w:type="dxa"/>
              <w:left w:w="75" w:type="dxa"/>
              <w:bottom w:w="75" w:type="dxa"/>
              <w:right w:w="75" w:type="dxa"/>
            </w:tcMar>
          </w:tcPr>
          <w:p>
            <w:pPr>
              <w:spacing w:after="40" w:before="40"/>
            </w:pPr>
            <w:r>
              <w:rPr>
                <w:sz w:val="16"/>
              </w:rPr>
              <w:t>Coverage-aware test augmentation using an LLM feedback loop, across 20 RTL designs.</w:t>
            </w:r>
          </w:p>
        </w:tc>
        <w:tc>
          <w:tcPr>
            <w:tcW w:type="dxa" w:w="3255"/>
            <w:vAlign w:val="center"/>
            <w:tcMar>
              <w:top w:w="75" w:type="dxa"/>
              <w:left w:w="75" w:type="dxa"/>
              <w:bottom w:w="75" w:type="dxa"/>
              <w:right w:w="75" w:type="dxa"/>
            </w:tcMar>
          </w:tcPr>
          <w:p>
            <w:pPr>
              <w:spacing w:after="40" w:before="40"/>
            </w:pPr>
            <w:r>
              <w:rPr>
                <w:sz w:val="16"/>
              </w:rPr>
              <w:t>Direct overlap: closed-loop RTL verification; ChatTest tests broader RTL scope.</w:t>
            </w:r>
          </w:p>
        </w:tc>
      </w:tr>
      <w:tr>
        <w:tc>
          <w:tcPr>
            <w:tcW w:type="dxa" w:w="3255"/>
            <w:vAlign w:val="center"/>
            <w:tcMar>
              <w:top w:w="75" w:type="dxa"/>
              <w:left w:w="75" w:type="dxa"/>
              <w:bottom w:w="75" w:type="dxa"/>
              <w:right w:w="75" w:type="dxa"/>
            </w:tcMar>
          </w:tcPr>
          <w:p>
            <w:pPr>
              <w:spacing w:after="40" w:before="40"/>
            </w:pPr>
            <w:r>
              <w:rPr>
                <w:sz w:val="16"/>
              </w:rPr>
              <w:t>[R5] AssertMiner-pro, 2026</w:t>
            </w:r>
          </w:p>
        </w:tc>
        <w:tc>
          <w:tcPr>
            <w:tcW w:type="dxa" w:w="3255"/>
            <w:vAlign w:val="center"/>
            <w:tcMar>
              <w:top w:w="75" w:type="dxa"/>
              <w:left w:w="75" w:type="dxa"/>
              <w:bottom w:w="75" w:type="dxa"/>
              <w:right w:w="75" w:type="dxa"/>
            </w:tcMar>
          </w:tcPr>
          <w:p>
            <w:pPr>
              <w:spacing w:after="40" w:before="40"/>
            </w:pPr>
            <w:r>
              <w:rPr>
                <w:sz w:val="16"/>
              </w:rPr>
              <w:t>RTL AST and hierarchical LLM-assisted module assertions and mutation-based evaluation.</w:t>
            </w:r>
          </w:p>
        </w:tc>
        <w:tc>
          <w:tcPr>
            <w:tcW w:type="dxa" w:w="3255"/>
            <w:vAlign w:val="center"/>
            <w:tcMar>
              <w:top w:w="75" w:type="dxa"/>
              <w:left w:w="75" w:type="dxa"/>
              <w:bottom w:w="75" w:type="dxa"/>
              <w:right w:w="75" w:type="dxa"/>
            </w:tcMar>
          </w:tcPr>
          <w:p>
            <w:pPr>
              <w:spacing w:after="40" w:before="40"/>
            </w:pPr>
            <w:r>
              <w:rPr>
                <w:sz w:val="16"/>
              </w:rPr>
              <w:t>Conceptual base paper, but different generated artifact: assertions versus UART test stimuli.</w:t>
            </w:r>
          </w:p>
        </w:tc>
      </w:tr>
      <w:tr>
        <w:tc>
          <w:tcPr>
            <w:tcW w:type="dxa" w:w="3255"/>
            <w:vAlign w:val="center"/>
            <w:tcMar>
              <w:top w:w="75" w:type="dxa"/>
              <w:left w:w="75" w:type="dxa"/>
              <w:bottom w:w="75" w:type="dxa"/>
              <w:right w:w="75" w:type="dxa"/>
            </w:tcMar>
          </w:tcPr>
          <w:p>
            <w:pPr>
              <w:spacing w:after="40" w:before="40"/>
            </w:pPr>
            <w:r>
              <w:rPr>
                <w:sz w:val="16"/>
              </w:rPr>
              <w:t>[R6] SearchSYS, 2025</w:t>
            </w:r>
          </w:p>
        </w:tc>
        <w:tc>
          <w:tcPr>
            <w:tcW w:type="dxa" w:w="3255"/>
            <w:vAlign w:val="center"/>
            <w:tcMar>
              <w:top w:w="75" w:type="dxa"/>
              <w:left w:w="75" w:type="dxa"/>
              <w:bottom w:w="75" w:type="dxa"/>
              <w:right w:w="75" w:type="dxa"/>
            </w:tcMar>
          </w:tcPr>
          <w:p>
            <w:pPr>
              <w:spacing w:after="40" w:before="40"/>
            </w:pPr>
            <w:r>
              <w:rPr>
                <w:sz w:val="16"/>
              </w:rPr>
              <w:t>LLM-generated program seeds plus software fuzzing for gem5 system simulator.</w:t>
            </w:r>
          </w:p>
        </w:tc>
        <w:tc>
          <w:tcPr>
            <w:tcW w:type="dxa" w:w="3255"/>
            <w:vAlign w:val="center"/>
            <w:tcMar>
              <w:top w:w="75" w:type="dxa"/>
              <w:left w:w="75" w:type="dxa"/>
              <w:bottom w:w="75" w:type="dxa"/>
              <w:right w:w="75" w:type="dxa"/>
            </w:tcMar>
          </w:tcPr>
          <w:p>
            <w:pPr>
              <w:spacing w:after="40" w:before="40"/>
            </w:pPr>
            <w:r>
              <w:rPr>
                <w:sz w:val="16"/>
              </w:rPr>
              <w:t>Methodological reference only; not RTL protocol verification.</w:t>
            </w:r>
          </w:p>
        </w:tc>
      </w:tr>
      <w:tr>
        <w:tc>
          <w:tcPr>
            <w:tcW w:type="dxa" w:w="3255"/>
            <w:vAlign w:val="center"/>
            <w:tcMar>
              <w:top w:w="75" w:type="dxa"/>
              <w:left w:w="75" w:type="dxa"/>
              <w:bottom w:w="75" w:type="dxa"/>
              <w:right w:w="75" w:type="dxa"/>
            </w:tcMar>
          </w:tcPr>
          <w:p>
            <w:pPr>
              <w:spacing w:after="40" w:before="40"/>
            </w:pPr>
            <w:r>
              <w:rPr>
                <w:sz w:val="16"/>
              </w:rPr>
              <w:t>[R7] ETS survey, 2025</w:t>
            </w:r>
          </w:p>
        </w:tc>
        <w:tc>
          <w:tcPr>
            <w:tcW w:type="dxa" w:w="3255"/>
            <w:vAlign w:val="center"/>
            <w:tcMar>
              <w:top w:w="75" w:type="dxa"/>
              <w:left w:w="75" w:type="dxa"/>
              <w:bottom w:w="75" w:type="dxa"/>
              <w:right w:w="75" w:type="dxa"/>
            </w:tcMar>
          </w:tcPr>
          <w:p>
            <w:pPr>
              <w:spacing w:after="40" w:before="40"/>
            </w:pPr>
            <w:r>
              <w:rPr>
                <w:sz w:val="16"/>
              </w:rPr>
              <w:t>Overview of LLM applications to hardware verification/testing/design.</w:t>
            </w:r>
          </w:p>
        </w:tc>
        <w:tc>
          <w:tcPr>
            <w:tcW w:type="dxa" w:w="3255"/>
            <w:vAlign w:val="center"/>
            <w:tcMar>
              <w:top w:w="75" w:type="dxa"/>
              <w:left w:w="75" w:type="dxa"/>
              <w:bottom w:w="75" w:type="dxa"/>
              <w:right w:w="75" w:type="dxa"/>
            </w:tcMar>
          </w:tcPr>
          <w:p>
            <w:pPr>
              <w:spacing w:after="40" w:before="40"/>
            </w:pPr>
            <w:r>
              <w:rPr>
                <w:sz w:val="16"/>
              </w:rPr>
              <w:t>Background and known limitation framing; not a directly comparable benchmark.</w:t>
            </w:r>
          </w:p>
        </w:tc>
      </w:tr>
    </w:tbl>
    <w:p>
      <w:pPr>
        <w:pStyle w:val="Heading1"/>
      </w:pPr>
      <w:r>
        <w:t>4. How the supplied base paper differs from the implementation</w:t>
      </w:r>
    </w:p>
    <w:p>
      <w:r>
        <w:t>The uploaded “Base paper(1).pdf” is a six-page print/preview of the Elsevier AssertMiner-pro article [R5]. The accessible portion covers its abstract, introduction, contributions and approach; full article experiments must be checked before attributing detailed quantitative conclusions.</w:t>
      </w:r>
    </w:p>
    <w:tbl>
      <w:tblPr>
        <w:tblStyle w:val="LightShading-Accent1"/>
        <w:tblW w:type="auto" w:w="0"/>
        <w:jc w:val="center"/>
        <w:tblLook w:firstColumn="1" w:firstRow="1" w:lastColumn="0" w:lastRow="0" w:noHBand="0" w:noVBand="1" w:val="04A0"/>
      </w:tblPr>
      <w:tblGrid>
        <w:gridCol w:w="3255"/>
        <w:gridCol w:w="3255"/>
        <w:gridCol w:w="3255"/>
      </w:tblGrid>
      <w:tr>
        <w:tc>
          <w:tcPr>
            <w:tcW w:type="dxa" w:w="3255"/>
            <w:tcMar>
              <w:top w:w="75" w:type="dxa"/>
              <w:left w:w="75" w:type="dxa"/>
              <w:bottom w:w="75" w:type="dxa"/>
              <w:right w:w="75" w:type="dxa"/>
            </w:tcMar>
            <w:shd w:fill="EAF4F6"/>
          </w:tcPr>
          <w:p>
            <w:r>
              <w:rPr>
                <w:b/>
                <w:sz w:val="16"/>
              </w:rPr>
              <w:t>Dimension</w:t>
            </w:r>
          </w:p>
        </w:tc>
        <w:tc>
          <w:tcPr>
            <w:tcW w:type="dxa" w:w="3255"/>
            <w:tcMar>
              <w:top w:w="75" w:type="dxa"/>
              <w:left w:w="75" w:type="dxa"/>
              <w:bottom w:w="75" w:type="dxa"/>
              <w:right w:w="75" w:type="dxa"/>
            </w:tcMar>
            <w:shd w:fill="EAF4F6"/>
          </w:tcPr>
          <w:p>
            <w:r>
              <w:rPr>
                <w:b/>
                <w:sz w:val="16"/>
              </w:rPr>
              <w:t>AssertMiner-pro [R5]</w:t>
            </w:r>
          </w:p>
        </w:tc>
        <w:tc>
          <w:tcPr>
            <w:tcW w:type="dxa" w:w="3255"/>
            <w:tcMar>
              <w:top w:w="75" w:type="dxa"/>
              <w:left w:w="75" w:type="dxa"/>
              <w:bottom w:w="75" w:type="dxa"/>
              <w:right w:w="75" w:type="dxa"/>
            </w:tcMar>
            <w:shd w:fill="EAF4F6"/>
          </w:tcPr>
          <w:p>
            <w:r>
              <w:rPr>
                <w:b/>
                <w:sz w:val="16"/>
              </w:rPr>
              <w:t>This M.Tech implementation</w:t>
            </w:r>
          </w:p>
        </w:tc>
      </w:tr>
      <w:tr>
        <w:tc>
          <w:tcPr>
            <w:tcW w:type="dxa" w:w="3255"/>
            <w:vAlign w:val="center"/>
            <w:tcMar>
              <w:top w:w="75" w:type="dxa"/>
              <w:left w:w="75" w:type="dxa"/>
              <w:bottom w:w="75" w:type="dxa"/>
              <w:right w:w="75" w:type="dxa"/>
            </w:tcMar>
          </w:tcPr>
          <w:p>
            <w:pPr>
              <w:spacing w:after="40" w:before="40"/>
            </w:pPr>
            <w:r>
              <w:rPr>
                <w:sz w:val="16"/>
              </w:rPr>
              <w:t>Primary problem</w:t>
            </w:r>
          </w:p>
        </w:tc>
        <w:tc>
          <w:tcPr>
            <w:tcW w:type="dxa" w:w="3255"/>
            <w:vAlign w:val="center"/>
            <w:tcMar>
              <w:top w:w="75" w:type="dxa"/>
              <w:left w:w="75" w:type="dxa"/>
              <w:bottom w:w="75" w:type="dxa"/>
              <w:right w:w="75" w:type="dxa"/>
            </w:tcMar>
          </w:tcPr>
          <w:p>
            <w:pPr>
              <w:spacing w:after="40" w:before="40"/>
            </w:pPr>
            <w:r>
              <w:rPr>
                <w:sz w:val="16"/>
              </w:rPr>
              <w:t>Coverage of module-level properties and deep assertions</w:t>
            </w:r>
          </w:p>
        </w:tc>
        <w:tc>
          <w:tcPr>
            <w:tcW w:type="dxa" w:w="3255"/>
            <w:vAlign w:val="center"/>
            <w:tcMar>
              <w:top w:w="75" w:type="dxa"/>
              <w:left w:w="75" w:type="dxa"/>
              <w:bottom w:w="75" w:type="dxa"/>
              <w:right w:w="75" w:type="dxa"/>
            </w:tcMar>
          </w:tcPr>
          <w:p>
            <w:pPr>
              <w:spacing w:after="40" w:before="40"/>
            </w:pPr>
            <w:r>
              <w:rPr>
                <w:sz w:val="16"/>
              </w:rPr>
              <w:t>Automated test stimuli, functional coverage gaps and UART behavior</w:t>
            </w:r>
          </w:p>
        </w:tc>
      </w:tr>
      <w:tr>
        <w:tc>
          <w:tcPr>
            <w:tcW w:type="dxa" w:w="3255"/>
            <w:vAlign w:val="center"/>
            <w:tcMar>
              <w:top w:w="75" w:type="dxa"/>
              <w:left w:w="75" w:type="dxa"/>
              <w:bottom w:w="75" w:type="dxa"/>
              <w:right w:w="75" w:type="dxa"/>
            </w:tcMar>
          </w:tcPr>
          <w:p>
            <w:pPr>
              <w:spacing w:after="40" w:before="40"/>
            </w:pPr>
            <w:r>
              <w:rPr>
                <w:sz w:val="16"/>
              </w:rPr>
              <w:t>AST role</w:t>
            </w:r>
          </w:p>
        </w:tc>
        <w:tc>
          <w:tcPr>
            <w:tcW w:type="dxa" w:w="3255"/>
            <w:vAlign w:val="center"/>
            <w:tcMar>
              <w:top w:w="75" w:type="dxa"/>
              <w:left w:w="75" w:type="dxa"/>
              <w:bottom w:w="75" w:type="dxa"/>
              <w:right w:w="75" w:type="dxa"/>
            </w:tcMar>
          </w:tcPr>
          <w:p>
            <w:pPr>
              <w:spacing w:after="40" w:before="40"/>
            </w:pPr>
            <w:r>
              <w:rPr>
                <w:sz w:val="16"/>
              </w:rPr>
              <w:t>Structure and top-down hierarchical guidance for module specifications</w:t>
            </w:r>
          </w:p>
        </w:tc>
        <w:tc>
          <w:tcPr>
            <w:tcW w:type="dxa" w:w="3255"/>
            <w:vAlign w:val="center"/>
            <w:tcMar>
              <w:top w:w="75" w:type="dxa"/>
              <w:left w:w="75" w:type="dxa"/>
              <w:bottom w:w="75" w:type="dxa"/>
              <w:right w:w="75" w:type="dxa"/>
            </w:tcMar>
          </w:tcPr>
          <w:p>
            <w:pPr>
              <w:spacing w:after="40" w:before="40"/>
            </w:pPr>
            <w:r>
              <w:rPr>
                <w:sz w:val="16"/>
              </w:rPr>
              <w:t>PyVerilog parsing of TX/RX structural and behavioral knowledge</w:t>
            </w:r>
          </w:p>
        </w:tc>
      </w:tr>
      <w:tr>
        <w:tc>
          <w:tcPr>
            <w:tcW w:type="dxa" w:w="3255"/>
            <w:vAlign w:val="center"/>
            <w:tcMar>
              <w:top w:w="75" w:type="dxa"/>
              <w:left w:w="75" w:type="dxa"/>
              <w:bottom w:w="75" w:type="dxa"/>
              <w:right w:w="75" w:type="dxa"/>
            </w:tcMar>
          </w:tcPr>
          <w:p>
            <w:pPr>
              <w:spacing w:after="40" w:before="40"/>
            </w:pPr>
            <w:r>
              <w:rPr>
                <w:sz w:val="16"/>
              </w:rPr>
              <w:t>LLM output</w:t>
            </w:r>
          </w:p>
        </w:tc>
        <w:tc>
          <w:tcPr>
            <w:tcW w:type="dxa" w:w="3255"/>
            <w:vAlign w:val="center"/>
            <w:tcMar>
              <w:top w:w="75" w:type="dxa"/>
              <w:left w:w="75" w:type="dxa"/>
              <w:bottom w:w="75" w:type="dxa"/>
              <w:right w:w="75" w:type="dxa"/>
            </w:tcMar>
          </w:tcPr>
          <w:p>
            <w:pPr>
              <w:spacing w:after="40" w:before="40"/>
            </w:pPr>
            <w:r>
              <w:rPr>
                <w:sz w:val="16"/>
              </w:rPr>
              <w:t>Module-level specifications and fine-grained assertions</w:t>
            </w:r>
          </w:p>
        </w:tc>
        <w:tc>
          <w:tcPr>
            <w:tcW w:type="dxa" w:w="3255"/>
            <w:vAlign w:val="center"/>
            <w:tcMar>
              <w:top w:w="75" w:type="dxa"/>
              <w:left w:w="75" w:type="dxa"/>
              <w:bottom w:w="75" w:type="dxa"/>
              <w:right w:w="75" w:type="dxa"/>
            </w:tcMar>
          </w:tcPr>
          <w:p>
            <w:pPr>
              <w:spacing w:after="40" w:before="40"/>
            </w:pPr>
            <w:r>
              <w:rPr>
                <w:sz w:val="16"/>
              </w:rPr>
              <w:t>JSON scenario list with whitelisted operations and byte values</w:t>
            </w:r>
          </w:p>
        </w:tc>
      </w:tr>
      <w:tr>
        <w:tc>
          <w:tcPr>
            <w:tcW w:type="dxa" w:w="3255"/>
            <w:vAlign w:val="center"/>
            <w:tcMar>
              <w:top w:w="75" w:type="dxa"/>
              <w:left w:w="75" w:type="dxa"/>
              <w:bottom w:w="75" w:type="dxa"/>
              <w:right w:w="75" w:type="dxa"/>
            </w:tcMar>
          </w:tcPr>
          <w:p>
            <w:pPr>
              <w:spacing w:after="40" w:before="40"/>
            </w:pPr>
            <w:r>
              <w:rPr>
                <w:sz w:val="16"/>
              </w:rPr>
              <w:t>Execution/checking</w:t>
            </w:r>
          </w:p>
        </w:tc>
        <w:tc>
          <w:tcPr>
            <w:tcW w:type="dxa" w:w="3255"/>
            <w:vAlign w:val="center"/>
            <w:tcMar>
              <w:top w:w="75" w:type="dxa"/>
              <w:left w:w="75" w:type="dxa"/>
              <w:bottom w:w="75" w:type="dxa"/>
              <w:right w:w="75" w:type="dxa"/>
            </w:tcMar>
          </w:tcPr>
          <w:p>
            <w:pPr>
              <w:spacing w:after="40" w:before="40"/>
            </w:pPr>
            <w:r>
              <w:rPr>
                <w:sz w:val="16"/>
              </w:rPr>
              <w:t>Assertion-centric verification and mutation evidence</w:t>
            </w:r>
          </w:p>
        </w:tc>
        <w:tc>
          <w:tcPr>
            <w:tcW w:type="dxa" w:w="3255"/>
            <w:vAlign w:val="center"/>
            <w:tcMar>
              <w:top w:w="75" w:type="dxa"/>
              <w:left w:w="75" w:type="dxa"/>
              <w:bottom w:w="75" w:type="dxa"/>
              <w:right w:w="75" w:type="dxa"/>
            </w:tcMar>
          </w:tcPr>
          <w:p>
            <w:pPr>
              <w:spacing w:after="40" w:before="40"/>
            </w:pPr>
            <w:r>
              <w:rPr>
                <w:sz w:val="16"/>
              </w:rPr>
              <w:t>Icarus self-checking differential testbench, reset-cycle oracle and mutants</w:t>
            </w:r>
          </w:p>
        </w:tc>
      </w:tr>
      <w:tr>
        <w:tc>
          <w:tcPr>
            <w:tcW w:type="dxa" w:w="3255"/>
            <w:vAlign w:val="center"/>
            <w:tcMar>
              <w:top w:w="75" w:type="dxa"/>
              <w:left w:w="75" w:type="dxa"/>
              <w:bottom w:w="75" w:type="dxa"/>
              <w:right w:w="75" w:type="dxa"/>
            </w:tcMar>
          </w:tcPr>
          <w:p>
            <w:pPr>
              <w:spacing w:after="40" w:before="40"/>
            </w:pPr>
            <w:r>
              <w:rPr>
                <w:sz w:val="16"/>
              </w:rPr>
              <w:t>Experimental scope</w:t>
            </w:r>
          </w:p>
        </w:tc>
        <w:tc>
          <w:tcPr>
            <w:tcW w:type="dxa" w:w="3255"/>
            <w:vAlign w:val="center"/>
            <w:tcMar>
              <w:top w:w="75" w:type="dxa"/>
              <w:left w:w="75" w:type="dxa"/>
              <w:bottom w:w="75" w:type="dxa"/>
              <w:right w:w="75" w:type="dxa"/>
            </w:tcMar>
          </w:tcPr>
          <w:p>
            <w:pPr>
              <w:spacing w:after="40" w:before="40"/>
            </w:pPr>
            <w:r>
              <w:rPr>
                <w:sz w:val="16"/>
              </w:rPr>
              <w:t>Multiple design/module cases in publisher abstract</w:t>
            </w:r>
          </w:p>
        </w:tc>
        <w:tc>
          <w:tcPr>
            <w:tcW w:type="dxa" w:w="3255"/>
            <w:vAlign w:val="center"/>
            <w:tcMar>
              <w:top w:w="75" w:type="dxa"/>
              <w:left w:w="75" w:type="dxa"/>
              <w:bottom w:w="75" w:type="dxa"/>
              <w:right w:w="75" w:type="dxa"/>
            </w:tcMar>
          </w:tcPr>
          <w:p>
            <w:pPr>
              <w:spacing w:after="40" w:before="40"/>
            </w:pPr>
            <w:r>
              <w:rPr>
                <w:sz w:val="16"/>
              </w:rPr>
              <w:t>UART case across four CLKS_PER_BIT settings</w:t>
            </w:r>
          </w:p>
        </w:tc>
      </w:tr>
      <w:tr>
        <w:tc>
          <w:tcPr>
            <w:tcW w:type="dxa" w:w="3255"/>
            <w:vAlign w:val="center"/>
            <w:tcMar>
              <w:top w:w="75" w:type="dxa"/>
              <w:left w:w="75" w:type="dxa"/>
              <w:bottom w:w="75" w:type="dxa"/>
              <w:right w:w="75" w:type="dxa"/>
            </w:tcMar>
          </w:tcPr>
          <w:p>
            <w:pPr>
              <w:spacing w:after="40" w:before="40"/>
            </w:pPr>
            <w:r>
              <w:rPr>
                <w:sz w:val="16"/>
              </w:rPr>
              <w:t>How to describe relation</w:t>
            </w:r>
          </w:p>
        </w:tc>
        <w:tc>
          <w:tcPr>
            <w:tcW w:type="dxa" w:w="3255"/>
            <w:vAlign w:val="center"/>
            <w:tcMar>
              <w:top w:w="75" w:type="dxa"/>
              <w:left w:w="75" w:type="dxa"/>
              <w:bottom w:w="75" w:type="dxa"/>
              <w:right w:w="75" w:type="dxa"/>
            </w:tcMar>
          </w:tcPr>
          <w:p>
            <w:pPr>
              <w:spacing w:after="40" w:before="40"/>
            </w:pPr>
            <w:r>
              <w:rPr>
                <w:sz w:val="16"/>
              </w:rPr>
              <w:t>Conceptual methodological inspiration</w:t>
            </w:r>
          </w:p>
        </w:tc>
        <w:tc>
          <w:tcPr>
            <w:tcW w:type="dxa" w:w="3255"/>
            <w:vAlign w:val="center"/>
            <w:tcMar>
              <w:top w:w="75" w:type="dxa"/>
              <w:left w:w="75" w:type="dxa"/>
              <w:bottom w:w="75" w:type="dxa"/>
              <w:right w:w="75" w:type="dxa"/>
            </w:tcMar>
          </w:tcPr>
          <w:p>
            <w:pPr>
              <w:spacing w:after="40" w:before="40"/>
            </w:pPr>
            <w:r>
              <w:rPr>
                <w:sz w:val="16"/>
              </w:rPr>
              <w:t>Not a reproduced implementation or numerical improvement over AssertMiner-pro</w:t>
            </w:r>
          </w:p>
        </w:tc>
      </w:tr>
    </w:tbl>
    <w:p>
      <w:r>
        <w:t>For a review presentation, describe [R5] as the selected base paper for AST-assisted verification, then explain the deliberate change in scope from assertion mining to structured UART stimulus generation and executable coverage feedback. Do not state that the project extends AssertMiner-pro source code unless that modification was actually made and documented.</w:t>
      </w:r>
    </w:p>
    <w:p>
      <w:pPr>
        <w:pStyle w:val="Heading1"/>
      </w:pPr>
      <w:r>
        <w:t>5. Novelty decision and defensible contribution statements</w:t>
      </w:r>
    </w:p>
    <w:p>
      <w:pPr>
        <w:pStyle w:val="Heading2"/>
      </w:pPr>
      <w:r>
        <w:t>5.1 Supported contributions</w:t>
      </w:r>
    </w:p>
    <w:p>
      <w:pPr>
        <w:pStyle w:val="ListBullet"/>
      </w:pPr>
      <w:r>
        <w:t>A functioning phase-integrated UART flow from AST-derived RTL knowledge to constrained LLM-generated scenarios, self-checking simulation, functional coverage and targeted feedback.</w:t>
      </w:r>
    </w:p>
    <w:p>
      <w:pPr>
        <w:pStyle w:val="ListBullet"/>
      </w:pPr>
      <w:r>
        <w:t>Five fresh Hermes trials with a 98% mean on ten defined UART coverage bins, alongside ten-seed weak and protocol-aware random controls and a 100% balanced-directed control.</w:t>
      </w:r>
    </w:p>
    <w:p>
      <w:pPr>
        <w:pStyle w:val="ListBullet"/>
      </w:pPr>
      <w:r>
        <w:t>Fault-sensitivity evidence on 14 intentionally injected RTL faults at four clock configurations, including an independently diagnosed and corrected reset-cycle observation gap.</w:t>
      </w:r>
    </w:p>
    <w:p>
      <w:pPr>
        <w:pStyle w:val="ListBullet"/>
      </w:pPr>
      <w:r>
        <w:t>A measured 90% to 100% coverage closure using one actual Hermes feedback scenario, with an identical-capability directed control and explicit incremental budget.</w:t>
      </w:r>
    </w:p>
    <w:p>
      <w:pPr>
        <w:pStyle w:val="ListBullet"/>
      </w:pPr>
      <w:r>
        <w:t>Separate technology-mapped UART architecture/PPA analysis with a lower-area/lower-estimated-power hybrid, without falsely attributing it to AI.</w:t>
      </w:r>
    </w:p>
    <w:p>
      <w:pPr>
        <w:pStyle w:val="Heading2"/>
      </w:pPr>
      <w:r>
        <w:t>5.2 Claims that must NOT be made</w:t>
      </w:r>
    </w:p>
    <w:p>
      <w:pPr>
        <w:pStyle w:val="ListBullet"/>
      </w:pPr>
      <w:r>
        <w:t>“First-ever LLM coverage feedback loop for RTL” - ChatTest and LLM4DV establish related prior art.</w:t>
      </w:r>
    </w:p>
    <w:p>
      <w:pPr>
        <w:pStyle w:val="ListBullet"/>
      </w:pPr>
      <w:r>
        <w:t>“AI outperforms expert-directed testing” - the balanced-directed suite matched 100% bin coverage and 100% corrected mutation score.</w:t>
      </w:r>
    </w:p>
    <w:p>
      <w:pPr>
        <w:pStyle w:val="ListBullet"/>
      </w:pPr>
      <w:r>
        <w:t>“100% RTL verification/bug coverage” - only ten selected functional bins and fourteen chosen mutant operators were evaluated.</w:t>
      </w:r>
    </w:p>
    <w:p>
      <w:pPr>
        <w:pStyle w:val="ListBullet"/>
      </w:pPr>
      <w:r>
        <w:t>“AI reduced silicon area or measured chip power” - the PPA comparison is a separate pre-layout architecture experiment.</w:t>
      </w:r>
    </w:p>
    <w:p>
      <w:pPr>
        <w:pStyle w:val="ListBullet"/>
      </w:pPr>
      <w:r>
        <w:t>“Universally effective / statistically proven” - one UART design, five model repetitions, prompt-guided closure and varying simulation cycles limit inference.</w:t>
      </w:r>
    </w:p>
    <w:p>
      <w:pPr>
        <w:pStyle w:val="Heading2"/>
      </w:pPr>
      <w:r>
        <w:t>5.3 Suggested thesis contribution wording</w:t>
      </w:r>
    </w:p>
    <w:p>
      <w:r>
        <w:t>“This work implements and evaluates a simulation-only, coverage-aware UART RTL verification workflow that converts PyVerilog structural knowledge into constrained Hermes-generated scenarios, executes deterministic self-checking Icarus simulations, identifies functional coverage gaps, and integrates targeted feedback. Across five fresh model calls, the method achieved a mean of 98% coverage on ten selected functional bins. With a corrected reset-cycle oracle, AI-generated and balanced-directed suites each detected all fourteen selected mutants over four clock settings. The framework demonstrates reproducible automated test orchestration and gap closure, while showing comparable rather than superior performance to a carefully designed directed baseline.”</w:t>
      </w:r>
    </w:p>
    <w:p>
      <w:pPr>
        <w:pStyle w:val="Heading1"/>
      </w:pPr>
      <w:r>
        <w:t>6. Limitations, threats to validity and next decisions</w:t>
      </w:r>
    </w:p>
    <w:tbl>
      <w:tblPr>
        <w:tblStyle w:val="LightShading-Accent1"/>
        <w:tblW w:type="auto" w:w="0"/>
        <w:jc w:val="center"/>
        <w:tblLook w:firstColumn="1" w:firstRow="1" w:lastColumn="0" w:lastRow="0" w:noHBand="0" w:noVBand="1" w:val="04A0"/>
      </w:tblPr>
      <w:tblGrid>
        <w:gridCol w:w="4882"/>
        <w:gridCol w:w="4882"/>
      </w:tblGrid>
      <w:tr>
        <w:tc>
          <w:tcPr>
            <w:tcW w:type="dxa" w:w="4882"/>
            <w:tcMar>
              <w:top w:w="75" w:type="dxa"/>
              <w:left w:w="75" w:type="dxa"/>
              <w:bottom w:w="75" w:type="dxa"/>
              <w:right w:w="75" w:type="dxa"/>
            </w:tcMar>
            <w:shd w:fill="EAF4F6"/>
          </w:tcPr>
          <w:p>
            <w:r>
              <w:rPr>
                <w:b/>
                <w:sz w:val="16"/>
              </w:rPr>
              <w:t>Threat</w:t>
            </w:r>
          </w:p>
        </w:tc>
        <w:tc>
          <w:tcPr>
            <w:tcW w:type="dxa" w:w="4882"/>
            <w:tcMar>
              <w:top w:w="75" w:type="dxa"/>
              <w:left w:w="75" w:type="dxa"/>
              <w:bottom w:w="75" w:type="dxa"/>
              <w:right w:w="75" w:type="dxa"/>
            </w:tcMar>
            <w:shd w:fill="EAF4F6"/>
          </w:tcPr>
          <w:p>
            <w:r>
              <w:rPr>
                <w:b/>
                <w:sz w:val="16"/>
              </w:rPr>
              <w:t>How it affects interpretation / next requirement</w:t>
            </w:r>
          </w:p>
        </w:tc>
      </w:tr>
      <w:tr>
        <w:tc>
          <w:tcPr>
            <w:tcW w:type="dxa" w:w="4882"/>
            <w:vAlign w:val="center"/>
            <w:tcMar>
              <w:top w:w="75" w:type="dxa"/>
              <w:left w:w="75" w:type="dxa"/>
              <w:bottom w:w="75" w:type="dxa"/>
              <w:right w:w="75" w:type="dxa"/>
            </w:tcMar>
          </w:tcPr>
          <w:p>
            <w:pPr>
              <w:spacing w:after="40" w:before="40"/>
            </w:pPr>
            <w:r>
              <w:rPr>
                <w:sz w:val="16"/>
              </w:rPr>
              <w:t>Single UART benchmark</w:t>
            </w:r>
          </w:p>
        </w:tc>
        <w:tc>
          <w:tcPr>
            <w:tcW w:type="dxa" w:w="4882"/>
            <w:vAlign w:val="center"/>
            <w:tcMar>
              <w:top w:w="75" w:type="dxa"/>
              <w:left w:w="75" w:type="dxa"/>
              <w:bottom w:w="75" w:type="dxa"/>
              <w:right w:w="75" w:type="dxa"/>
            </w:tcMar>
          </w:tcPr>
          <w:p>
            <w:pPr>
              <w:spacing w:after="40" w:before="40"/>
            </w:pPr>
            <w:r>
              <w:rPr>
                <w:sz w:val="16"/>
              </w:rPr>
              <w:t>Generalization needs additional unrelated DUTs or standard benchmarks (ALU/FIFO/FSM tested with same current toolchain).</w:t>
            </w:r>
          </w:p>
        </w:tc>
      </w:tr>
      <w:tr>
        <w:tc>
          <w:tcPr>
            <w:tcW w:type="dxa" w:w="4882"/>
            <w:vAlign w:val="center"/>
            <w:tcMar>
              <w:top w:w="75" w:type="dxa"/>
              <w:left w:w="75" w:type="dxa"/>
              <w:bottom w:w="75" w:type="dxa"/>
              <w:right w:w="75" w:type="dxa"/>
            </w:tcMar>
          </w:tcPr>
          <w:p>
            <w:pPr>
              <w:spacing w:after="40" w:before="40"/>
            </w:pPr>
            <w:r>
              <w:rPr>
                <w:sz w:val="16"/>
              </w:rPr>
              <w:t>Ten enumerated functional bins</w:t>
            </w:r>
          </w:p>
        </w:tc>
        <w:tc>
          <w:tcPr>
            <w:tcW w:type="dxa" w:w="4882"/>
            <w:vAlign w:val="center"/>
            <w:tcMar>
              <w:top w:w="75" w:type="dxa"/>
              <w:left w:w="75" w:type="dxa"/>
              <w:bottom w:w="75" w:type="dxa"/>
              <w:right w:w="75" w:type="dxa"/>
            </w:tcMar>
          </w:tcPr>
          <w:p>
            <w:pPr>
              <w:spacing w:after="40" w:before="40"/>
            </w:pPr>
            <w:r>
              <w:rPr>
                <w:sz w:val="16"/>
              </w:rPr>
              <w:t>Add realistic line/branch/toggle and protocol transition metrics where tools can measure them.</w:t>
            </w:r>
          </w:p>
        </w:tc>
      </w:tr>
      <w:tr>
        <w:tc>
          <w:tcPr>
            <w:tcW w:type="dxa" w:w="4882"/>
            <w:vAlign w:val="center"/>
            <w:tcMar>
              <w:top w:w="75" w:type="dxa"/>
              <w:left w:w="75" w:type="dxa"/>
              <w:bottom w:w="75" w:type="dxa"/>
              <w:right w:w="75" w:type="dxa"/>
            </w:tcMar>
          </w:tcPr>
          <w:p>
            <w:pPr>
              <w:spacing w:after="40" w:before="40"/>
            </w:pPr>
            <w:r>
              <w:rPr>
                <w:sz w:val="16"/>
              </w:rPr>
              <w:t>Oracle dependence</w:t>
            </w:r>
          </w:p>
        </w:tc>
        <w:tc>
          <w:tcPr>
            <w:tcW w:type="dxa" w:w="4882"/>
            <w:vAlign w:val="center"/>
            <w:tcMar>
              <w:top w:w="75" w:type="dxa"/>
              <w:left w:w="75" w:type="dxa"/>
              <w:bottom w:w="75" w:type="dxa"/>
              <w:right w:w="75" w:type="dxa"/>
            </w:tcMar>
          </w:tcPr>
          <w:p>
            <w:pPr>
              <w:spacing w:after="40" w:before="40"/>
            </w:pPr>
            <w:r>
              <w:rPr>
                <w:sz w:val="16"/>
              </w:rPr>
              <w:t>Include independent reference/specification checks, reset-cycle probes, and false-positive controls.</w:t>
            </w:r>
          </w:p>
        </w:tc>
      </w:tr>
      <w:tr>
        <w:tc>
          <w:tcPr>
            <w:tcW w:type="dxa" w:w="4882"/>
            <w:vAlign w:val="center"/>
            <w:tcMar>
              <w:top w:w="75" w:type="dxa"/>
              <w:left w:w="75" w:type="dxa"/>
              <w:bottom w:w="75" w:type="dxa"/>
              <w:right w:w="75" w:type="dxa"/>
            </w:tcMar>
          </w:tcPr>
          <w:p>
            <w:pPr>
              <w:spacing w:after="40" w:before="40"/>
            </w:pPr>
            <w:r>
              <w:rPr>
                <w:sz w:val="16"/>
              </w:rPr>
              <w:t>Selected mutants</w:t>
            </w:r>
          </w:p>
        </w:tc>
        <w:tc>
          <w:tcPr>
            <w:tcW w:type="dxa" w:w="4882"/>
            <w:vAlign w:val="center"/>
            <w:tcMar>
              <w:top w:w="75" w:type="dxa"/>
              <w:left w:w="75" w:type="dxa"/>
              <w:bottom w:w="75" w:type="dxa"/>
              <w:right w:w="75" w:type="dxa"/>
            </w:tcMar>
          </w:tcPr>
          <w:p>
            <w:pPr>
              <w:spacing w:after="40" w:before="40"/>
            </w:pPr>
            <w:r>
              <w:rPr>
                <w:sz w:val="16"/>
              </w:rPr>
              <w:t>Expand mutation taxonomy and operator distribution; acknowledge manually selected operators.</w:t>
            </w:r>
          </w:p>
        </w:tc>
      </w:tr>
      <w:tr>
        <w:tc>
          <w:tcPr>
            <w:tcW w:type="dxa" w:w="4882"/>
            <w:vAlign w:val="center"/>
            <w:tcMar>
              <w:top w:w="75" w:type="dxa"/>
              <w:left w:w="75" w:type="dxa"/>
              <w:bottom w:w="75" w:type="dxa"/>
              <w:right w:w="75" w:type="dxa"/>
            </w:tcMar>
          </w:tcPr>
          <w:p>
            <w:pPr>
              <w:spacing w:after="40" w:before="40"/>
            </w:pPr>
            <w:r>
              <w:rPr>
                <w:sz w:val="16"/>
              </w:rPr>
              <w:t>Experimental budgets</w:t>
            </w:r>
          </w:p>
        </w:tc>
        <w:tc>
          <w:tcPr>
            <w:tcW w:type="dxa" w:w="4882"/>
            <w:vAlign w:val="center"/>
            <w:tcMar>
              <w:top w:w="75" w:type="dxa"/>
              <w:left w:w="75" w:type="dxa"/>
              <w:bottom w:w="75" w:type="dxa"/>
              <w:right w:w="75" w:type="dxa"/>
            </w:tcMar>
          </w:tcPr>
          <w:p>
            <w:pPr>
              <w:spacing w:after="40" w:before="40"/>
            </w:pPr>
            <w:r>
              <w:rPr>
                <w:sz w:val="16"/>
              </w:rPr>
              <w:t>Test counts equal but cycles/LLM time differ; record wall time, tokens, cost, validity and simulation effort.</w:t>
            </w:r>
          </w:p>
        </w:tc>
      </w:tr>
      <w:tr>
        <w:tc>
          <w:tcPr>
            <w:tcW w:type="dxa" w:w="4882"/>
            <w:vAlign w:val="center"/>
            <w:tcMar>
              <w:top w:w="75" w:type="dxa"/>
              <w:left w:w="75" w:type="dxa"/>
              <w:bottom w:w="75" w:type="dxa"/>
              <w:right w:w="75" w:type="dxa"/>
            </w:tcMar>
          </w:tcPr>
          <w:p>
            <w:pPr>
              <w:spacing w:after="40" w:before="40"/>
            </w:pPr>
            <w:r>
              <w:rPr>
                <w:sz w:val="16"/>
              </w:rPr>
              <w:t>Model/provider variability</w:t>
            </w:r>
          </w:p>
        </w:tc>
        <w:tc>
          <w:tcPr>
            <w:tcW w:type="dxa" w:w="4882"/>
            <w:vAlign w:val="center"/>
            <w:tcMar>
              <w:top w:w="75" w:type="dxa"/>
              <w:left w:w="75" w:type="dxa"/>
              <w:bottom w:w="75" w:type="dxa"/>
              <w:right w:w="75" w:type="dxa"/>
            </w:tcMar>
          </w:tcPr>
          <w:p>
            <w:pPr>
              <w:spacing w:after="40" w:before="40"/>
            </w:pPr>
            <w:r>
              <w:rPr>
                <w:sz w:val="16"/>
              </w:rPr>
              <w:t>Record provider, exact model revision, temperature, prompts, seed availability and generation failures.</w:t>
            </w:r>
          </w:p>
        </w:tc>
      </w:tr>
      <w:tr>
        <w:tc>
          <w:tcPr>
            <w:tcW w:type="dxa" w:w="4882"/>
            <w:vAlign w:val="center"/>
            <w:tcMar>
              <w:top w:w="75" w:type="dxa"/>
              <w:left w:w="75" w:type="dxa"/>
              <w:bottom w:w="75" w:type="dxa"/>
              <w:right w:w="75" w:type="dxa"/>
            </w:tcMar>
          </w:tcPr>
          <w:p>
            <w:pPr>
              <w:spacing w:after="40" w:before="40"/>
            </w:pPr>
            <w:r>
              <w:rPr>
                <w:sz w:val="16"/>
              </w:rPr>
              <w:t>Prior art overlap</w:t>
            </w:r>
          </w:p>
        </w:tc>
        <w:tc>
          <w:tcPr>
            <w:tcW w:type="dxa" w:w="4882"/>
            <w:vAlign w:val="center"/>
            <w:tcMar>
              <w:top w:w="75" w:type="dxa"/>
              <w:left w:w="75" w:type="dxa"/>
              <w:bottom w:w="75" w:type="dxa"/>
              <w:right w:w="75" w:type="dxa"/>
            </w:tcMar>
          </w:tcPr>
          <w:p>
            <w:pPr>
              <w:spacing w:after="40" w:before="40"/>
            </w:pPr>
            <w:r>
              <w:rPr>
                <w:sz w:val="16"/>
              </w:rPr>
              <w:t>Do not assert firstness; obtain complete ChatTest, LLM4DV and AssertMiner-pro methods for direct feature comparison.</w:t>
            </w:r>
          </w:p>
        </w:tc>
      </w:tr>
      <w:tr>
        <w:tc>
          <w:tcPr>
            <w:tcW w:type="dxa" w:w="4882"/>
            <w:vAlign w:val="center"/>
            <w:tcMar>
              <w:top w:w="75" w:type="dxa"/>
              <w:left w:w="75" w:type="dxa"/>
              <w:bottom w:w="75" w:type="dxa"/>
              <w:right w:w="75" w:type="dxa"/>
            </w:tcMar>
          </w:tcPr>
          <w:p>
            <w:pPr>
              <w:spacing w:after="40" w:before="40"/>
            </w:pPr>
            <w:r>
              <w:rPr>
                <w:sz w:val="16"/>
              </w:rPr>
              <w:t>PPA limitations</w:t>
            </w:r>
          </w:p>
        </w:tc>
        <w:tc>
          <w:tcPr>
            <w:tcW w:type="dxa" w:w="4882"/>
            <w:vAlign w:val="center"/>
            <w:tcMar>
              <w:top w:w="75" w:type="dxa"/>
              <w:left w:w="75" w:type="dxa"/>
              <w:bottom w:w="75" w:type="dxa"/>
              <w:right w:w="75" w:type="dxa"/>
            </w:tcMar>
          </w:tcPr>
          <w:p>
            <w:pPr>
              <w:spacing w:after="40" w:before="40"/>
            </w:pPr>
            <w:r>
              <w:rPr>
                <w:sz w:val="16"/>
              </w:rPr>
              <w:t>Pre-layout library-dependent estimates; no physical design extraction, tape-out, FPGA or on-chip power.</w:t>
            </w:r>
          </w:p>
        </w:tc>
      </w:tr>
    </w:tbl>
    <w:p>
      <w:pPr>
        <w:pStyle w:val="Heading1"/>
      </w:pPr>
      <w:r>
        <w:t>7. Review presentation sequence and remaining phases</w:t>
      </w:r>
    </w:p>
    <w:p>
      <w:r>
        <w:t>Recommended five-minute progression: (1) motivating problem in RTL verification; (2) explain the four phase workflow; (3) connect the base paper to AST extraction but distinguish assertion outputs; (4) present three baseline types plus independent Hermes repeatability; (5) show reset-observability fault and corrected mutation results; (6) demonstrate measured Trial 5 closure with matched directed control; (7) finish with scoped contribution and future work. This avoids day-wise storytelling.</w:t>
      </w:r>
    </w:p>
    <w:tbl>
      <w:tblPr>
        <w:tblStyle w:val="LightShading-Accent1"/>
        <w:tblW w:type="auto" w:w="0"/>
        <w:jc w:val="center"/>
        <w:tblLook w:firstColumn="1" w:firstRow="1" w:lastColumn="0" w:lastRow="0" w:noHBand="0" w:noVBand="1" w:val="04A0"/>
      </w:tblPr>
      <w:tblGrid>
        <w:gridCol w:w="4882"/>
        <w:gridCol w:w="4882"/>
      </w:tblGrid>
      <w:tr>
        <w:tc>
          <w:tcPr>
            <w:tcW w:type="dxa" w:w="4882"/>
            <w:tcMar>
              <w:top w:w="75" w:type="dxa"/>
              <w:left w:w="75" w:type="dxa"/>
              <w:bottom w:w="75" w:type="dxa"/>
              <w:right w:w="75" w:type="dxa"/>
            </w:tcMar>
            <w:shd w:fill="EAF4F6"/>
          </w:tcPr>
          <w:p>
            <w:r>
              <w:rPr>
                <w:b/>
                <w:sz w:val="16"/>
              </w:rPr>
              <w:t>Remaining review milestone</w:t>
            </w:r>
          </w:p>
        </w:tc>
        <w:tc>
          <w:tcPr>
            <w:tcW w:type="dxa" w:w="4882"/>
            <w:tcMar>
              <w:top w:w="75" w:type="dxa"/>
              <w:left w:w="75" w:type="dxa"/>
              <w:bottom w:w="75" w:type="dxa"/>
              <w:right w:w="75" w:type="dxa"/>
            </w:tcMar>
            <w:shd w:fill="EAF4F6"/>
          </w:tcPr>
          <w:p>
            <w:r>
              <w:rPr>
                <w:b/>
                <w:sz w:val="16"/>
              </w:rPr>
              <w:t>Acceptance evidence</w:t>
            </w:r>
          </w:p>
        </w:tc>
      </w:tr>
      <w:tr>
        <w:tc>
          <w:tcPr>
            <w:tcW w:type="dxa" w:w="4882"/>
            <w:vAlign w:val="center"/>
            <w:tcMar>
              <w:top w:w="75" w:type="dxa"/>
              <w:left w:w="75" w:type="dxa"/>
              <w:bottom w:w="75" w:type="dxa"/>
              <w:right w:w="75" w:type="dxa"/>
            </w:tcMar>
          </w:tcPr>
          <w:p>
            <w:pPr>
              <w:spacing w:after="40" w:before="40"/>
            </w:pPr>
            <w:r>
              <w:rPr>
                <w:sz w:val="16"/>
              </w:rPr>
              <w:t>Phase 4E - evidence trace</w:t>
            </w:r>
          </w:p>
        </w:tc>
        <w:tc>
          <w:tcPr>
            <w:tcW w:type="dxa" w:w="4882"/>
            <w:vAlign w:val="center"/>
            <w:tcMar>
              <w:top w:w="75" w:type="dxa"/>
              <w:left w:w="75" w:type="dxa"/>
              <w:bottom w:w="75" w:type="dxa"/>
              <w:right w:w="75" w:type="dxa"/>
            </w:tcMar>
          </w:tcPr>
          <w:p>
            <w:pPr>
              <w:spacing w:after="40" w:before="40"/>
            </w:pPr>
            <w:r>
              <w:rPr>
                <w:sz w:val="16"/>
              </w:rPr>
              <w:t>Execute the supplied read-only script; save source-specific JSON and Markdown trace in phase_04_uart_novelty/research/.</w:t>
            </w:r>
          </w:p>
        </w:tc>
      </w:tr>
      <w:tr>
        <w:tc>
          <w:tcPr>
            <w:tcW w:type="dxa" w:w="4882"/>
            <w:vAlign w:val="center"/>
            <w:tcMar>
              <w:top w:w="75" w:type="dxa"/>
              <w:left w:w="75" w:type="dxa"/>
              <w:bottom w:w="75" w:type="dxa"/>
              <w:right w:w="75" w:type="dxa"/>
            </w:tcMar>
          </w:tcPr>
          <w:p>
            <w:pPr>
              <w:spacing w:after="40" w:before="40"/>
            </w:pPr>
            <w:r>
              <w:rPr>
                <w:sz w:val="16"/>
              </w:rPr>
              <w:t>Phase 4F - thesis / slides</w:t>
            </w:r>
          </w:p>
        </w:tc>
        <w:tc>
          <w:tcPr>
            <w:tcW w:type="dxa" w:w="4882"/>
            <w:vAlign w:val="center"/>
            <w:tcMar>
              <w:top w:w="75" w:type="dxa"/>
              <w:left w:w="75" w:type="dxa"/>
              <w:bottom w:w="75" w:type="dxa"/>
              <w:right w:w="75" w:type="dxa"/>
            </w:tcMar>
          </w:tcPr>
          <w:p>
            <w:pPr>
              <w:spacing w:after="40" w:before="40"/>
            </w:pPr>
            <w:r>
              <w:rPr>
                <w:sz w:val="16"/>
              </w:rPr>
              <w:t>Revise literature chapter, experiments, novelty and limitations; explain phases, not days; verify diagrams against code.</w:t>
            </w:r>
          </w:p>
        </w:tc>
      </w:tr>
      <w:tr>
        <w:tc>
          <w:tcPr>
            <w:tcW w:type="dxa" w:w="4882"/>
            <w:vAlign w:val="center"/>
            <w:tcMar>
              <w:top w:w="75" w:type="dxa"/>
              <w:left w:w="75" w:type="dxa"/>
              <w:bottom w:w="75" w:type="dxa"/>
              <w:right w:w="75" w:type="dxa"/>
            </w:tcMar>
          </w:tcPr>
          <w:p>
            <w:pPr>
              <w:spacing w:after="40" w:before="40"/>
            </w:pPr>
            <w:r>
              <w:rPr>
                <w:sz w:val="16"/>
              </w:rPr>
              <w:t>Phase 4G - reproducibility</w:t>
            </w:r>
          </w:p>
        </w:tc>
        <w:tc>
          <w:tcPr>
            <w:tcW w:type="dxa" w:w="4882"/>
            <w:vAlign w:val="center"/>
            <w:tcMar>
              <w:top w:w="75" w:type="dxa"/>
              <w:left w:w="75" w:type="dxa"/>
              <w:bottom w:w="75" w:type="dxa"/>
              <w:right w:w="75" w:type="dxa"/>
            </w:tcMar>
          </w:tcPr>
          <w:p>
            <w:pPr>
              <w:spacing w:after="40" w:before="40"/>
            </w:pPr>
            <w:r>
              <w:rPr>
                <w:sz w:val="16"/>
              </w:rPr>
              <w:t>Run clean checkout/tool tests; verify SHA manifests, remove sensitive data and check library redistribution terms.</w:t>
            </w:r>
          </w:p>
        </w:tc>
      </w:tr>
      <w:tr>
        <w:tc>
          <w:tcPr>
            <w:tcW w:type="dxa" w:w="4882"/>
            <w:vAlign w:val="center"/>
            <w:tcMar>
              <w:top w:w="75" w:type="dxa"/>
              <w:left w:w="75" w:type="dxa"/>
              <w:bottom w:w="75" w:type="dxa"/>
              <w:right w:w="75" w:type="dxa"/>
            </w:tcMar>
          </w:tcPr>
          <w:p>
            <w:pPr>
              <w:spacing w:after="40" w:before="40"/>
            </w:pPr>
            <w:r>
              <w:rPr>
                <w:sz w:val="16"/>
              </w:rPr>
              <w:t>Publication decision</w:t>
            </w:r>
          </w:p>
        </w:tc>
        <w:tc>
          <w:tcPr>
            <w:tcW w:type="dxa" w:w="4882"/>
            <w:vAlign w:val="center"/>
            <w:tcMar>
              <w:top w:w="75" w:type="dxa"/>
              <w:left w:w="75" w:type="dxa"/>
              <w:bottom w:w="75" w:type="dxa"/>
              <w:right w:w="75" w:type="dxa"/>
            </w:tcMar>
          </w:tcPr>
          <w:p>
            <w:pPr>
              <w:spacing w:after="40" w:before="40"/>
            </w:pPr>
            <w:r>
              <w:rPr>
                <w:sz w:val="16"/>
              </w:rPr>
              <w:t>Optional independent-benchmark study and comparison to nearest methods before claiming conference/journal novelty.</w:t>
            </w:r>
          </w:p>
        </w:tc>
      </w:tr>
    </w:tbl>
    <w:p>
      <w:pPr>
        <w:pStyle w:val="Heading1"/>
      </w:pPr>
      <w:r>
        <w:t>8. Phase-based evidence locator</w:t>
      </w:r>
    </w:p>
    <w:tbl>
      <w:tblPr>
        <w:tblStyle w:val="LightShading-Accent1"/>
        <w:tblW w:type="auto" w:w="0"/>
        <w:jc w:val="center"/>
        <w:tblLook w:firstColumn="1" w:firstRow="1" w:lastColumn="0" w:lastRow="0" w:noHBand="0" w:noVBand="1" w:val="04A0"/>
      </w:tblPr>
      <w:tblGrid>
        <w:gridCol w:w="4882"/>
        <w:gridCol w:w="4882"/>
      </w:tblGrid>
      <w:tr>
        <w:tc>
          <w:tcPr>
            <w:tcW w:type="dxa" w:w="4882"/>
            <w:tcMar>
              <w:top w:w="75" w:type="dxa"/>
              <w:left w:w="75" w:type="dxa"/>
              <w:bottom w:w="75" w:type="dxa"/>
              <w:right w:w="75" w:type="dxa"/>
            </w:tcMar>
            <w:shd w:fill="EAF4F6"/>
          </w:tcPr>
          <w:p>
            <w:r>
              <w:rPr>
                <w:b/>
                <w:sz w:val="16"/>
              </w:rPr>
              <w:t>Finding</w:t>
            </w:r>
          </w:p>
        </w:tc>
        <w:tc>
          <w:tcPr>
            <w:tcW w:type="dxa" w:w="4882"/>
            <w:tcMar>
              <w:top w:w="75" w:type="dxa"/>
              <w:left w:w="75" w:type="dxa"/>
              <w:bottom w:w="75" w:type="dxa"/>
              <w:right w:w="75" w:type="dxa"/>
            </w:tcMar>
            <w:shd w:fill="EAF4F6"/>
          </w:tcPr>
          <w:p>
            <w:r>
              <w:rPr>
                <w:b/>
                <w:sz w:val="16"/>
              </w:rPr>
              <w:t>Existing WSL evidence path (relative to phase_workflow)</w:t>
            </w:r>
          </w:p>
        </w:tc>
      </w:tr>
      <w:tr>
        <w:tc>
          <w:tcPr>
            <w:tcW w:type="dxa" w:w="4882"/>
            <w:vAlign w:val="center"/>
            <w:tcMar>
              <w:top w:w="75" w:type="dxa"/>
              <w:left w:w="75" w:type="dxa"/>
              <w:bottom w:w="75" w:type="dxa"/>
              <w:right w:w="75" w:type="dxa"/>
            </w:tcMar>
          </w:tcPr>
          <w:p>
            <w:pPr>
              <w:spacing w:after="40" w:before="40"/>
            </w:pPr>
            <w:r>
              <w:rPr>
                <w:sz w:val="16"/>
              </w:rPr>
              <w:t>12/12 workflow audit</w:t>
            </w:r>
          </w:p>
        </w:tc>
        <w:tc>
          <w:tcPr>
            <w:tcW w:type="dxa" w:w="4882"/>
            <w:vAlign w:val="center"/>
            <w:tcMar>
              <w:top w:w="75" w:type="dxa"/>
              <w:left w:w="75" w:type="dxa"/>
              <w:bottom w:w="75" w:type="dxa"/>
              <w:right w:w="75" w:type="dxa"/>
            </w:tcMar>
          </w:tcPr>
          <w:p>
            <w:pPr>
              <w:spacing w:after="40" w:before="40"/>
            </w:pPr>
            <w:r>
              <w:rPr>
                <w:sz w:val="16"/>
              </w:rPr>
              <w:t>evaluation/workflow_status.json</w:t>
            </w:r>
          </w:p>
        </w:tc>
      </w:tr>
      <w:tr>
        <w:tc>
          <w:tcPr>
            <w:tcW w:type="dxa" w:w="4882"/>
            <w:vAlign w:val="center"/>
            <w:tcMar>
              <w:top w:w="75" w:type="dxa"/>
              <w:left w:w="75" w:type="dxa"/>
              <w:bottom w:w="75" w:type="dxa"/>
              <w:right w:w="75" w:type="dxa"/>
            </w:tcMar>
          </w:tcPr>
          <w:p>
            <w:pPr>
              <w:spacing w:after="40" w:before="40"/>
            </w:pPr>
            <w:r>
              <w:rPr>
                <w:sz w:val="16"/>
              </w:rPr>
              <w:t>Initial Hermes and baseline coverage</w:t>
            </w:r>
          </w:p>
        </w:tc>
        <w:tc>
          <w:tcPr>
            <w:tcW w:type="dxa" w:w="4882"/>
            <w:vAlign w:val="center"/>
            <w:tcMar>
              <w:top w:w="75" w:type="dxa"/>
              <w:left w:w="75" w:type="dxa"/>
              <w:bottom w:w="75" w:type="dxa"/>
              <w:right w:w="75" w:type="dxa"/>
            </w:tcMar>
          </w:tcPr>
          <w:p>
            <w:pPr>
              <w:spacing w:after="40" w:before="40"/>
            </w:pPr>
            <w:r>
              <w:rPr>
                <w:sz w:val="16"/>
              </w:rPr>
              <w:t>phase_03_ai_verification/results/evaluation_summary.json</w:t>
            </w:r>
          </w:p>
        </w:tc>
      </w:tr>
      <w:tr>
        <w:tc>
          <w:tcPr>
            <w:tcW w:type="dxa" w:w="4882"/>
            <w:vAlign w:val="center"/>
            <w:tcMar>
              <w:top w:w="75" w:type="dxa"/>
              <w:left w:w="75" w:type="dxa"/>
              <w:bottom w:w="75" w:type="dxa"/>
              <w:right w:w="75" w:type="dxa"/>
            </w:tcMar>
          </w:tcPr>
          <w:p>
            <w:pPr>
              <w:spacing w:after="40" w:before="40"/>
            </w:pPr>
            <w:r>
              <w:rPr>
                <w:sz w:val="16"/>
              </w:rPr>
              <w:t>10-seed baseline statistics</w:t>
            </w:r>
          </w:p>
        </w:tc>
        <w:tc>
          <w:tcPr>
            <w:tcW w:type="dxa" w:w="4882"/>
            <w:vAlign w:val="center"/>
            <w:tcMar>
              <w:top w:w="75" w:type="dxa"/>
              <w:left w:w="75" w:type="dxa"/>
              <w:bottom w:w="75" w:type="dxa"/>
              <w:right w:w="75" w:type="dxa"/>
            </w:tcMar>
          </w:tcPr>
          <w:p>
            <w:pPr>
              <w:spacing w:after="40" w:before="40"/>
            </w:pPr>
            <w:r>
              <w:rPr>
                <w:sz w:val="16"/>
              </w:rPr>
              <w:t>evaluation/repeatability/phase4c_*/phase4c_summary.json</w:t>
            </w:r>
          </w:p>
        </w:tc>
      </w:tr>
      <w:tr>
        <w:tc>
          <w:tcPr>
            <w:tcW w:type="dxa" w:w="4882"/>
            <w:vAlign w:val="center"/>
            <w:tcMar>
              <w:top w:w="75" w:type="dxa"/>
              <w:left w:w="75" w:type="dxa"/>
              <w:bottom w:w="75" w:type="dxa"/>
              <w:right w:w="75" w:type="dxa"/>
            </w:tcMar>
          </w:tcPr>
          <w:p>
            <w:pPr>
              <w:spacing w:after="40" w:before="40"/>
            </w:pPr>
            <w:r>
              <w:rPr>
                <w:sz w:val="16"/>
              </w:rPr>
              <w:t>Five fresh Hermes generations</w:t>
            </w:r>
          </w:p>
        </w:tc>
        <w:tc>
          <w:tcPr>
            <w:tcW w:type="dxa" w:w="4882"/>
            <w:vAlign w:val="center"/>
            <w:tcMar>
              <w:top w:w="75" w:type="dxa"/>
              <w:left w:w="75" w:type="dxa"/>
              <w:bottom w:w="75" w:type="dxa"/>
              <w:right w:w="75" w:type="dxa"/>
            </w:tcMar>
          </w:tcPr>
          <w:p>
            <w:pPr>
              <w:spacing w:after="40" w:before="40"/>
            </w:pPr>
            <w:r>
              <w:rPr>
                <w:sz w:val="16"/>
              </w:rPr>
              <w:t>evaluation/repeatability/hermes_trials/phase4c2_*/phase4c2_summary.json</w:t>
            </w:r>
          </w:p>
        </w:tc>
      </w:tr>
      <w:tr>
        <w:tc>
          <w:tcPr>
            <w:tcW w:type="dxa" w:w="4882"/>
            <w:vAlign w:val="center"/>
            <w:tcMar>
              <w:top w:w="75" w:type="dxa"/>
              <w:left w:w="75" w:type="dxa"/>
              <w:bottom w:w="75" w:type="dxa"/>
              <w:right w:w="75" w:type="dxa"/>
            </w:tcMar>
          </w:tcPr>
          <w:p>
            <w:pPr>
              <w:spacing w:after="40" w:before="40"/>
            </w:pPr>
            <w:r>
              <w:rPr>
                <w:sz w:val="16"/>
              </w:rPr>
              <w:t>Corrected 14-mutant evaluation</w:t>
            </w:r>
          </w:p>
        </w:tc>
        <w:tc>
          <w:tcPr>
            <w:tcW w:type="dxa" w:w="4882"/>
            <w:vAlign w:val="center"/>
            <w:tcMar>
              <w:top w:w="75" w:type="dxa"/>
              <w:left w:w="75" w:type="dxa"/>
              <w:bottom w:w="75" w:type="dxa"/>
              <w:right w:w="75" w:type="dxa"/>
            </w:tcMar>
          </w:tcPr>
          <w:p>
            <w:pPr>
              <w:spacing w:after="40" w:before="40"/>
            </w:pPr>
            <w:r>
              <w:rPr>
                <w:sz w:val="16"/>
              </w:rPr>
              <w:t>evaluation/fault_injection/phase4d5_reset_checker_*/corrected_checker_summary.json (1512 runs)</w:t>
            </w:r>
          </w:p>
        </w:tc>
      </w:tr>
      <w:tr>
        <w:tc>
          <w:tcPr>
            <w:tcW w:type="dxa" w:w="4882"/>
            <w:vAlign w:val="center"/>
            <w:tcMar>
              <w:top w:w="75" w:type="dxa"/>
              <w:left w:w="75" w:type="dxa"/>
              <w:bottom w:w="75" w:type="dxa"/>
              <w:right w:w="75" w:type="dxa"/>
            </w:tcMar>
          </w:tcPr>
          <w:p>
            <w:pPr>
              <w:spacing w:after="40" w:before="40"/>
            </w:pPr>
            <w:r>
              <w:rPr>
                <w:sz w:val="16"/>
              </w:rPr>
              <w:t>Hermes feedback closure</w:t>
            </w:r>
          </w:p>
        </w:tc>
        <w:tc>
          <w:tcPr>
            <w:tcW w:type="dxa" w:w="4882"/>
            <w:vAlign w:val="center"/>
            <w:tcMar>
              <w:top w:w="75" w:type="dxa"/>
              <w:left w:w="75" w:type="dxa"/>
              <w:bottom w:w="75" w:type="dxa"/>
              <w:right w:w="75" w:type="dxa"/>
            </w:tcMar>
          </w:tcPr>
          <w:p>
            <w:pPr>
              <w:spacing w:after="40" w:before="40"/>
            </w:pPr>
            <w:r>
              <w:rPr>
                <w:sz w:val="16"/>
              </w:rPr>
              <w:t>evaluation/feedback_closure/phase4d7_*/experiment_status.json</w:t>
            </w:r>
          </w:p>
        </w:tc>
      </w:tr>
      <w:tr>
        <w:tc>
          <w:tcPr>
            <w:tcW w:type="dxa" w:w="4882"/>
            <w:vAlign w:val="center"/>
            <w:tcMar>
              <w:top w:w="75" w:type="dxa"/>
              <w:left w:w="75" w:type="dxa"/>
              <w:bottom w:w="75" w:type="dxa"/>
              <w:right w:w="75" w:type="dxa"/>
            </w:tcMar>
          </w:tcPr>
          <w:p>
            <w:pPr>
              <w:spacing w:after="40" w:before="40"/>
            </w:pPr>
            <w:r>
              <w:rPr>
                <w:sz w:val="16"/>
              </w:rPr>
              <w:t>Archived PPA</w:t>
            </w:r>
          </w:p>
        </w:tc>
        <w:tc>
          <w:tcPr>
            <w:tcW w:type="dxa" w:w="4882"/>
            <w:vAlign w:val="center"/>
            <w:tcMar>
              <w:top w:w="75" w:type="dxa"/>
              <w:left w:w="75" w:type="dxa"/>
              <w:bottom w:w="75" w:type="dxa"/>
              <w:right w:w="75" w:type="dxa"/>
            </w:tcMar>
          </w:tcPr>
          <w:p>
            <w:pPr>
              <w:spacing w:after="40" w:before="40"/>
            </w:pPr>
            <w:r>
              <w:rPr>
                <w:sz w:val="16"/>
              </w:rPr>
              <w:t>phase_04_uart_novelty/UART_ARCHITECTURE_RESULTS.md</w:t>
            </w:r>
          </w:p>
        </w:tc>
      </w:tr>
    </w:tbl>
    <w:p>
      <w:pPr>
        <w:pStyle w:val="SmallCaption"/>
      </w:pPr>
      <w:r>
        <w:t>Globs (*) represent timestamped evidence directories. The supplied Phase 4E audit resolves and verifies the relevant successful records without modifying original results.</w:t>
      </w:r>
    </w:p>
    <w:p>
      <w:pPr>
        <w:pStyle w:val="Heading1"/>
      </w:pPr>
      <w:r>
        <w:t>References: verified bibliographic records</w:t>
      </w:r>
    </w:p>
    <w:p>
      <w:pPr>
        <w:spacing w:after="120"/>
      </w:pPr>
      <w:r>
        <w:rPr>
          <w:sz w:val="17"/>
        </w:rPr>
        <w:t>[R1] Qiu, R.; Zhang, G. L.; Drechsler, R.; Schlichtmann, U.; Li, B. (2024). AutoBench: Automatic Testbench Generation and Evaluation Using LLMs for HDL Design. ACM/IEEE MLCAD. DOI: https://doi.org/10.1145/3670474.3685956.</w:t>
      </w:r>
    </w:p>
    <w:p>
      <w:pPr>
        <w:spacing w:after="120"/>
      </w:pPr>
      <w:r>
        <w:rPr>
          <w:sz w:val="17"/>
        </w:rPr>
        <w:t>[R2] Qiu, R.; Zhang, G. L.; Drechsler, R.; Schlichtmann, U.; Li, B. (2025). CorrectBench: Automatic Testbench Generation with Functional Self-Correction using LLMs for HDL Design. IEEE DATE. DOI: https://doi.org/10.23919/DATE64628.2025.10992873.</w:t>
      </w:r>
    </w:p>
    <w:p>
      <w:pPr>
        <w:spacing w:after="120"/>
      </w:pPr>
      <w:r>
        <w:rPr>
          <w:sz w:val="17"/>
        </w:rPr>
        <w:t>[R3] Zhang, Z.; Szekely, B.; Gimenes, P.; Chadwick, G.; et al. (2025). LLM4DV: Using Large Language Models for Hardware Test Stimuli Generation. IEEE FCCM. DOI: https://doi.org/10.1109/FCCM62733.2025.00048.</w:t>
      </w:r>
    </w:p>
    <w:p>
      <w:pPr>
        <w:spacing w:after="120"/>
      </w:pPr>
      <w:r>
        <w:rPr>
          <w:sz w:val="17"/>
        </w:rPr>
        <w:t>[R4] Wan, G.-W.; Su, S.; Zhang, J.; Wong, S.-Z.; Xing, M.; et al. (2026). ChatTest: Coverage-Enhanced Testbench Generation for Agile Hardware Verification with LLMs. IEEE DATE. DOI: https://doi.org/10.23919/DATE69613.2026.11539733.</w:t>
      </w:r>
    </w:p>
    <w:p>
      <w:pPr>
        <w:spacing w:after="120"/>
      </w:pPr>
      <w:r>
        <w:rPr>
          <w:sz w:val="17"/>
        </w:rPr>
        <w:t>[R5] Wang, Y.; Zhou, J.; Lyu, H.; Chen, B.; et al. (2026). AssertMiner-pro: Enhanced module-level spec generation and assertion mining with LLM guided by top-down hierarchical strategies. Integration (Elsevier), vol. 110, article 102797. DOI: https://doi.org/10.1016/j.vlsi.2026.102797.</w:t>
      </w:r>
    </w:p>
    <w:p>
      <w:pPr>
        <w:spacing w:after="120"/>
      </w:pPr>
      <w:r>
        <w:rPr>
          <w:sz w:val="17"/>
        </w:rPr>
        <w:t>[R6] Dakhama, A.; Even-Mendoza, K.; Langdon, W. B.; Menéndez, H. D.; Petke, J. (2025). Enhancing search-based testing with LLMs for finding bugs in system simulators. Automated Software Engineering (Springer), 32:63. DOI: https://doi.org/10.1007/s10515-025-00531-7.</w:t>
      </w:r>
    </w:p>
    <w:p>
      <w:pPr>
        <w:spacing w:after="120"/>
      </w:pPr>
      <w:r>
        <w:rPr>
          <w:sz w:val="17"/>
        </w:rPr>
        <w:t>[R7] Jha, C. K.; Hassan, M.; Qayyum, K.; et al. (2025). Large Language Models (LLMs) for Verification, Testing, and Design. IEEE European Test Symposium (ETS). DOI: https://doi.org/10.1109/ETS63895.2025.11049311.</w:t>
      </w:r>
    </w:p>
    <w:p>
      <w:r>
        <w:t>Bibliographic status: DOI/venue/title verified from publisher, institutional or reliable index sources. The user-supplied AssertMiner-pro preview is not the publisher’s complete downloadable article. The verification claims in this report are based on the user’s shared terminal outputs unless separately regenerated by the WSL evidence audit.</w:t>
      </w:r>
    </w:p>
    <w:sectPr w:rsidR="00FC693F" w:rsidRPr="0006063C" w:rsidSect="00034616">
      <w:headerReference w:type="default" r:id="rId9"/>
      <w:footerReference w:type="default" r:id="rId10"/>
      <w:pgSz w:w="12240" w:h="15840"/>
      <w:pgMar w:top="1123"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Phase-based research review  |  10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6779"/>
        <w:sz w:val="16"/>
      </w:rPr>
      <w:t>M.TECH  /  AI-DRIVEN RTL VERIFICATION  /  PHASE 4E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B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72B44"/>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72B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b/>
      <w:color w:val="172B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pPr>
      <w:spacing w:after="80"/>
    </w:pPr>
    <w:rPr>
      <w:rFonts w:ascii="Aptos" w:hAnsi="Aptos"/>
      <w:color w:val="5567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4E - Literature Review and Novelty Assessment</dc:title>
  <dc:subject>M.Tech AI-driven UART RTL verification research assessment</dc:subject>
  <dc:creator>M.Tech Project Research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