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Four-Phase Project Development &amp; Final Review Guide</w:t>
      </w:r>
    </w:p>
    <w:p>
      <w:pPr>
        <w:pStyle w:val="Subtitle"/>
      </w:pPr>
      <w:r>
        <w:t>AI-Driven RTL Test Generation, Coverage Analysis and Verification</w:t>
      </w:r>
    </w:p>
    <w:p>
      <w:r>
        <w:t>Execution flow, verified evidence, research claims and reproducibility boundaries. Organized entirely by engineering phases for presentation and submission.</w:t>
      </w:r>
    </w:p>
    <w:p>
      <w:r>
        <w:t>Source audit reference: Git commit 9c44150185d5 • Local workflow acceptance: 12/12 PASS (user-provided WSL results).</w:t>
      </w:r>
    </w:p>
    <w:p>
      <w:pPr>
        <w:pStyle w:val="Heading1"/>
      </w:pPr>
      <w:r>
        <w:t>Review navigation</w:t>
      </w:r>
    </w:p>
    <w:p>
      <w:pPr>
        <w:pStyle w:val="ListBullet"/>
      </w:pPr>
      <w:r>
        <w:t>Phase 1 — RTL architecture and DUT design</w:t>
      </w:r>
    </w:p>
    <w:p>
      <w:pPr>
        <w:pStyle w:val="ListBullet"/>
      </w:pPr>
      <w:r>
        <w:t>Phase 2 — RTL parsing and Python knowledge extraction</w:t>
      </w:r>
    </w:p>
    <w:p>
      <w:pPr>
        <w:pStyle w:val="ListBullet"/>
      </w:pPr>
      <w:r>
        <w:t>Phase 3 — Hermes-driven stimulus, checking, simulation and feedback</w:t>
      </w:r>
    </w:p>
    <w:p>
      <w:pPr>
        <w:pStyle w:val="ListBullet"/>
      </w:pPr>
      <w:r>
        <w:t>Phase 4 — Research comparison, fault sensitivity, PPA and thesis evidence</w:t>
      </w:r>
    </w:p>
    <w:p>
      <w:r>
        <w:br w:type="page"/>
      </w:r>
    </w:p>
    <w:p>
      <w:pPr>
        <w:pStyle w:val="Heading1"/>
      </w:pPr>
      <w:r>
        <w:t>Phase 1 — RTL Design</w:t>
      </w:r>
    </w:p>
    <w:p>
      <w:r>
        <w:t>Goal: Define functional DUTs and preserve both baseline and optimized RTL implementations.</w:t>
      </w:r>
    </w:p>
    <w:p>
      <w:pPr>
        <w:pStyle w:val="ListNumber"/>
      </w:pPr>
      <w:r>
        <w:t>Specify ALU, FIFO, FSM/sequence detector and 8N1 UART functionality.</w:t>
      </w:r>
    </w:p>
    <w:p>
      <w:pPr>
        <w:pStyle w:val="ListNumber"/>
      </w:pPr>
      <w:r>
        <w:t>Maintain reference RTL and optimized design variants; document interfaces, resets, TX/RX sequencing and supported clock settings.</w:t>
      </w:r>
    </w:p>
    <w:p>
      <w:pPr>
        <w:pStyle w:val="ListNumber"/>
      </w:pPr>
      <w:r>
        <w:t>Explain ALU shared add/sub resources, FIFO reset optimization, Mealy/Moore alternatives and UART TX/RX trade-offs.</w:t>
      </w:r>
    </w:p>
    <w:p>
      <w:pPr>
        <w:pStyle w:val="ListNumber"/>
      </w:pPr>
      <w:r>
        <w:t>Verify RTL snapshots and compare independently with simulation-based functional oracles.</w:t>
      </w:r>
    </w:p>
    <w:p>
      <w:r>
        <w:rPr>
          <w:b/>
        </w:rPr>
        <w:t>Primary repository locations: phase_workflow/phase_01_rtl/ and historical rtl/ / extensions/rtl/.</w:t>
      </w:r>
    </w:p>
    <w:p>
      <w:r>
        <w:rPr>
          <w:b/>
        </w:rPr>
        <w:t>Gate: UART RTL present — Verified; earlier 18-requirement archive — Verified.</w:t>
      </w:r>
    </w:p>
    <w:p>
      <w:pPr>
        <w:pStyle w:val="Heading1"/>
      </w:pPr>
      <w:r>
        <w:t>Phase 2 — RTL Parsing to Python</w:t>
      </w:r>
    </w:p>
    <w:p>
      <w:r>
        <w:t>Goal: Convert RTL into a structured Python knowledge model, avoiding invented behavioral claims.</w:t>
      </w:r>
    </w:p>
    <w:p>
      <w:pPr>
        <w:pStyle w:val="ListNumber"/>
      </w:pPr>
      <w:r>
        <w:t>Parse baseline and optimized UART modules with PyVerilog AST.</w:t>
      </w:r>
    </w:p>
    <w:p>
      <w:pPr>
        <w:pStyle w:val="ListNumber"/>
      </w:pPr>
      <w:r>
        <w:t>Extract module names, ports, parameters, state/control constructs, reset structure and RTL fingerprints.</w:t>
      </w:r>
    </w:p>
    <w:p>
      <w:pPr>
        <w:pStyle w:val="ListNumber"/>
      </w:pPr>
      <w:r>
        <w:t>Validate JSON structure and compare source hashes against the parsed modules.</w:t>
      </w:r>
    </w:p>
    <w:p>
      <w:pPr>
        <w:pStyle w:val="ListNumber"/>
      </w:pPr>
      <w:r>
        <w:t>Build verification objectives and UART functional coverage bins from the validated knowledge model and explicit design contract.</w:t>
      </w:r>
    </w:p>
    <w:p>
      <w:r>
        <w:rPr>
          <w:b/>
        </w:rPr>
        <w:t>Primary locations: phase_workflow/phase_02_parsing/ and parser/.</w:t>
      </w:r>
    </w:p>
    <w:p>
      <w:r>
        <w:rPr>
          <w:b/>
        </w:rPr>
        <w:t>Gate: UART knowledge JSON — Verified.</w:t>
      </w:r>
    </w:p>
    <w:p>
      <w:pPr>
        <w:pStyle w:val="Heading1"/>
      </w:pPr>
      <w:r>
        <w:t>Phase 3 — AI/LLM Verification</w:t>
      </w:r>
    </w:p>
    <w:p>
      <w:r>
        <w:t>Goal: Execute a controlled and measured AI-to-Verilog verification loop.</w:t>
      </w:r>
    </w:p>
    <w:p>
      <w:pPr>
        <w:pStyle w:val="ListNumber"/>
      </w:pPr>
      <w:r>
        <w:t>Generate deterministic verification objectives and a bounded Hermes prompt.</w:t>
      </w:r>
    </w:p>
    <w:p>
      <w:pPr>
        <w:pStyle w:val="ListNumber"/>
      </w:pPr>
      <w:r>
        <w:t>Obtain a real model response and validate candidate scenario JSON against the approved schema.</w:t>
      </w:r>
    </w:p>
    <w:p>
      <w:pPr>
        <w:pStyle w:val="ListNumber"/>
      </w:pPr>
      <w:r>
        <w:t>Generate self-checking Icarus Verilog testbenches; compare baseline and optimized behavior.</w:t>
      </w:r>
    </w:p>
    <w:p>
      <w:pPr>
        <w:pStyle w:val="ListNumber"/>
      </w:pPr>
      <w:r>
        <w:t>Run directed, deterministic random and AI suites at CPB 8, 16, 32 and 64.</w:t>
      </w:r>
    </w:p>
    <w:p>
      <w:pPr>
        <w:pStyle w:val="ListNumber"/>
      </w:pPr>
      <w:r>
        <w:t>Measure *simulator-observed* coverage, not coverage claimed by the model.</w:t>
      </w:r>
    </w:p>
    <w:p>
      <w:pPr>
        <w:pStyle w:val="ListNumber"/>
      </w:pPr>
      <w:r>
        <w:t>Identify missing bins, request targeted Hermes feedback, validate and re-simulate.</w:t>
      </w:r>
    </w:p>
    <w:p>
      <w:pPr>
        <w:pStyle w:val="ListNumber"/>
      </w:pPr>
      <w:r>
        <w:t>Keep equal initial test budgets separate from extra feedback calls and scenarios.</w:t>
      </w:r>
    </w:p>
    <w:p>
      <w:r>
        <w:rPr>
          <w:b/>
        </w:rPr>
        <w:t>Primary locations: phase_workflow/phase_03_ai_verification/, hermes/, test_generation/ and coverage/.</w:t>
      </w:r>
    </w:p>
    <w:p>
      <w:r>
        <w:rPr>
          <w:b/>
        </w:rPr>
        <w:t>Gate: Three verification suites and real Hermes — Verified.</w:t>
      </w:r>
    </w:p>
    <w:p>
      <w:pPr>
        <w:pStyle w:val="Heading1"/>
      </w:pPr>
      <w:r>
        <w:t>Phase 4 — UART Novelty</w:t>
      </w:r>
    </w:p>
    <w:p>
      <w:r>
        <w:t>Goal: Quantify verification effectiveness and the distinct UART architecture trade-off.</w:t>
      </w:r>
    </w:p>
    <w:p>
      <w:pPr>
        <w:pStyle w:val="ListNumber"/>
      </w:pPr>
      <w:r>
        <w:t>Report initial coverage for directed, payload-random, protocol-random and Hermes-based suites.</w:t>
      </w:r>
    </w:p>
    <w:p>
      <w:pPr>
        <w:pStyle w:val="ListNumber"/>
      </w:pPr>
      <w:r>
        <w:t>Evaluate multiple random seeds and independent Hermes-generated scenario sets.</w:t>
      </w:r>
    </w:p>
    <w:p>
      <w:pPr>
        <w:pStyle w:val="ListNumber"/>
      </w:pPr>
      <w:r>
        <w:t>Test fourteen deliberate UART fault operators; distinguish fault observation from stimulus coverage.</w:t>
      </w:r>
    </w:p>
    <w:p>
      <w:pPr>
        <w:pStyle w:val="ListNumber"/>
      </w:pPr>
      <w:r>
        <w:t>Compare original and corrected reset-checker detection, preserving original scores.</w:t>
      </w:r>
    </w:p>
    <w:p>
      <w:pPr>
        <w:pStyle w:val="ListNumber"/>
      </w:pPr>
      <w:r>
        <w:t>Demonstrate real feedback closure and compare with matched directed feedback.</w:t>
      </w:r>
    </w:p>
    <w:p>
      <w:pPr>
        <w:pStyle w:val="ListNumber"/>
      </w:pPr>
      <w:r>
        <w:t>Report RTL-equivalent UART mapped area / estimated switching-activity power for baseline, optimized and hybrid architecture; **do not attribute PPA improvements to AI**.</w:t>
      </w:r>
    </w:p>
    <w:p>
      <w:pPr>
        <w:pStyle w:val="ListNumber"/>
      </w:pPr>
      <w:r>
        <w:t>Review prior art and restrict novelty to evidence-supported claims.</w:t>
      </w:r>
    </w:p>
    <w:p>
      <w:pPr>
        <w:pStyle w:val="ListNumber"/>
      </w:pPr>
      <w:r>
        <w:t>Prepare phase-labeled diagrams, literature, thesis and review presentation; carry out source-only clean-checkout reproducibility.</w:t>
      </w:r>
    </w:p>
    <w:p>
      <w:r>
        <w:rPr>
          <w:b/>
        </w:rPr>
        <w:t>Primary locations: phase_workflow/phase_04_uart_novelty/, phase_workflow/evaluation/ and phase_workflow/docs/.</w:t>
      </w:r>
    </w:p>
    <w:p>
      <w:r>
        <w:rPr>
          <w:b/>
        </w:rPr>
        <w:t>Gates: Architecture report — Verified; fresh AI repeatability — Verified; corrected mutation study — Verified; feedback — Verified.</w:t>
      </w:r>
    </w:p>
    <w:p>
      <w:pPr>
        <w:pStyle w:val="Heading1"/>
      </w:pPr>
      <w:r>
        <w:t>Experimental results already supported by the WSL execution transcripts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</w:tcPr>
          <w:p>
            <w:r>
              <w:t>Controlled experiment</w:t>
            </w:r>
          </w:p>
        </w:tc>
        <w:tc>
          <w:tcPr>
            <w:tcW w:type="dxa" w:w="3274"/>
          </w:tcPr>
          <w:p>
            <w:r>
              <w:t>Reported outcome</w:t>
            </w:r>
          </w:p>
        </w:tc>
        <w:tc>
          <w:tcPr>
            <w:tcW w:type="dxa" w:w="3274"/>
          </w:tcPr>
          <w:p>
            <w:r>
              <w:t>Qualification</w:t>
            </w:r>
          </w:p>
        </w:tc>
      </w:tr>
      <w:tr>
        <w:tc>
          <w:tcPr>
            <w:tcW w:type="dxa" w:w="3274"/>
          </w:tcPr>
          <w:p>
            <w:r>
              <w:t>Initial directed UART</w:t>
            </w:r>
          </w:p>
        </w:tc>
        <w:tc>
          <w:tcPr>
            <w:tcW w:type="dxa" w:w="3274"/>
          </w:tcPr>
          <w:p>
            <w:r>
              <w:t>60% of 10 bins</w:t>
            </w:r>
          </w:p>
        </w:tc>
        <w:tc>
          <w:tcPr>
            <w:tcW w:type="dxa" w:w="3274"/>
          </w:tcPr>
          <w:p>
            <w:r>
              <w:t>10 scenarios, four CPB settings</w:t>
            </w:r>
          </w:p>
        </w:tc>
      </w:tr>
      <w:tr>
        <w:tc>
          <w:tcPr>
            <w:tcW w:type="dxa" w:w="3274"/>
          </w:tcPr>
          <w:p>
            <w:r>
              <w:t>Initial payload-only random UART</w:t>
            </w:r>
          </w:p>
        </w:tc>
        <w:tc>
          <w:tcPr>
            <w:tcW w:type="dxa" w:w="3274"/>
          </w:tcPr>
          <w:p>
            <w:r>
              <w:t>20% of 10 bins</w:t>
            </w:r>
          </w:p>
        </w:tc>
        <w:tc>
          <w:tcPr>
            <w:tcW w:type="dxa" w:w="3274"/>
          </w:tcPr>
          <w:p>
            <w:r>
              <w:t>One original suite, four CPB settings</w:t>
            </w:r>
          </w:p>
        </w:tc>
      </w:tr>
      <w:tr>
        <w:tc>
          <w:tcPr>
            <w:tcW w:type="dxa" w:w="3274"/>
          </w:tcPr>
          <w:p>
            <w:r>
              <w:t>Initial Hermes AI UART</w:t>
            </w:r>
          </w:p>
        </w:tc>
        <w:tc>
          <w:tcPr>
            <w:tcW w:type="dxa" w:w="3274"/>
          </w:tcPr>
          <w:p>
            <w:r>
              <w:t>100% of 10 bins</w:t>
            </w:r>
          </w:p>
        </w:tc>
        <w:tc>
          <w:tcPr>
            <w:tcW w:type="dxa" w:w="3274"/>
          </w:tcPr>
          <w:p>
            <w:r>
              <w:t>10 scenarios, 36,408 passing checks</w:t>
            </w:r>
          </w:p>
        </w:tc>
      </w:tr>
      <w:tr>
        <w:tc>
          <w:tcPr>
            <w:tcW w:type="dxa" w:w="3274"/>
          </w:tcPr>
          <w:p>
            <w:r>
              <w:t>Payload random, ten seeds</w:t>
            </w:r>
          </w:p>
        </w:tc>
        <w:tc>
          <w:tcPr>
            <w:tcW w:type="dxa" w:w="3274"/>
          </w:tcPr>
          <w:p>
            <w:r>
              <w:t>13% mean coverage</w:t>
            </w:r>
          </w:p>
        </w:tc>
        <w:tc>
          <w:tcPr>
            <w:tcW w:type="dxa" w:w="3274"/>
          </w:tcPr>
          <w:p>
            <w:r>
              <w:t>10 distinct seeds</w:t>
            </w:r>
          </w:p>
        </w:tc>
      </w:tr>
      <w:tr>
        <w:tc>
          <w:tcPr>
            <w:tcW w:type="dxa" w:w="3274"/>
          </w:tcPr>
          <w:p>
            <w:r>
              <w:t>Protocol random, ten seeds</w:t>
            </w:r>
          </w:p>
        </w:tc>
        <w:tc>
          <w:tcPr>
            <w:tcW w:type="dxa" w:w="3274"/>
          </w:tcPr>
          <w:p>
            <w:r>
              <w:t>69% mean coverage</w:t>
            </w:r>
          </w:p>
        </w:tc>
        <w:tc>
          <w:tcPr>
            <w:tcW w:type="dxa" w:w="3274"/>
          </w:tcPr>
          <w:p>
            <w:r>
              <w:t>10 distinct seeds</w:t>
            </w:r>
          </w:p>
        </w:tc>
      </w:tr>
      <w:tr>
        <w:tc>
          <w:tcPr>
            <w:tcW w:type="dxa" w:w="3274"/>
          </w:tcPr>
          <w:p>
            <w:r>
              <w:t>Balanced directed</w:t>
            </w:r>
          </w:p>
        </w:tc>
        <w:tc>
          <w:tcPr>
            <w:tcW w:type="dxa" w:w="3274"/>
          </w:tcPr>
          <w:p>
            <w:r>
              <w:t>100% coverage</w:t>
            </w:r>
          </w:p>
        </w:tc>
        <w:tc>
          <w:tcPr>
            <w:tcW w:type="dxa" w:w="3274"/>
          </w:tcPr>
          <w:p>
            <w:r>
              <w:t>One expert-designed suite</w:t>
            </w:r>
          </w:p>
        </w:tc>
      </w:tr>
      <w:tr>
        <w:tc>
          <w:tcPr>
            <w:tcW w:type="dxa" w:w="3274"/>
          </w:tcPr>
          <w:p>
            <w:r>
              <w:t>Five independent Hermes trials</w:t>
            </w:r>
          </w:p>
        </w:tc>
        <w:tc>
          <w:tcPr>
            <w:tcW w:type="dxa" w:w="3274"/>
          </w:tcPr>
          <w:p>
            <w:r>
              <w:t>98% mean, range 90–100%</w:t>
            </w:r>
          </w:p>
        </w:tc>
        <w:tc>
          <w:tcPr>
            <w:tcW w:type="dxa" w:w="3274"/>
          </w:tcPr>
          <w:p>
            <w:r>
              <w:t>Five successful runs; four complete</w:t>
            </w:r>
          </w:p>
        </w:tc>
      </w:tr>
      <w:tr>
        <w:tc>
          <w:tcPr>
            <w:tcW w:type="dxa" w:w="3274"/>
          </w:tcPr>
          <w:p>
            <w:r>
              <w:t>Corrected mutation checker</w:t>
            </w:r>
          </w:p>
        </w:tc>
        <w:tc>
          <w:tcPr>
            <w:tcW w:type="dxa" w:w="3274"/>
          </w:tcPr>
          <w:p>
            <w:r>
              <w:t>AI and directed: 100% of 14 mutants</w:t>
            </w:r>
          </w:p>
        </w:tc>
        <w:tc>
          <w:tcPr>
            <w:tcW w:type="dxa" w:w="3274"/>
          </w:tcPr>
          <w:p>
            <w:r>
              <w:t>Fault model limited to injected mutants</w:t>
            </w:r>
          </w:p>
        </w:tc>
      </w:tr>
      <w:tr>
        <w:tc>
          <w:tcPr>
            <w:tcW w:type="dxa" w:w="3274"/>
          </w:tcPr>
          <w:p>
            <w:r>
              <w:t>Targeted feedback on missing edge_81</w:t>
            </w:r>
          </w:p>
        </w:tc>
        <w:tc>
          <w:tcPr>
            <w:tcW w:type="dxa" w:w="3274"/>
          </w:tcPr>
          <w:p>
            <w:r>
              <w:t>90% to 100% with one new Hermes scenario</w:t>
            </w:r>
          </w:p>
        </w:tc>
        <w:tc>
          <w:tcPr>
            <w:tcW w:type="dxa" w:w="3274"/>
          </w:tcPr>
          <w:p>
            <w:r>
              <w:t>Matched directed feedback also reaches 100%</w:t>
            </w:r>
          </w:p>
        </w:tc>
      </w:tr>
    </w:tbl>
    <w:p/>
    <w:p>
      <w:r>
        <w:t>These are user-reported verified experiment outcomes. The repository audit independently checks that supporting result files are present; it does not rerun every mutation experiment or prove exhaustive hardware correctness.</w:t>
      </w:r>
    </w:p>
    <w:p>
      <w:pPr>
        <w:pStyle w:val="Heading1"/>
      </w:pPr>
      <w:r>
        <w:t>Final reviewer explanation</w:t>
      </w:r>
    </w:p>
    <w:p>
      <w:r>
        <w:t>RTL → PyVerilog AST → Python knowledge JSON → objectives → Hermes → scenario whitelist → generated self-checking Verilog testbench → Icarus simulation → functional coverage → coverage-gap feedback → research evaluation.</w:t>
      </w:r>
    </w:p>
    <w:p>
      <w:r>
        <w:t>The project is explained by four phases only. Historical chronological filenames remain internal dependencies for reproducibility; reviewers use this master workflow and phase-labeled source tree.</w:t>
      </w:r>
    </w:p>
    <w:p>
      <w:pPr>
        <w:pStyle w:val="Heading1"/>
      </w:pPr>
      <w:r>
        <w:t>Publication/reproducibility boundaries</w:t>
      </w:r>
    </w:p>
    <w:p>
      <w:pPr>
        <w:pStyle w:val="ListBullet"/>
      </w:pPr>
      <w:r>
        <w:t>The 12/12 local workflow audit and 18/18 historical audit are not the same as a full clean-checkout replication of paid model requests and pre-layout technology mapping.</w:t>
      </w:r>
    </w:p>
    <w:p>
      <w:pPr>
        <w:pStyle w:val="ListBullet"/>
      </w:pPr>
      <w:r>
        <w:t>The technology liberty file remains local unless redistribution rights are confirmed.</w:t>
      </w:r>
    </w:p>
    <w:p>
      <w:pPr>
        <w:pStyle w:val="ListBullet"/>
      </w:pPr>
      <w:r>
        <w:t>The current experiments do not establish that AI outperforms balanced directed testing, nor that 10/10 functional bins give exhaustive UART correctness.</w:t>
      </w:r>
    </w:p>
    <w:p>
      <w:pPr>
        <w:pStyle w:val="ListBullet"/>
      </w:pPr>
      <w:r>
        <w:t>Review-ready documents are still drafts until aligned with the university submission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Technical review draft • Source evidence retained without renaming historical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M.TECH  /  AI-DRIVEN RTL VERIFICATION  /  FOUR-PHASE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E3C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C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9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2D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