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692EE" w14:textId="27E9F517" w:rsidR="00C42C1D" w:rsidRDefault="00483108" w:rsidP="00C42C1D">
      <w:pPr>
        <w:ind w:left="3478"/>
        <w:rPr>
          <w:sz w:val="20"/>
        </w:rPr>
      </w:pPr>
      <w:r>
        <w:rPr>
          <w:noProof/>
          <w:sz w:val="20"/>
        </w:rPr>
        <w:drawing>
          <wp:anchor distT="0" distB="0" distL="114300" distR="114300" simplePos="0" relativeHeight="251665423" behindDoc="1" locked="0" layoutInCell="1" allowOverlap="1" wp14:anchorId="1603A59A" wp14:editId="6AE48C6D">
            <wp:simplePos x="0" y="0"/>
            <wp:positionH relativeFrom="margin">
              <wp:align>center</wp:align>
            </wp:positionH>
            <wp:positionV relativeFrom="paragraph">
              <wp:posOffset>6350</wp:posOffset>
            </wp:positionV>
            <wp:extent cx="1337945" cy="1414145"/>
            <wp:effectExtent l="0" t="0" r="0" b="0"/>
            <wp:wrapSquare wrapText="bothSides"/>
            <wp:docPr id="202270153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945" cy="1414145"/>
                    </a:xfrm>
                    <a:prstGeom prst="rect">
                      <a:avLst/>
                    </a:prstGeom>
                  </pic:spPr>
                </pic:pic>
              </a:graphicData>
            </a:graphic>
          </wp:anchor>
        </w:drawing>
      </w:r>
    </w:p>
    <w:p w14:paraId="2C0DEC9E" w14:textId="77777777" w:rsidR="00C42C1D" w:rsidRDefault="00C42C1D" w:rsidP="00C42C1D">
      <w:pPr>
        <w:pStyle w:val="TableParagraph"/>
        <w:jc w:val="center"/>
        <w:rPr>
          <w:sz w:val="40"/>
          <w:szCs w:val="40"/>
        </w:rPr>
      </w:pPr>
    </w:p>
    <w:p w14:paraId="38AEFAC7" w14:textId="4D3C9341" w:rsidR="00C42C1D" w:rsidRDefault="00C42C1D" w:rsidP="00C42C1D">
      <w:pPr>
        <w:spacing w:before="102"/>
        <w:ind w:left="9" w:right="242"/>
        <w:jc w:val="center"/>
        <w:rPr>
          <w:rFonts w:ascii="Times New Roman" w:hAnsi="Times New Roman" w:cs="Times New Roman"/>
          <w:b/>
          <w:sz w:val="32"/>
          <w:szCs w:val="32"/>
        </w:rPr>
      </w:pPr>
    </w:p>
    <w:p w14:paraId="3E14627C" w14:textId="2595A266" w:rsidR="00C42C1D" w:rsidRDefault="00C42C1D" w:rsidP="00C42C1D">
      <w:pPr>
        <w:spacing w:before="102"/>
        <w:ind w:left="9" w:right="242"/>
        <w:jc w:val="center"/>
        <w:rPr>
          <w:rFonts w:ascii="Times New Roman" w:hAnsi="Times New Roman" w:cs="Times New Roman"/>
          <w:b/>
          <w:sz w:val="32"/>
          <w:szCs w:val="32"/>
        </w:rPr>
      </w:pPr>
    </w:p>
    <w:p w14:paraId="22CC010F" w14:textId="0AF97A81" w:rsidR="00C42C1D" w:rsidRDefault="00C42C1D" w:rsidP="00C42C1D">
      <w:pPr>
        <w:spacing w:before="102"/>
        <w:ind w:left="9" w:right="242"/>
        <w:jc w:val="center"/>
        <w:rPr>
          <w:rFonts w:ascii="Times New Roman" w:hAnsi="Times New Roman" w:cs="Times New Roman"/>
          <w:b/>
          <w:sz w:val="32"/>
          <w:szCs w:val="32"/>
        </w:rPr>
      </w:pPr>
    </w:p>
    <w:p w14:paraId="7CBB50F0" w14:textId="1BDA5A6E" w:rsidR="00C42C1D" w:rsidRPr="00C42C1D" w:rsidRDefault="00C42C1D" w:rsidP="00C42C1D">
      <w:pPr>
        <w:spacing w:before="102"/>
        <w:ind w:left="9" w:right="242"/>
        <w:jc w:val="center"/>
        <w:rPr>
          <w:rFonts w:ascii="Times New Roman" w:hAnsi="Times New Roman" w:cs="Times New Roman"/>
          <w:b/>
          <w:sz w:val="32"/>
          <w:szCs w:val="32"/>
        </w:rPr>
      </w:pPr>
      <w:bookmarkStart w:id="0" w:name="_Hlk188134006"/>
      <w:r w:rsidRPr="00C42C1D">
        <w:rPr>
          <w:rFonts w:ascii="Times New Roman" w:hAnsi="Times New Roman" w:cs="Times New Roman"/>
          <w:b/>
          <w:sz w:val="32"/>
          <w:szCs w:val="32"/>
        </w:rPr>
        <w:t>University of Barishal</w:t>
      </w:r>
      <w:r w:rsidRPr="00C42C1D">
        <w:rPr>
          <w:rFonts w:ascii="Times New Roman" w:hAnsi="Times New Roman" w:cs="Times New Roman"/>
          <w:noProof/>
          <w:sz w:val="28"/>
          <w:szCs w:val="28"/>
        </w:rPr>
        <mc:AlternateContent>
          <mc:Choice Requires="wps">
            <w:drawing>
              <wp:anchor distT="0" distB="0" distL="0" distR="0" simplePos="0" relativeHeight="251664399" behindDoc="1" locked="0" layoutInCell="1" allowOverlap="1" wp14:anchorId="2E46A31D" wp14:editId="036516D5">
                <wp:simplePos x="0" y="0"/>
                <wp:positionH relativeFrom="page">
                  <wp:posOffset>781050</wp:posOffset>
                </wp:positionH>
                <wp:positionV relativeFrom="paragraph">
                  <wp:posOffset>401320</wp:posOffset>
                </wp:positionV>
                <wp:extent cx="5994400" cy="114300"/>
                <wp:effectExtent l="0" t="0" r="0" b="0"/>
                <wp:wrapTopAndBottom/>
                <wp:docPr id="51641040"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114300"/>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C73E" id="Graphic 4" o:spid="_x0000_s1026" style="position:absolute;margin-left:61.5pt;margin-top:31.6pt;width:472pt;height:9pt;flip:y;z-index:-2516520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" path="m,l5516930,e" filled="f" strokecolor="#eb7b2f" strokeweight=".31892mm">
                <v:path arrowok="t"/>
                <w10:wrap type="topAndBottom" anchorx="page"/>
              </v:shape>
            </w:pict>
          </mc:Fallback>
        </mc:AlternateContent>
      </w:r>
      <w:r w:rsidRPr="00C42C1D">
        <w:rPr>
          <w:rFonts w:ascii="Times New Roman" w:hAnsi="Times New Roman" w:cs="Times New Roman"/>
          <w:noProof/>
          <w:sz w:val="28"/>
          <w:szCs w:val="28"/>
        </w:rPr>
        <mc:AlternateContent>
          <mc:Choice Requires="wps">
            <w:drawing>
              <wp:anchor distT="0" distB="0" distL="0" distR="0" simplePos="0" relativeHeight="251663375" behindDoc="1" locked="0" layoutInCell="1" allowOverlap="1" wp14:anchorId="5CF4A627" wp14:editId="4DC936BB">
                <wp:simplePos x="0" y="0"/>
                <wp:positionH relativeFrom="page">
                  <wp:posOffset>781050</wp:posOffset>
                </wp:positionH>
                <wp:positionV relativeFrom="paragraph">
                  <wp:posOffset>311150</wp:posOffset>
                </wp:positionV>
                <wp:extent cx="5994400" cy="45085"/>
                <wp:effectExtent l="0" t="0" r="0" b="0"/>
                <wp:wrapTight wrapText="bothSides">
                  <wp:wrapPolygon edited="0">
                    <wp:start x="0" y="0"/>
                    <wp:lineTo x="0" y="21600"/>
                    <wp:lineTo x="21600" y="21600"/>
                    <wp:lineTo x="21600" y="0"/>
                  </wp:wrapPolygon>
                </wp:wrapTight>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94400" cy="45085"/>
                        </a:xfrm>
                        <a:custGeom>
                          <a:avLst/>
                          <a:gdLst/>
                          <a:ahLst/>
                          <a:cxnLst/>
                          <a:rect l="l" t="t" r="r" b="b"/>
                          <a:pathLst>
                            <a:path w="5517515">
                              <a:moveTo>
                                <a:pt x="0" y="0"/>
                              </a:moveTo>
                              <a:lnTo>
                                <a:pt x="5516930" y="0"/>
                              </a:lnTo>
                            </a:path>
                          </a:pathLst>
                        </a:custGeom>
                        <a:ln w="11481">
                          <a:solidFill>
                            <a:srgbClr val="EB7B2F"/>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D3EA1" id="Graphic 3" o:spid="_x0000_s1026" style="position:absolute;margin-left:61.5pt;margin-top:24.5pt;width:472pt;height:3.55pt;flip:y;z-index:-25165310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51751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" path="m,l5516930,e" filled="f" strokecolor="#eb7b2f" strokeweight=".31892mm">
                <v:path arrowok="t"/>
                <w10:wrap type="tight" anchorx="page"/>
              </v:shape>
            </w:pict>
          </mc:Fallback>
        </mc:AlternateContent>
      </w:r>
    </w:p>
    <w:p w14:paraId="13226F83" w14:textId="77777777" w:rsidR="00C42C1D" w:rsidRDefault="00C42C1D" w:rsidP="00C42C1D">
      <w:pPr>
        <w:ind w:right="403"/>
        <w:rPr>
          <w:b/>
          <w:spacing w:val="-2"/>
          <w:sz w:val="37"/>
        </w:rPr>
      </w:pPr>
    </w:p>
    <w:p w14:paraId="299A5A1C" w14:textId="029116C0" w:rsidR="00C42C1D" w:rsidRPr="00C42C1D" w:rsidRDefault="00C42C1D" w:rsidP="00C42C1D">
      <w:pPr>
        <w:ind w:right="403"/>
        <w:jc w:val="center"/>
        <w:rPr>
          <w:rFonts w:ascii="Times New Roman" w:hAnsi="Times New Roman" w:cs="Times New Roman"/>
          <w:b/>
          <w:sz w:val="28"/>
          <w:szCs w:val="28"/>
        </w:rPr>
      </w:pPr>
      <w:r w:rsidRPr="00C42C1D">
        <w:rPr>
          <w:rFonts w:ascii="Times New Roman" w:hAnsi="Times New Roman" w:cs="Times New Roman"/>
          <w:b/>
          <w:sz w:val="28"/>
          <w:szCs w:val="28"/>
        </w:rPr>
        <w:t>Project</w:t>
      </w:r>
      <w:r w:rsidRPr="00C42C1D">
        <w:rPr>
          <w:rFonts w:ascii="Times New Roman" w:hAnsi="Times New Roman" w:cs="Times New Roman"/>
          <w:b/>
          <w:spacing w:val="-9"/>
          <w:sz w:val="28"/>
          <w:szCs w:val="28"/>
        </w:rPr>
        <w:t xml:space="preserve"> </w:t>
      </w:r>
      <w:r w:rsidRPr="00C42C1D">
        <w:rPr>
          <w:rFonts w:ascii="Times New Roman" w:hAnsi="Times New Roman" w:cs="Times New Roman"/>
          <w:b/>
          <w:sz w:val="28"/>
          <w:szCs w:val="28"/>
        </w:rPr>
        <w:t>Report</w:t>
      </w:r>
      <w:r w:rsidRPr="00C42C1D">
        <w:rPr>
          <w:rFonts w:ascii="Times New Roman" w:hAnsi="Times New Roman" w:cs="Times New Roman"/>
          <w:b/>
          <w:spacing w:val="-11"/>
          <w:sz w:val="28"/>
          <w:szCs w:val="28"/>
        </w:rPr>
        <w:t xml:space="preserve"> </w:t>
      </w:r>
      <w:r w:rsidRPr="00C42C1D">
        <w:rPr>
          <w:rFonts w:ascii="Times New Roman" w:hAnsi="Times New Roman" w:cs="Times New Roman"/>
          <w:b/>
          <w:spacing w:val="-5"/>
          <w:sz w:val="28"/>
          <w:szCs w:val="28"/>
        </w:rPr>
        <w:t>on</w:t>
      </w:r>
    </w:p>
    <w:p w14:paraId="217FBF23" w14:textId="77777777" w:rsidR="00C42C1D" w:rsidRPr="00C42C1D" w:rsidRDefault="00C42C1D" w:rsidP="00C42C1D">
      <w:pPr>
        <w:spacing w:before="237"/>
        <w:ind w:left="290" w:right="671"/>
        <w:jc w:val="center"/>
        <w:rPr>
          <w:rFonts w:ascii="Times New Roman" w:hAnsi="Times New Roman" w:cs="Times New Roman"/>
          <w:b/>
          <w:sz w:val="28"/>
          <w:szCs w:val="28"/>
        </w:rPr>
      </w:pPr>
      <w:r w:rsidRPr="00C42C1D">
        <w:rPr>
          <w:rFonts w:ascii="Times New Roman" w:hAnsi="Times New Roman" w:cs="Times New Roman"/>
          <w:b/>
          <w:sz w:val="28"/>
          <w:szCs w:val="28"/>
        </w:rPr>
        <w:t>“Financial</w:t>
      </w:r>
      <w:r w:rsidRPr="00C42C1D">
        <w:rPr>
          <w:rFonts w:ascii="Times New Roman" w:hAnsi="Times New Roman" w:cs="Times New Roman"/>
          <w:b/>
          <w:spacing w:val="-2"/>
          <w:sz w:val="28"/>
          <w:szCs w:val="28"/>
        </w:rPr>
        <w:t xml:space="preserve"> </w:t>
      </w:r>
      <w:r w:rsidRPr="00C42C1D">
        <w:rPr>
          <w:rFonts w:ascii="Times New Roman" w:hAnsi="Times New Roman" w:cs="Times New Roman"/>
          <w:b/>
          <w:sz w:val="28"/>
          <w:szCs w:val="28"/>
        </w:rPr>
        <w:t>Trends</w:t>
      </w:r>
      <w:r w:rsidRPr="00C42C1D">
        <w:rPr>
          <w:rFonts w:ascii="Times New Roman" w:hAnsi="Times New Roman" w:cs="Times New Roman"/>
          <w:b/>
          <w:spacing w:val="-2"/>
          <w:sz w:val="28"/>
          <w:szCs w:val="28"/>
        </w:rPr>
        <w:t xml:space="preserve"> </w:t>
      </w:r>
      <w:r w:rsidRPr="00C42C1D">
        <w:rPr>
          <w:rFonts w:ascii="Times New Roman" w:hAnsi="Times New Roman" w:cs="Times New Roman"/>
          <w:b/>
          <w:sz w:val="28"/>
          <w:szCs w:val="28"/>
        </w:rPr>
        <w:t>and</w:t>
      </w:r>
      <w:r w:rsidRPr="00C42C1D">
        <w:rPr>
          <w:rFonts w:ascii="Times New Roman" w:hAnsi="Times New Roman" w:cs="Times New Roman"/>
          <w:b/>
          <w:spacing w:val="-2"/>
          <w:sz w:val="28"/>
          <w:szCs w:val="28"/>
        </w:rPr>
        <w:t xml:space="preserve"> </w:t>
      </w:r>
      <w:r w:rsidRPr="00C42C1D">
        <w:rPr>
          <w:rFonts w:ascii="Times New Roman" w:hAnsi="Times New Roman" w:cs="Times New Roman"/>
          <w:b/>
          <w:sz w:val="28"/>
          <w:szCs w:val="28"/>
        </w:rPr>
        <w:t>Growth</w:t>
      </w:r>
      <w:r w:rsidRPr="00C42C1D">
        <w:rPr>
          <w:rFonts w:ascii="Times New Roman" w:hAnsi="Times New Roman" w:cs="Times New Roman"/>
          <w:b/>
          <w:spacing w:val="-1"/>
          <w:sz w:val="28"/>
          <w:szCs w:val="28"/>
        </w:rPr>
        <w:t xml:space="preserve"> </w:t>
      </w:r>
      <w:r w:rsidRPr="00C42C1D">
        <w:rPr>
          <w:rFonts w:ascii="Times New Roman" w:hAnsi="Times New Roman" w:cs="Times New Roman"/>
          <w:b/>
          <w:sz w:val="28"/>
          <w:szCs w:val="28"/>
        </w:rPr>
        <w:t>Analysis</w:t>
      </w:r>
      <w:r w:rsidRPr="00C42C1D">
        <w:rPr>
          <w:rFonts w:ascii="Times New Roman" w:hAnsi="Times New Roman" w:cs="Times New Roman"/>
          <w:b/>
          <w:spacing w:val="-1"/>
          <w:sz w:val="28"/>
          <w:szCs w:val="28"/>
        </w:rPr>
        <w:t xml:space="preserve"> </w:t>
      </w:r>
      <w:r w:rsidRPr="00C42C1D">
        <w:rPr>
          <w:rFonts w:ascii="Times New Roman" w:hAnsi="Times New Roman" w:cs="Times New Roman"/>
          <w:b/>
          <w:sz w:val="28"/>
          <w:szCs w:val="28"/>
        </w:rPr>
        <w:t>of</w:t>
      </w:r>
      <w:r w:rsidRPr="00C42C1D">
        <w:rPr>
          <w:rFonts w:ascii="Times New Roman" w:hAnsi="Times New Roman" w:cs="Times New Roman"/>
          <w:b/>
          <w:spacing w:val="-2"/>
          <w:sz w:val="28"/>
          <w:szCs w:val="28"/>
        </w:rPr>
        <w:t xml:space="preserve"> </w:t>
      </w:r>
      <w:r w:rsidRPr="00C42C1D">
        <w:rPr>
          <w:rFonts w:ascii="Times New Roman" w:hAnsi="Times New Roman" w:cs="Times New Roman"/>
          <w:b/>
          <w:sz w:val="28"/>
          <w:szCs w:val="28"/>
        </w:rPr>
        <w:t>National</w:t>
      </w:r>
      <w:r w:rsidRPr="00C42C1D">
        <w:rPr>
          <w:rFonts w:ascii="Times New Roman" w:hAnsi="Times New Roman" w:cs="Times New Roman"/>
          <w:b/>
          <w:spacing w:val="-2"/>
          <w:sz w:val="28"/>
          <w:szCs w:val="28"/>
        </w:rPr>
        <w:t xml:space="preserve"> </w:t>
      </w:r>
      <w:r w:rsidRPr="00C42C1D">
        <w:rPr>
          <w:rFonts w:ascii="Times New Roman" w:hAnsi="Times New Roman" w:cs="Times New Roman"/>
          <w:b/>
          <w:sz w:val="28"/>
          <w:szCs w:val="28"/>
        </w:rPr>
        <w:t>Life Insurance Company Ltd”</w:t>
      </w:r>
    </w:p>
    <w:p w14:paraId="3C0FFCB3" w14:textId="77777777" w:rsidR="00C42C1D" w:rsidRDefault="00C42C1D" w:rsidP="00C42C1D">
      <w:pPr>
        <w:spacing w:before="271"/>
        <w:rPr>
          <w:b/>
          <w:sz w:val="30"/>
        </w:rPr>
      </w:pPr>
    </w:p>
    <w:p w14:paraId="0E1BA7D2" w14:textId="0F2E3FBD" w:rsidR="00B05D56" w:rsidRPr="002C2EB2" w:rsidRDefault="00B05D56" w:rsidP="00C42C1D">
      <w:pPr>
        <w:pStyle w:val="BodyText"/>
        <w:spacing w:before="190"/>
        <w:ind w:left="105"/>
        <w:rPr>
          <w:rFonts w:eastAsiaTheme="minorEastAsia"/>
          <w:b/>
          <w:bCs/>
          <w:kern w:val="2"/>
          <w14:ligatures w14:val="standardContextual"/>
        </w:rPr>
      </w:pPr>
      <w:r w:rsidRPr="002C2EB2">
        <w:rPr>
          <w:rFonts w:eastAsiaTheme="minorEastAsia"/>
          <w:b/>
          <w:bCs/>
          <w:kern w:val="2"/>
          <w14:ligatures w14:val="standardContextual"/>
        </w:rPr>
        <w:t>Submitted To:</w:t>
      </w:r>
    </w:p>
    <w:p w14:paraId="5A935C42" w14:textId="1BE3D2D3" w:rsidR="00C42C1D" w:rsidRDefault="00C42C1D" w:rsidP="00C42C1D">
      <w:pPr>
        <w:pStyle w:val="BodyText"/>
        <w:spacing w:before="190"/>
        <w:ind w:left="105"/>
        <w:rPr>
          <w:rFonts w:asciiTheme="minorHAnsi" w:eastAsiaTheme="minorEastAsia" w:hAnsiTheme="minorHAnsi" w:cstheme="minorBidi"/>
          <w:b/>
          <w:bCs/>
          <w:kern w:val="2"/>
          <w14:ligatures w14:val="standardContextual"/>
        </w:rPr>
      </w:pPr>
      <w:r w:rsidRPr="002C2EB2">
        <w:rPr>
          <w:rFonts w:eastAsiaTheme="minorEastAsia"/>
          <w:b/>
          <w:bCs/>
          <w:kern w:val="2"/>
          <w14:ligatures w14:val="standardContextual"/>
        </w:rPr>
        <w:t>Dr. Tania Islam</w:t>
      </w:r>
    </w:p>
    <w:p w14:paraId="436EDE48" w14:textId="30F65F87" w:rsidR="00C42C1D" w:rsidRPr="00C42C1D" w:rsidRDefault="00C42C1D" w:rsidP="00C42C1D">
      <w:pPr>
        <w:pStyle w:val="BodyText"/>
        <w:spacing w:before="190"/>
        <w:ind w:left="105"/>
      </w:pPr>
      <w:r>
        <w:t>Assistant</w:t>
      </w:r>
      <w:r>
        <w:rPr>
          <w:spacing w:val="12"/>
        </w:rPr>
        <w:t xml:space="preserve"> </w:t>
      </w:r>
      <w:r>
        <w:rPr>
          <w:spacing w:val="-2"/>
        </w:rPr>
        <w:t>Professor</w:t>
      </w:r>
    </w:p>
    <w:p w14:paraId="21304348" w14:textId="2E9147D7" w:rsidR="00C42C1D" w:rsidRPr="00C42C1D" w:rsidRDefault="00C42C1D" w:rsidP="00C42C1D">
      <w:pPr>
        <w:rPr>
          <w:rFonts w:ascii="Times New Roman" w:eastAsia="Times New Roman" w:hAnsi="Times New Roman" w:cs="Times New Roman"/>
          <w:kern w:val="0"/>
          <w14:ligatures w14:val="none"/>
        </w:rPr>
      </w:pPr>
      <w:r w:rsidRPr="00C42C1D">
        <w:rPr>
          <w:rFonts w:ascii="Times New Roman" w:eastAsia="Times New Roman" w:hAnsi="Times New Roman" w:cs="Times New Roman"/>
          <w:kern w:val="0"/>
          <w14:ligatures w14:val="none"/>
        </w:rPr>
        <w:t xml:space="preserve"> Department of Computer Science and Engineering</w:t>
      </w:r>
      <w:r>
        <w:rPr>
          <w:rFonts w:ascii="Times New Roman" w:eastAsia="Times New Roman" w:hAnsi="Times New Roman" w:cs="Times New Roman"/>
          <w:kern w:val="0"/>
          <w14:ligatures w14:val="none"/>
        </w:rPr>
        <w:t xml:space="preserve">, </w:t>
      </w:r>
      <w:r w:rsidRPr="00C42C1D">
        <w:rPr>
          <w:rFonts w:ascii="Times New Roman" w:eastAsia="Times New Roman" w:hAnsi="Times New Roman" w:cs="Times New Roman"/>
          <w:kern w:val="0"/>
          <w14:ligatures w14:val="none"/>
        </w:rPr>
        <w:t>University of Barishal.</w:t>
      </w:r>
    </w:p>
    <w:p w14:paraId="5391DF45" w14:textId="77777777" w:rsidR="00C42C1D" w:rsidRDefault="00C42C1D" w:rsidP="00C42C1D"/>
    <w:p w14:paraId="1E2F4A29" w14:textId="77777777" w:rsidR="00C42C1D" w:rsidRDefault="00C42C1D" w:rsidP="00C42C1D">
      <w:pPr>
        <w:spacing w:before="163"/>
      </w:pPr>
    </w:p>
    <w:p w14:paraId="3141FBDA" w14:textId="42D1619F" w:rsidR="002C2EB2" w:rsidRPr="002C2EB2" w:rsidRDefault="002C2EB2" w:rsidP="00C42C1D">
      <w:pPr>
        <w:pStyle w:val="BodyText"/>
        <w:spacing w:before="136"/>
        <w:ind w:left="105"/>
        <w:rPr>
          <w:b/>
          <w:bCs/>
        </w:rPr>
      </w:pPr>
      <w:r w:rsidRPr="002C2EB2">
        <w:rPr>
          <w:b/>
          <w:bCs/>
        </w:rPr>
        <w:t>Submitted By:</w:t>
      </w:r>
    </w:p>
    <w:p w14:paraId="17B74E6D" w14:textId="200314CF" w:rsidR="00C42C1D" w:rsidRDefault="00C42C1D" w:rsidP="00C42C1D">
      <w:pPr>
        <w:pStyle w:val="BodyText"/>
        <w:spacing w:before="136"/>
        <w:ind w:left="105"/>
      </w:pPr>
      <w:r>
        <w:t>Mahamud Hossen</w:t>
      </w:r>
    </w:p>
    <w:p w14:paraId="50250A14" w14:textId="4937F80F" w:rsidR="00C42C1D" w:rsidRPr="00C42C1D" w:rsidRDefault="00C42C1D" w:rsidP="00C42C1D">
      <w:pPr>
        <w:pStyle w:val="BodyText"/>
        <w:spacing w:before="136"/>
        <w:ind w:left="105"/>
      </w:pPr>
      <w:r>
        <w:t>Batch: 65; Roll: 15</w:t>
      </w:r>
    </w:p>
    <w:p w14:paraId="38007A6E" w14:textId="77777777" w:rsidR="00C42C1D" w:rsidRPr="00C42C1D" w:rsidRDefault="00C42C1D" w:rsidP="00C42C1D">
      <w:pPr>
        <w:spacing w:before="138"/>
        <w:rPr>
          <w:rFonts w:ascii="Times New Roman" w:eastAsia="Times New Roman" w:hAnsi="Times New Roman" w:cs="Times New Roman"/>
          <w:kern w:val="0"/>
          <w14:ligatures w14:val="none"/>
        </w:rPr>
      </w:pPr>
      <w:r w:rsidRPr="00C42C1D">
        <w:rPr>
          <w:rFonts w:ascii="Times New Roman" w:eastAsia="Times New Roman" w:hAnsi="Times New Roman" w:cs="Times New Roman"/>
          <w:kern w:val="0"/>
          <w14:ligatures w14:val="none"/>
        </w:rPr>
        <w:t xml:space="preserve"> EDGE: BU-CSE Digital Skills Training </w:t>
      </w:r>
    </w:p>
    <w:p w14:paraId="27810200" w14:textId="0334235B" w:rsidR="00C42C1D" w:rsidRDefault="00C42C1D" w:rsidP="00C42C1D">
      <w:pPr>
        <w:spacing w:before="138"/>
      </w:pPr>
      <w:r>
        <w:rPr>
          <w:rFonts w:ascii="Times New Roman" w:eastAsia="Times New Roman" w:hAnsi="Times New Roman" w:cs="Times New Roman"/>
          <w:kern w:val="0"/>
          <w14:ligatures w14:val="none"/>
        </w:rPr>
        <w:t xml:space="preserve"> </w:t>
      </w:r>
      <w:r w:rsidRPr="00C42C1D">
        <w:rPr>
          <w:rFonts w:ascii="Times New Roman" w:eastAsia="Times New Roman" w:hAnsi="Times New Roman" w:cs="Times New Roman"/>
          <w:kern w:val="0"/>
          <w14:ligatures w14:val="none"/>
        </w:rPr>
        <w:t>Computer Fundamentals &amp; Office Application</w:t>
      </w:r>
    </w:p>
    <w:p w14:paraId="7CB0B5D8" w14:textId="77777777" w:rsidR="00C42C1D" w:rsidRDefault="00C42C1D" w:rsidP="00C42C1D">
      <w:pPr>
        <w:spacing w:before="1"/>
        <w:rPr>
          <w:b/>
        </w:rPr>
      </w:pPr>
    </w:p>
    <w:p w14:paraId="1B3687C7" w14:textId="6F474F0E" w:rsidR="00C42C1D" w:rsidRDefault="00C42C1D" w:rsidP="00C42C1D">
      <w:pPr>
        <w:spacing w:before="1"/>
      </w:pPr>
      <w:r>
        <w:rPr>
          <w:b/>
        </w:rPr>
        <w:t>Date</w:t>
      </w:r>
      <w:r>
        <w:rPr>
          <w:b/>
          <w:spacing w:val="5"/>
        </w:rPr>
        <w:t xml:space="preserve"> </w:t>
      </w:r>
      <w:r>
        <w:rPr>
          <w:b/>
        </w:rPr>
        <w:t>of</w:t>
      </w:r>
      <w:r>
        <w:rPr>
          <w:b/>
          <w:spacing w:val="7"/>
        </w:rPr>
        <w:t xml:space="preserve"> </w:t>
      </w:r>
      <w:r>
        <w:rPr>
          <w:b/>
        </w:rPr>
        <w:t>Submission:</w:t>
      </w:r>
      <w:r>
        <w:rPr>
          <w:b/>
          <w:spacing w:val="-4"/>
        </w:rPr>
        <w:t xml:space="preserve"> </w:t>
      </w:r>
    </w:p>
    <w:p w14:paraId="3BF00972" w14:textId="77777777" w:rsidR="001D210F" w:rsidRDefault="001D210F">
      <w:pPr>
        <w:rPr>
          <w:rFonts w:ascii="Times New Roman" w:hAnsi="Times New Roman" w:cs="Times New Roman"/>
          <w:b/>
          <w:bCs/>
          <w:sz w:val="28"/>
          <w:szCs w:val="28"/>
        </w:rPr>
      </w:pPr>
    </w:p>
    <w:bookmarkEnd w:id="0"/>
    <w:p w14:paraId="64080DB9" w14:textId="77777777" w:rsidR="001D210F" w:rsidRDefault="001D210F">
      <w:pPr>
        <w:rPr>
          <w:rFonts w:ascii="Times New Roman" w:hAnsi="Times New Roman" w:cs="Times New Roman"/>
          <w:b/>
          <w:bCs/>
          <w:sz w:val="28"/>
          <w:szCs w:val="28"/>
        </w:rPr>
      </w:pPr>
    </w:p>
    <w:p w14:paraId="2FA89898" w14:textId="77777777" w:rsidR="001D210F" w:rsidRDefault="001D210F">
      <w:pPr>
        <w:rPr>
          <w:rFonts w:ascii="Times New Roman" w:hAnsi="Times New Roman" w:cs="Times New Roman"/>
          <w:b/>
          <w:bCs/>
          <w:sz w:val="28"/>
          <w:szCs w:val="28"/>
        </w:rPr>
      </w:pPr>
    </w:p>
    <w:p w14:paraId="09534A98" w14:textId="77777777" w:rsidR="001D210F" w:rsidRDefault="001D210F">
      <w:pPr>
        <w:rPr>
          <w:rFonts w:ascii="Times New Roman" w:hAnsi="Times New Roman" w:cs="Times New Roman"/>
          <w:b/>
          <w:bCs/>
          <w:sz w:val="28"/>
          <w:szCs w:val="28"/>
        </w:rPr>
      </w:pPr>
    </w:p>
    <w:p w14:paraId="42CBD7B7" w14:textId="77777777" w:rsidR="001D210F" w:rsidRDefault="001D210F">
      <w:pPr>
        <w:rPr>
          <w:rFonts w:ascii="Times New Roman" w:hAnsi="Times New Roman" w:cs="Times New Roman"/>
          <w:b/>
          <w:bCs/>
          <w:sz w:val="28"/>
          <w:szCs w:val="28"/>
        </w:rPr>
      </w:pPr>
    </w:p>
    <w:p w14:paraId="49223846" w14:textId="77777777" w:rsidR="001D210F" w:rsidRDefault="001D210F">
      <w:pPr>
        <w:rPr>
          <w:rFonts w:ascii="Times New Roman" w:hAnsi="Times New Roman" w:cs="Times New Roman"/>
          <w:b/>
          <w:bCs/>
          <w:sz w:val="28"/>
          <w:szCs w:val="28"/>
        </w:rPr>
      </w:pPr>
    </w:p>
    <w:p w14:paraId="63132052" w14:textId="77777777" w:rsidR="001D210F" w:rsidRDefault="001D210F">
      <w:pPr>
        <w:rPr>
          <w:rFonts w:ascii="Times New Roman" w:hAnsi="Times New Roman" w:cs="Times New Roman"/>
          <w:b/>
          <w:bCs/>
          <w:sz w:val="28"/>
          <w:szCs w:val="28"/>
        </w:rPr>
      </w:pPr>
    </w:p>
    <w:p w14:paraId="7858FAEE" w14:textId="77777777" w:rsidR="001D210F" w:rsidRDefault="001D210F">
      <w:pPr>
        <w:rPr>
          <w:rFonts w:ascii="Times New Roman" w:hAnsi="Times New Roman" w:cs="Times New Roman"/>
          <w:b/>
          <w:bCs/>
          <w:sz w:val="28"/>
          <w:szCs w:val="28"/>
        </w:rPr>
      </w:pPr>
    </w:p>
    <w:p w14:paraId="6A7B4C1F" w14:textId="77777777" w:rsidR="001D210F" w:rsidRDefault="001D210F">
      <w:pPr>
        <w:rPr>
          <w:rFonts w:ascii="Times New Roman" w:hAnsi="Times New Roman" w:cs="Times New Roman"/>
          <w:b/>
          <w:bCs/>
          <w:sz w:val="28"/>
          <w:szCs w:val="28"/>
        </w:rPr>
      </w:pPr>
    </w:p>
    <w:p w14:paraId="634F76A7" w14:textId="77777777" w:rsidR="001D210F" w:rsidRDefault="001D210F">
      <w:pPr>
        <w:rPr>
          <w:rFonts w:ascii="Times New Roman" w:hAnsi="Times New Roman" w:cs="Times New Roman"/>
          <w:b/>
          <w:bCs/>
          <w:sz w:val="28"/>
          <w:szCs w:val="28"/>
        </w:rPr>
      </w:pPr>
    </w:p>
    <w:p w14:paraId="47E30D86" w14:textId="77777777" w:rsidR="001D210F" w:rsidRDefault="001D210F">
      <w:pPr>
        <w:rPr>
          <w:rFonts w:ascii="Times New Roman" w:hAnsi="Times New Roman" w:cs="Times New Roman"/>
          <w:b/>
          <w:bCs/>
          <w:sz w:val="28"/>
          <w:szCs w:val="28"/>
        </w:rPr>
      </w:pPr>
    </w:p>
    <w:p w14:paraId="32F8AFB9" w14:textId="77777777" w:rsidR="006A15FB" w:rsidRDefault="006A15FB">
      <w:pPr>
        <w:rPr>
          <w:rFonts w:ascii="Times New Roman" w:hAnsi="Times New Roman" w:cs="Times New Roman"/>
          <w:b/>
          <w:bCs/>
          <w:sz w:val="28"/>
          <w:szCs w:val="28"/>
        </w:rPr>
      </w:pPr>
    </w:p>
    <w:p w14:paraId="41B553AD" w14:textId="71E6B082" w:rsidR="001D210F" w:rsidRPr="001D210F" w:rsidRDefault="001D210F">
      <w:pPr>
        <w:rPr>
          <w:rFonts w:ascii="Times New Roman" w:hAnsi="Times New Roman" w:cs="Times New Roman"/>
          <w:b/>
          <w:bCs/>
          <w:sz w:val="28"/>
          <w:szCs w:val="28"/>
        </w:rPr>
      </w:pPr>
      <w:bookmarkStart w:id="1" w:name="_Hlk188135367"/>
      <w:r w:rsidRPr="001D210F">
        <w:rPr>
          <w:rFonts w:ascii="Times New Roman" w:hAnsi="Times New Roman" w:cs="Times New Roman"/>
          <w:b/>
          <w:bCs/>
          <w:sz w:val="28"/>
          <w:szCs w:val="28"/>
        </w:rPr>
        <w:t>Report Title</w:t>
      </w:r>
    </w:p>
    <w:bookmarkEnd w:id="1"/>
    <w:p w14:paraId="65C5AEFD" w14:textId="77777777" w:rsidR="001D210F" w:rsidRDefault="001D210F" w:rsidP="001D210F">
      <w:pPr>
        <w:rPr>
          <w:rFonts w:ascii="Times New Roman" w:hAnsi="Times New Roman" w:cs="Times New Roman"/>
          <w:b/>
          <w:bCs/>
          <w:iCs/>
          <w:sz w:val="28"/>
          <w:szCs w:val="28"/>
        </w:rPr>
      </w:pPr>
      <w:r w:rsidRPr="001D210F">
        <w:rPr>
          <w:rFonts w:ascii="Times New Roman" w:hAnsi="Times New Roman" w:cs="Times New Roman"/>
          <w:b/>
          <w:bCs/>
          <w:iCs/>
          <w:sz w:val="28"/>
          <w:szCs w:val="28"/>
        </w:rPr>
        <w:t>Financial Trends and Growth Analysis of National Life Insurance Company Ltd.</w:t>
      </w:r>
    </w:p>
    <w:p w14:paraId="349C255E" w14:textId="77777777" w:rsidR="001D210F" w:rsidRDefault="001D210F" w:rsidP="001D210F">
      <w:pPr>
        <w:rPr>
          <w:rFonts w:ascii="Times New Roman" w:hAnsi="Times New Roman" w:cs="Times New Roman"/>
          <w:b/>
          <w:bCs/>
        </w:rPr>
      </w:pPr>
    </w:p>
    <w:p w14:paraId="21C4B996" w14:textId="77777777" w:rsidR="001D210F" w:rsidRDefault="001D210F" w:rsidP="001D210F">
      <w:pPr>
        <w:rPr>
          <w:rFonts w:ascii="Times New Roman" w:hAnsi="Times New Roman" w:cs="Times New Roman"/>
          <w:b/>
          <w:bCs/>
        </w:rPr>
      </w:pPr>
    </w:p>
    <w:p w14:paraId="7BED197F" w14:textId="77777777" w:rsidR="001D210F" w:rsidRDefault="001D210F" w:rsidP="001D210F">
      <w:pPr>
        <w:rPr>
          <w:rFonts w:ascii="Times New Roman" w:hAnsi="Times New Roman" w:cs="Times New Roman"/>
          <w:b/>
          <w:bCs/>
        </w:rPr>
      </w:pPr>
    </w:p>
    <w:p w14:paraId="3622E902" w14:textId="77777777" w:rsidR="001D210F" w:rsidRDefault="001D210F" w:rsidP="001D210F">
      <w:pPr>
        <w:rPr>
          <w:rFonts w:ascii="Times New Roman" w:hAnsi="Times New Roman" w:cs="Times New Roman"/>
          <w:b/>
          <w:bCs/>
        </w:rPr>
      </w:pPr>
    </w:p>
    <w:p w14:paraId="0131E8E5" w14:textId="77777777" w:rsidR="001D210F" w:rsidRDefault="001D210F" w:rsidP="001D210F">
      <w:pPr>
        <w:rPr>
          <w:rFonts w:ascii="Times New Roman" w:hAnsi="Times New Roman" w:cs="Times New Roman"/>
          <w:b/>
          <w:bCs/>
        </w:rPr>
      </w:pPr>
    </w:p>
    <w:p w14:paraId="55FF5128" w14:textId="77777777" w:rsidR="001D210F" w:rsidRDefault="001D210F" w:rsidP="001D210F">
      <w:pPr>
        <w:rPr>
          <w:rFonts w:ascii="Times New Roman" w:hAnsi="Times New Roman" w:cs="Times New Roman"/>
          <w:b/>
          <w:bCs/>
        </w:rPr>
      </w:pPr>
    </w:p>
    <w:p w14:paraId="30BFD9C1" w14:textId="77777777" w:rsidR="001D210F" w:rsidRDefault="001D210F" w:rsidP="001D210F">
      <w:pPr>
        <w:rPr>
          <w:rFonts w:ascii="Times New Roman" w:hAnsi="Times New Roman" w:cs="Times New Roman"/>
          <w:b/>
          <w:bCs/>
        </w:rPr>
      </w:pPr>
    </w:p>
    <w:p w14:paraId="7A6FF6F8" w14:textId="77777777" w:rsidR="001D210F" w:rsidRDefault="001D210F" w:rsidP="001D210F">
      <w:pPr>
        <w:rPr>
          <w:rFonts w:ascii="Times New Roman" w:hAnsi="Times New Roman" w:cs="Times New Roman"/>
          <w:b/>
          <w:bCs/>
        </w:rPr>
      </w:pPr>
    </w:p>
    <w:p w14:paraId="41CBEC19" w14:textId="77777777" w:rsidR="001D210F" w:rsidRDefault="001D210F" w:rsidP="001D210F">
      <w:pPr>
        <w:rPr>
          <w:rFonts w:ascii="Times New Roman" w:hAnsi="Times New Roman" w:cs="Times New Roman"/>
          <w:b/>
          <w:bCs/>
        </w:rPr>
      </w:pPr>
    </w:p>
    <w:p w14:paraId="3383F7DC" w14:textId="77777777" w:rsidR="001D210F" w:rsidRDefault="001D210F" w:rsidP="001D210F">
      <w:pPr>
        <w:rPr>
          <w:rFonts w:ascii="Times New Roman" w:hAnsi="Times New Roman" w:cs="Times New Roman"/>
          <w:b/>
          <w:bCs/>
        </w:rPr>
      </w:pPr>
    </w:p>
    <w:p w14:paraId="716AFF65" w14:textId="77777777" w:rsidR="001D210F" w:rsidRDefault="001D210F" w:rsidP="001D210F">
      <w:pPr>
        <w:rPr>
          <w:rFonts w:ascii="Times New Roman" w:hAnsi="Times New Roman" w:cs="Times New Roman"/>
          <w:b/>
          <w:bCs/>
        </w:rPr>
      </w:pPr>
    </w:p>
    <w:p w14:paraId="6F3EE0F4" w14:textId="77777777" w:rsidR="001D210F" w:rsidRDefault="001D210F" w:rsidP="001D210F">
      <w:pPr>
        <w:rPr>
          <w:rFonts w:ascii="Times New Roman" w:hAnsi="Times New Roman" w:cs="Times New Roman"/>
          <w:b/>
          <w:bCs/>
        </w:rPr>
      </w:pPr>
    </w:p>
    <w:p w14:paraId="1C8602B4" w14:textId="77777777" w:rsidR="00B672D8" w:rsidRDefault="00B672D8" w:rsidP="001D210F">
      <w:pPr>
        <w:jc w:val="center"/>
        <w:rPr>
          <w:rFonts w:ascii="Times New Roman" w:hAnsi="Times New Roman" w:cs="Times New Roman"/>
          <w:b/>
          <w:bCs/>
        </w:rPr>
      </w:pPr>
    </w:p>
    <w:bookmarkStart w:id="2" w:name="_Toc188056509" w:displacedByCustomXml="next"/>
    <w:sdt>
      <w:sdtPr>
        <w:rPr>
          <w:rFonts w:asciiTheme="minorHAnsi" w:eastAsiaTheme="minorEastAsia" w:hAnsiTheme="minorHAnsi" w:cstheme="minorBidi"/>
          <w:b w:val="0"/>
          <w:bCs w:val="0"/>
        </w:rPr>
        <w:id w:val="1687104015"/>
        <w:docPartObj>
          <w:docPartGallery w:val="Table of Contents"/>
          <w:docPartUnique/>
        </w:docPartObj>
      </w:sdtPr>
      <w:sdtEndPr>
        <w:rPr>
          <w:noProof/>
        </w:rPr>
      </w:sdtEndPr>
      <w:sdtContent>
        <w:p w14:paraId="69E45A25" w14:textId="5522C764" w:rsidR="003A79E7" w:rsidRDefault="003A79E7" w:rsidP="00006981">
          <w:pPr>
            <w:pStyle w:val="Heading1"/>
          </w:pPr>
          <w:r>
            <w:t>Table of Contents</w:t>
          </w:r>
          <w:bookmarkEnd w:id="2"/>
        </w:p>
        <w:p w14:paraId="1BD521C1" w14:textId="73D59DD9" w:rsidR="004713F6" w:rsidRDefault="003A79E7">
          <w:pPr>
            <w:pStyle w:val="TOC1"/>
            <w:tabs>
              <w:tab w:val="right" w:leader="dot" w:pos="10098"/>
            </w:tabs>
            <w:rPr>
              <w:noProof/>
            </w:rPr>
          </w:pPr>
          <w:r>
            <w:fldChar w:fldCharType="begin"/>
          </w:r>
          <w:r>
            <w:instrText xml:space="preserve"> TOC \o "1-3" \h \z \u </w:instrText>
          </w:r>
          <w:r>
            <w:fldChar w:fldCharType="separate"/>
          </w:r>
          <w:hyperlink w:anchor="_Toc188056509" w:history="1">
            <w:r w:rsidR="004713F6" w:rsidRPr="008065F2">
              <w:rPr>
                <w:rStyle w:val="Hyperlink"/>
                <w:noProof/>
              </w:rPr>
              <w:t>Table of Contents</w:t>
            </w:r>
            <w:r w:rsidR="004713F6">
              <w:rPr>
                <w:noProof/>
                <w:webHidden/>
              </w:rPr>
              <w:tab/>
            </w:r>
            <w:r w:rsidR="004713F6">
              <w:rPr>
                <w:noProof/>
                <w:webHidden/>
              </w:rPr>
              <w:fldChar w:fldCharType="begin"/>
            </w:r>
            <w:r w:rsidR="004713F6">
              <w:rPr>
                <w:noProof/>
                <w:webHidden/>
              </w:rPr>
              <w:instrText xml:space="preserve"> PAGEREF _Toc188056509 \h </w:instrText>
            </w:r>
            <w:r w:rsidR="004713F6">
              <w:rPr>
                <w:noProof/>
                <w:webHidden/>
              </w:rPr>
            </w:r>
            <w:r w:rsidR="004713F6">
              <w:rPr>
                <w:noProof/>
                <w:webHidden/>
              </w:rPr>
              <w:fldChar w:fldCharType="separate"/>
            </w:r>
            <w:r w:rsidR="00895E5F">
              <w:rPr>
                <w:noProof/>
                <w:webHidden/>
              </w:rPr>
              <w:t>3</w:t>
            </w:r>
            <w:r w:rsidR="004713F6">
              <w:rPr>
                <w:noProof/>
                <w:webHidden/>
              </w:rPr>
              <w:fldChar w:fldCharType="end"/>
            </w:r>
          </w:hyperlink>
        </w:p>
        <w:p w14:paraId="5A7C9971" w14:textId="059810CC" w:rsidR="004713F6" w:rsidRDefault="004713F6">
          <w:pPr>
            <w:pStyle w:val="TOC1"/>
            <w:tabs>
              <w:tab w:val="right" w:leader="dot" w:pos="10098"/>
            </w:tabs>
            <w:rPr>
              <w:noProof/>
            </w:rPr>
          </w:pPr>
          <w:hyperlink w:anchor="_Toc188056510" w:history="1">
            <w:r w:rsidRPr="008065F2">
              <w:rPr>
                <w:rStyle w:val="Hyperlink"/>
                <w:noProof/>
              </w:rPr>
              <w:t>Chapter 01: Introduction</w:t>
            </w:r>
            <w:r>
              <w:rPr>
                <w:noProof/>
                <w:webHidden/>
              </w:rPr>
              <w:tab/>
            </w:r>
            <w:r>
              <w:rPr>
                <w:noProof/>
                <w:webHidden/>
              </w:rPr>
              <w:fldChar w:fldCharType="begin"/>
            </w:r>
            <w:r>
              <w:rPr>
                <w:noProof/>
                <w:webHidden/>
              </w:rPr>
              <w:instrText xml:space="preserve"> PAGEREF _Toc188056510 \h </w:instrText>
            </w:r>
            <w:r>
              <w:rPr>
                <w:noProof/>
                <w:webHidden/>
              </w:rPr>
            </w:r>
            <w:r>
              <w:rPr>
                <w:noProof/>
                <w:webHidden/>
              </w:rPr>
              <w:fldChar w:fldCharType="separate"/>
            </w:r>
            <w:r w:rsidR="00895E5F">
              <w:rPr>
                <w:noProof/>
                <w:webHidden/>
              </w:rPr>
              <w:t>4</w:t>
            </w:r>
            <w:r>
              <w:rPr>
                <w:noProof/>
                <w:webHidden/>
              </w:rPr>
              <w:fldChar w:fldCharType="end"/>
            </w:r>
          </w:hyperlink>
        </w:p>
        <w:p w14:paraId="791763F5" w14:textId="7FE33AED" w:rsidR="004713F6" w:rsidRDefault="004713F6">
          <w:pPr>
            <w:pStyle w:val="TOC2"/>
            <w:tabs>
              <w:tab w:val="left" w:pos="720"/>
              <w:tab w:val="right" w:leader="dot" w:pos="10098"/>
            </w:tabs>
            <w:rPr>
              <w:noProof/>
            </w:rPr>
          </w:pPr>
          <w:hyperlink w:anchor="_Toc188056511" w:history="1">
            <w:r w:rsidRPr="008065F2">
              <w:rPr>
                <w:rStyle w:val="Hyperlink"/>
                <w:noProof/>
              </w:rPr>
              <w:t>1.</w:t>
            </w:r>
            <w:r>
              <w:rPr>
                <w:noProof/>
              </w:rPr>
              <w:tab/>
            </w:r>
            <w:r w:rsidRPr="008065F2">
              <w:rPr>
                <w:rStyle w:val="Hyperlink"/>
                <w:noProof/>
              </w:rPr>
              <w:t>Introduction</w:t>
            </w:r>
            <w:r>
              <w:rPr>
                <w:noProof/>
                <w:webHidden/>
              </w:rPr>
              <w:tab/>
            </w:r>
            <w:r>
              <w:rPr>
                <w:noProof/>
                <w:webHidden/>
              </w:rPr>
              <w:fldChar w:fldCharType="begin"/>
            </w:r>
            <w:r>
              <w:rPr>
                <w:noProof/>
                <w:webHidden/>
              </w:rPr>
              <w:instrText xml:space="preserve"> PAGEREF _Toc188056511 \h </w:instrText>
            </w:r>
            <w:r>
              <w:rPr>
                <w:noProof/>
                <w:webHidden/>
              </w:rPr>
            </w:r>
            <w:r>
              <w:rPr>
                <w:noProof/>
                <w:webHidden/>
              </w:rPr>
              <w:fldChar w:fldCharType="separate"/>
            </w:r>
            <w:r w:rsidR="00895E5F">
              <w:rPr>
                <w:noProof/>
                <w:webHidden/>
              </w:rPr>
              <w:t>4</w:t>
            </w:r>
            <w:r>
              <w:rPr>
                <w:noProof/>
                <w:webHidden/>
              </w:rPr>
              <w:fldChar w:fldCharType="end"/>
            </w:r>
          </w:hyperlink>
        </w:p>
        <w:p w14:paraId="11629B07" w14:textId="1FA20446" w:rsidR="004713F6" w:rsidRDefault="004713F6">
          <w:pPr>
            <w:pStyle w:val="TOC1"/>
            <w:tabs>
              <w:tab w:val="right" w:leader="dot" w:pos="10098"/>
            </w:tabs>
            <w:rPr>
              <w:noProof/>
            </w:rPr>
          </w:pPr>
          <w:hyperlink w:anchor="_Toc188056512" w:history="1">
            <w:r w:rsidRPr="008065F2">
              <w:rPr>
                <w:rStyle w:val="Hyperlink"/>
                <w:noProof/>
              </w:rPr>
              <w:t>1.1 Rationale of the Study</w:t>
            </w:r>
            <w:r>
              <w:rPr>
                <w:noProof/>
                <w:webHidden/>
              </w:rPr>
              <w:tab/>
            </w:r>
            <w:r>
              <w:rPr>
                <w:noProof/>
                <w:webHidden/>
              </w:rPr>
              <w:fldChar w:fldCharType="begin"/>
            </w:r>
            <w:r>
              <w:rPr>
                <w:noProof/>
                <w:webHidden/>
              </w:rPr>
              <w:instrText xml:space="preserve"> PAGEREF _Toc188056512 \h </w:instrText>
            </w:r>
            <w:r>
              <w:rPr>
                <w:noProof/>
                <w:webHidden/>
              </w:rPr>
            </w:r>
            <w:r>
              <w:rPr>
                <w:noProof/>
                <w:webHidden/>
              </w:rPr>
              <w:fldChar w:fldCharType="separate"/>
            </w:r>
            <w:r w:rsidR="00895E5F">
              <w:rPr>
                <w:noProof/>
                <w:webHidden/>
              </w:rPr>
              <w:t>4</w:t>
            </w:r>
            <w:r>
              <w:rPr>
                <w:noProof/>
                <w:webHidden/>
              </w:rPr>
              <w:fldChar w:fldCharType="end"/>
            </w:r>
          </w:hyperlink>
        </w:p>
        <w:p w14:paraId="0EE21A1D" w14:textId="5332C676" w:rsidR="004713F6" w:rsidRDefault="004713F6">
          <w:pPr>
            <w:pStyle w:val="TOC2"/>
            <w:tabs>
              <w:tab w:val="right" w:leader="dot" w:pos="10098"/>
            </w:tabs>
            <w:rPr>
              <w:noProof/>
            </w:rPr>
          </w:pPr>
          <w:hyperlink w:anchor="_Toc188056513" w:history="1">
            <w:r w:rsidRPr="008065F2">
              <w:rPr>
                <w:rStyle w:val="Hyperlink"/>
                <w:bCs/>
                <w:noProof/>
              </w:rPr>
              <w:t>1.</w:t>
            </w:r>
            <w:r w:rsidRPr="008065F2">
              <w:rPr>
                <w:rStyle w:val="Hyperlink"/>
                <w:noProof/>
              </w:rPr>
              <w:t>2 Objectives of the Study:</w:t>
            </w:r>
            <w:r>
              <w:rPr>
                <w:noProof/>
                <w:webHidden/>
              </w:rPr>
              <w:tab/>
            </w:r>
            <w:r>
              <w:rPr>
                <w:noProof/>
                <w:webHidden/>
              </w:rPr>
              <w:fldChar w:fldCharType="begin"/>
            </w:r>
            <w:r>
              <w:rPr>
                <w:noProof/>
                <w:webHidden/>
              </w:rPr>
              <w:instrText xml:space="preserve"> PAGEREF _Toc188056513 \h </w:instrText>
            </w:r>
            <w:r>
              <w:rPr>
                <w:noProof/>
                <w:webHidden/>
              </w:rPr>
            </w:r>
            <w:r>
              <w:rPr>
                <w:noProof/>
                <w:webHidden/>
              </w:rPr>
              <w:fldChar w:fldCharType="separate"/>
            </w:r>
            <w:r w:rsidR="00895E5F">
              <w:rPr>
                <w:noProof/>
                <w:webHidden/>
              </w:rPr>
              <w:t>4</w:t>
            </w:r>
            <w:r>
              <w:rPr>
                <w:noProof/>
                <w:webHidden/>
              </w:rPr>
              <w:fldChar w:fldCharType="end"/>
            </w:r>
          </w:hyperlink>
        </w:p>
        <w:p w14:paraId="1310715A" w14:textId="06FC299C" w:rsidR="004713F6" w:rsidRDefault="004713F6">
          <w:pPr>
            <w:pStyle w:val="TOC2"/>
            <w:tabs>
              <w:tab w:val="right" w:leader="dot" w:pos="10098"/>
            </w:tabs>
            <w:rPr>
              <w:noProof/>
            </w:rPr>
          </w:pPr>
          <w:hyperlink w:anchor="_Toc188056514" w:history="1">
            <w:r w:rsidRPr="008065F2">
              <w:rPr>
                <w:rStyle w:val="Hyperlink"/>
                <w:noProof/>
              </w:rPr>
              <w:t>1.3 Limitations of the Study:</w:t>
            </w:r>
            <w:r>
              <w:rPr>
                <w:noProof/>
                <w:webHidden/>
              </w:rPr>
              <w:tab/>
            </w:r>
            <w:r>
              <w:rPr>
                <w:noProof/>
                <w:webHidden/>
              </w:rPr>
              <w:fldChar w:fldCharType="begin"/>
            </w:r>
            <w:r>
              <w:rPr>
                <w:noProof/>
                <w:webHidden/>
              </w:rPr>
              <w:instrText xml:space="preserve"> PAGEREF _Toc188056514 \h </w:instrText>
            </w:r>
            <w:r>
              <w:rPr>
                <w:noProof/>
                <w:webHidden/>
              </w:rPr>
            </w:r>
            <w:r>
              <w:rPr>
                <w:noProof/>
                <w:webHidden/>
              </w:rPr>
              <w:fldChar w:fldCharType="separate"/>
            </w:r>
            <w:r w:rsidR="00895E5F">
              <w:rPr>
                <w:noProof/>
                <w:webHidden/>
              </w:rPr>
              <w:t>5</w:t>
            </w:r>
            <w:r>
              <w:rPr>
                <w:noProof/>
                <w:webHidden/>
              </w:rPr>
              <w:fldChar w:fldCharType="end"/>
            </w:r>
          </w:hyperlink>
        </w:p>
        <w:p w14:paraId="78D9409D" w14:textId="104A0E43" w:rsidR="004713F6" w:rsidRDefault="004713F6">
          <w:pPr>
            <w:pStyle w:val="TOC1"/>
            <w:tabs>
              <w:tab w:val="right" w:leader="dot" w:pos="10098"/>
            </w:tabs>
            <w:rPr>
              <w:noProof/>
            </w:rPr>
          </w:pPr>
          <w:hyperlink w:anchor="_Toc188056515" w:history="1">
            <w:r w:rsidRPr="008065F2">
              <w:rPr>
                <w:rStyle w:val="Hyperlink"/>
                <w:noProof/>
              </w:rPr>
              <w:t>Chapter 02: Methodology</w:t>
            </w:r>
            <w:r>
              <w:rPr>
                <w:noProof/>
                <w:webHidden/>
              </w:rPr>
              <w:tab/>
            </w:r>
            <w:r>
              <w:rPr>
                <w:noProof/>
                <w:webHidden/>
              </w:rPr>
              <w:fldChar w:fldCharType="begin"/>
            </w:r>
            <w:r>
              <w:rPr>
                <w:noProof/>
                <w:webHidden/>
              </w:rPr>
              <w:instrText xml:space="preserve"> PAGEREF _Toc188056515 \h </w:instrText>
            </w:r>
            <w:r>
              <w:rPr>
                <w:noProof/>
                <w:webHidden/>
              </w:rPr>
            </w:r>
            <w:r>
              <w:rPr>
                <w:noProof/>
                <w:webHidden/>
              </w:rPr>
              <w:fldChar w:fldCharType="separate"/>
            </w:r>
            <w:r w:rsidR="00895E5F">
              <w:rPr>
                <w:noProof/>
                <w:webHidden/>
              </w:rPr>
              <w:t>6</w:t>
            </w:r>
            <w:r>
              <w:rPr>
                <w:noProof/>
                <w:webHidden/>
              </w:rPr>
              <w:fldChar w:fldCharType="end"/>
            </w:r>
          </w:hyperlink>
        </w:p>
        <w:p w14:paraId="4190CCB5" w14:textId="3DDA895D" w:rsidR="004713F6" w:rsidRDefault="004713F6">
          <w:pPr>
            <w:pStyle w:val="TOC2"/>
            <w:tabs>
              <w:tab w:val="right" w:leader="dot" w:pos="10098"/>
            </w:tabs>
            <w:rPr>
              <w:noProof/>
            </w:rPr>
          </w:pPr>
          <w:hyperlink w:anchor="_Toc188056516" w:history="1">
            <w:r w:rsidRPr="008065F2">
              <w:rPr>
                <w:rStyle w:val="Hyperlink"/>
                <w:noProof/>
              </w:rPr>
              <w:t>2. Overv</w:t>
            </w:r>
            <w:r w:rsidRPr="008065F2">
              <w:rPr>
                <w:rStyle w:val="Hyperlink"/>
                <w:bCs/>
                <w:noProof/>
              </w:rPr>
              <w:t>iew</w:t>
            </w:r>
            <w:r>
              <w:rPr>
                <w:noProof/>
                <w:webHidden/>
              </w:rPr>
              <w:tab/>
            </w:r>
            <w:r>
              <w:rPr>
                <w:noProof/>
                <w:webHidden/>
              </w:rPr>
              <w:fldChar w:fldCharType="begin"/>
            </w:r>
            <w:r>
              <w:rPr>
                <w:noProof/>
                <w:webHidden/>
              </w:rPr>
              <w:instrText xml:space="preserve"> PAGEREF _Toc188056516 \h </w:instrText>
            </w:r>
            <w:r>
              <w:rPr>
                <w:noProof/>
                <w:webHidden/>
              </w:rPr>
            </w:r>
            <w:r>
              <w:rPr>
                <w:noProof/>
                <w:webHidden/>
              </w:rPr>
              <w:fldChar w:fldCharType="separate"/>
            </w:r>
            <w:r w:rsidR="00895E5F">
              <w:rPr>
                <w:noProof/>
                <w:webHidden/>
              </w:rPr>
              <w:t>6</w:t>
            </w:r>
            <w:r>
              <w:rPr>
                <w:noProof/>
                <w:webHidden/>
              </w:rPr>
              <w:fldChar w:fldCharType="end"/>
            </w:r>
          </w:hyperlink>
        </w:p>
        <w:p w14:paraId="6B0A1764" w14:textId="08E12ACC" w:rsidR="004713F6" w:rsidRDefault="004713F6">
          <w:pPr>
            <w:pStyle w:val="TOC2"/>
            <w:tabs>
              <w:tab w:val="right" w:leader="dot" w:pos="10098"/>
            </w:tabs>
            <w:rPr>
              <w:noProof/>
            </w:rPr>
          </w:pPr>
          <w:hyperlink w:anchor="_Toc188056517" w:history="1">
            <w:r w:rsidRPr="008065F2">
              <w:rPr>
                <w:rStyle w:val="Hyperlink"/>
                <w:noProof/>
              </w:rPr>
              <w:t>2.1Data Collection</w:t>
            </w:r>
            <w:r>
              <w:rPr>
                <w:noProof/>
                <w:webHidden/>
              </w:rPr>
              <w:tab/>
            </w:r>
            <w:r>
              <w:rPr>
                <w:noProof/>
                <w:webHidden/>
              </w:rPr>
              <w:fldChar w:fldCharType="begin"/>
            </w:r>
            <w:r>
              <w:rPr>
                <w:noProof/>
                <w:webHidden/>
              </w:rPr>
              <w:instrText xml:space="preserve"> PAGEREF _Toc188056517 \h </w:instrText>
            </w:r>
            <w:r>
              <w:rPr>
                <w:noProof/>
                <w:webHidden/>
              </w:rPr>
            </w:r>
            <w:r>
              <w:rPr>
                <w:noProof/>
                <w:webHidden/>
              </w:rPr>
              <w:fldChar w:fldCharType="separate"/>
            </w:r>
            <w:r w:rsidR="00895E5F">
              <w:rPr>
                <w:noProof/>
                <w:webHidden/>
              </w:rPr>
              <w:t>6</w:t>
            </w:r>
            <w:r>
              <w:rPr>
                <w:noProof/>
                <w:webHidden/>
              </w:rPr>
              <w:fldChar w:fldCharType="end"/>
            </w:r>
          </w:hyperlink>
        </w:p>
        <w:p w14:paraId="7D3036C9" w14:textId="7121B472" w:rsidR="004713F6" w:rsidRDefault="004713F6">
          <w:pPr>
            <w:pStyle w:val="TOC2"/>
            <w:tabs>
              <w:tab w:val="right" w:leader="dot" w:pos="10098"/>
            </w:tabs>
            <w:rPr>
              <w:noProof/>
            </w:rPr>
          </w:pPr>
          <w:hyperlink w:anchor="_Toc188056518" w:history="1">
            <w:r w:rsidRPr="008065F2">
              <w:rPr>
                <w:rStyle w:val="Hyperlink"/>
                <w:noProof/>
              </w:rPr>
              <w:t>2.2 Report Design</w:t>
            </w:r>
            <w:r>
              <w:rPr>
                <w:noProof/>
                <w:webHidden/>
              </w:rPr>
              <w:tab/>
            </w:r>
            <w:r>
              <w:rPr>
                <w:noProof/>
                <w:webHidden/>
              </w:rPr>
              <w:fldChar w:fldCharType="begin"/>
            </w:r>
            <w:r>
              <w:rPr>
                <w:noProof/>
                <w:webHidden/>
              </w:rPr>
              <w:instrText xml:space="preserve"> PAGEREF _Toc188056518 \h </w:instrText>
            </w:r>
            <w:r>
              <w:rPr>
                <w:noProof/>
                <w:webHidden/>
              </w:rPr>
            </w:r>
            <w:r>
              <w:rPr>
                <w:noProof/>
                <w:webHidden/>
              </w:rPr>
              <w:fldChar w:fldCharType="separate"/>
            </w:r>
            <w:r w:rsidR="00895E5F">
              <w:rPr>
                <w:noProof/>
                <w:webHidden/>
              </w:rPr>
              <w:t>6</w:t>
            </w:r>
            <w:r>
              <w:rPr>
                <w:noProof/>
                <w:webHidden/>
              </w:rPr>
              <w:fldChar w:fldCharType="end"/>
            </w:r>
          </w:hyperlink>
        </w:p>
        <w:p w14:paraId="3DB2A6BE" w14:textId="6C00A5EF" w:rsidR="004713F6" w:rsidRDefault="004713F6">
          <w:pPr>
            <w:pStyle w:val="TOC1"/>
            <w:tabs>
              <w:tab w:val="right" w:leader="dot" w:pos="10098"/>
            </w:tabs>
            <w:rPr>
              <w:noProof/>
            </w:rPr>
          </w:pPr>
          <w:hyperlink w:anchor="_Toc188056519" w:history="1">
            <w:r w:rsidRPr="008065F2">
              <w:rPr>
                <w:rStyle w:val="Hyperlink"/>
                <w:rFonts w:cstheme="majorBidi"/>
                <w:noProof/>
              </w:rPr>
              <w:t>2.3 Quantitative Analysis Techniques</w:t>
            </w:r>
            <w:r w:rsidRPr="008065F2">
              <w:rPr>
                <w:rStyle w:val="Hyperlink"/>
                <w:noProof/>
              </w:rPr>
              <w:t>:</w:t>
            </w:r>
            <w:r>
              <w:rPr>
                <w:noProof/>
                <w:webHidden/>
              </w:rPr>
              <w:tab/>
            </w:r>
            <w:r>
              <w:rPr>
                <w:noProof/>
                <w:webHidden/>
              </w:rPr>
              <w:fldChar w:fldCharType="begin"/>
            </w:r>
            <w:r>
              <w:rPr>
                <w:noProof/>
                <w:webHidden/>
              </w:rPr>
              <w:instrText xml:space="preserve"> PAGEREF _Toc188056519 \h </w:instrText>
            </w:r>
            <w:r>
              <w:rPr>
                <w:noProof/>
                <w:webHidden/>
              </w:rPr>
            </w:r>
            <w:r>
              <w:rPr>
                <w:noProof/>
                <w:webHidden/>
              </w:rPr>
              <w:fldChar w:fldCharType="separate"/>
            </w:r>
            <w:r w:rsidR="00895E5F">
              <w:rPr>
                <w:noProof/>
                <w:webHidden/>
              </w:rPr>
              <w:t>6</w:t>
            </w:r>
            <w:r>
              <w:rPr>
                <w:noProof/>
                <w:webHidden/>
              </w:rPr>
              <w:fldChar w:fldCharType="end"/>
            </w:r>
          </w:hyperlink>
        </w:p>
        <w:p w14:paraId="09B3AC41" w14:textId="1C86F3D7" w:rsidR="004713F6" w:rsidRDefault="004713F6">
          <w:pPr>
            <w:pStyle w:val="TOC1"/>
            <w:tabs>
              <w:tab w:val="right" w:leader="dot" w:pos="10098"/>
            </w:tabs>
            <w:rPr>
              <w:noProof/>
            </w:rPr>
          </w:pPr>
          <w:hyperlink w:anchor="_Toc188056520" w:history="1">
            <w:r w:rsidRPr="008065F2">
              <w:rPr>
                <w:rStyle w:val="Hyperlink"/>
                <w:noProof/>
              </w:rPr>
              <w:t>Chapter 03: Organizational Profile of NLI</w:t>
            </w:r>
            <w:r>
              <w:rPr>
                <w:noProof/>
                <w:webHidden/>
              </w:rPr>
              <w:tab/>
            </w:r>
            <w:r>
              <w:rPr>
                <w:noProof/>
                <w:webHidden/>
              </w:rPr>
              <w:fldChar w:fldCharType="begin"/>
            </w:r>
            <w:r>
              <w:rPr>
                <w:noProof/>
                <w:webHidden/>
              </w:rPr>
              <w:instrText xml:space="preserve"> PAGEREF _Toc188056520 \h </w:instrText>
            </w:r>
            <w:r>
              <w:rPr>
                <w:noProof/>
                <w:webHidden/>
              </w:rPr>
            </w:r>
            <w:r>
              <w:rPr>
                <w:noProof/>
                <w:webHidden/>
              </w:rPr>
              <w:fldChar w:fldCharType="separate"/>
            </w:r>
            <w:r w:rsidR="00895E5F">
              <w:rPr>
                <w:noProof/>
                <w:webHidden/>
              </w:rPr>
              <w:t>7</w:t>
            </w:r>
            <w:r>
              <w:rPr>
                <w:noProof/>
                <w:webHidden/>
              </w:rPr>
              <w:fldChar w:fldCharType="end"/>
            </w:r>
          </w:hyperlink>
        </w:p>
        <w:p w14:paraId="4CE3FC4D" w14:textId="7D1C287B" w:rsidR="004713F6" w:rsidRDefault="004713F6">
          <w:pPr>
            <w:pStyle w:val="TOC2"/>
            <w:tabs>
              <w:tab w:val="right" w:leader="dot" w:pos="10098"/>
            </w:tabs>
            <w:rPr>
              <w:noProof/>
            </w:rPr>
          </w:pPr>
          <w:hyperlink w:anchor="_Toc188056521" w:history="1">
            <w:r w:rsidRPr="008065F2">
              <w:rPr>
                <w:rStyle w:val="Hyperlink"/>
                <w:noProof/>
              </w:rPr>
              <w:t>3. Introduction of NLI</w:t>
            </w:r>
            <w:r>
              <w:rPr>
                <w:noProof/>
                <w:webHidden/>
              </w:rPr>
              <w:tab/>
            </w:r>
            <w:r>
              <w:rPr>
                <w:noProof/>
                <w:webHidden/>
              </w:rPr>
              <w:fldChar w:fldCharType="begin"/>
            </w:r>
            <w:r>
              <w:rPr>
                <w:noProof/>
                <w:webHidden/>
              </w:rPr>
              <w:instrText xml:space="preserve"> PAGEREF _Toc188056521 \h </w:instrText>
            </w:r>
            <w:r>
              <w:rPr>
                <w:noProof/>
                <w:webHidden/>
              </w:rPr>
            </w:r>
            <w:r>
              <w:rPr>
                <w:noProof/>
                <w:webHidden/>
              </w:rPr>
              <w:fldChar w:fldCharType="separate"/>
            </w:r>
            <w:r w:rsidR="00895E5F">
              <w:rPr>
                <w:noProof/>
                <w:webHidden/>
              </w:rPr>
              <w:t>7</w:t>
            </w:r>
            <w:r>
              <w:rPr>
                <w:noProof/>
                <w:webHidden/>
              </w:rPr>
              <w:fldChar w:fldCharType="end"/>
            </w:r>
          </w:hyperlink>
        </w:p>
        <w:p w14:paraId="6152E2C6" w14:textId="7E79EC9C" w:rsidR="004713F6" w:rsidRDefault="004713F6">
          <w:pPr>
            <w:pStyle w:val="TOC2"/>
            <w:tabs>
              <w:tab w:val="right" w:leader="dot" w:pos="10098"/>
            </w:tabs>
            <w:rPr>
              <w:noProof/>
            </w:rPr>
          </w:pPr>
          <w:hyperlink w:anchor="_Toc188056522" w:history="1">
            <w:r w:rsidRPr="008065F2">
              <w:rPr>
                <w:rStyle w:val="Hyperlink"/>
                <w:noProof/>
              </w:rPr>
              <w:t>3.2 Competitors of NLI</w:t>
            </w:r>
            <w:r>
              <w:rPr>
                <w:noProof/>
                <w:webHidden/>
              </w:rPr>
              <w:tab/>
            </w:r>
            <w:r>
              <w:rPr>
                <w:noProof/>
                <w:webHidden/>
              </w:rPr>
              <w:fldChar w:fldCharType="begin"/>
            </w:r>
            <w:r>
              <w:rPr>
                <w:noProof/>
                <w:webHidden/>
              </w:rPr>
              <w:instrText xml:space="preserve"> PAGEREF _Toc188056522 \h </w:instrText>
            </w:r>
            <w:r>
              <w:rPr>
                <w:noProof/>
                <w:webHidden/>
              </w:rPr>
            </w:r>
            <w:r>
              <w:rPr>
                <w:noProof/>
                <w:webHidden/>
              </w:rPr>
              <w:fldChar w:fldCharType="separate"/>
            </w:r>
            <w:r w:rsidR="00895E5F">
              <w:rPr>
                <w:noProof/>
                <w:webHidden/>
              </w:rPr>
              <w:t>7</w:t>
            </w:r>
            <w:r>
              <w:rPr>
                <w:noProof/>
                <w:webHidden/>
              </w:rPr>
              <w:fldChar w:fldCharType="end"/>
            </w:r>
          </w:hyperlink>
        </w:p>
        <w:p w14:paraId="43D2A6BD" w14:textId="415C7D67" w:rsidR="004713F6" w:rsidRDefault="004713F6">
          <w:pPr>
            <w:pStyle w:val="TOC2"/>
            <w:tabs>
              <w:tab w:val="right" w:leader="dot" w:pos="10098"/>
            </w:tabs>
            <w:rPr>
              <w:noProof/>
            </w:rPr>
          </w:pPr>
          <w:hyperlink w:anchor="_Toc188056523" w:history="1">
            <w:r w:rsidRPr="008065F2">
              <w:rPr>
                <w:rStyle w:val="Hyperlink"/>
                <w:bCs/>
                <w:noProof/>
              </w:rPr>
              <w:t>3.3</w:t>
            </w:r>
            <w:r w:rsidRPr="008065F2">
              <w:rPr>
                <w:rStyle w:val="Hyperlink"/>
                <w:noProof/>
              </w:rPr>
              <w:t xml:space="preserve"> </w:t>
            </w:r>
            <w:r w:rsidRPr="008065F2">
              <w:rPr>
                <w:rStyle w:val="Hyperlink"/>
                <w:rFonts w:cs="Times New Roman"/>
                <w:noProof/>
              </w:rPr>
              <w:t>Organogram (Organization Hierarchy)</w:t>
            </w:r>
            <w:r>
              <w:rPr>
                <w:noProof/>
                <w:webHidden/>
              </w:rPr>
              <w:tab/>
            </w:r>
            <w:r>
              <w:rPr>
                <w:noProof/>
                <w:webHidden/>
              </w:rPr>
              <w:fldChar w:fldCharType="begin"/>
            </w:r>
            <w:r>
              <w:rPr>
                <w:noProof/>
                <w:webHidden/>
              </w:rPr>
              <w:instrText xml:space="preserve"> PAGEREF _Toc188056523 \h </w:instrText>
            </w:r>
            <w:r>
              <w:rPr>
                <w:noProof/>
                <w:webHidden/>
              </w:rPr>
            </w:r>
            <w:r>
              <w:rPr>
                <w:noProof/>
                <w:webHidden/>
              </w:rPr>
              <w:fldChar w:fldCharType="separate"/>
            </w:r>
            <w:r w:rsidR="00895E5F">
              <w:rPr>
                <w:noProof/>
                <w:webHidden/>
              </w:rPr>
              <w:t>8</w:t>
            </w:r>
            <w:r>
              <w:rPr>
                <w:noProof/>
                <w:webHidden/>
              </w:rPr>
              <w:fldChar w:fldCharType="end"/>
            </w:r>
          </w:hyperlink>
        </w:p>
        <w:p w14:paraId="03536E37" w14:textId="03990579" w:rsidR="004713F6" w:rsidRDefault="004713F6">
          <w:pPr>
            <w:pStyle w:val="TOC2"/>
            <w:tabs>
              <w:tab w:val="right" w:leader="dot" w:pos="10098"/>
            </w:tabs>
            <w:rPr>
              <w:noProof/>
            </w:rPr>
          </w:pPr>
          <w:hyperlink w:anchor="_Toc188056524" w:history="1">
            <w:r w:rsidRPr="008065F2">
              <w:rPr>
                <w:rStyle w:val="Hyperlink"/>
                <w:noProof/>
              </w:rPr>
              <w:t>3.4 Corporate Information:</w:t>
            </w:r>
            <w:r>
              <w:rPr>
                <w:noProof/>
                <w:webHidden/>
              </w:rPr>
              <w:tab/>
            </w:r>
            <w:r>
              <w:rPr>
                <w:noProof/>
                <w:webHidden/>
              </w:rPr>
              <w:fldChar w:fldCharType="begin"/>
            </w:r>
            <w:r>
              <w:rPr>
                <w:noProof/>
                <w:webHidden/>
              </w:rPr>
              <w:instrText xml:space="preserve"> PAGEREF _Toc188056524 \h </w:instrText>
            </w:r>
            <w:r>
              <w:rPr>
                <w:noProof/>
                <w:webHidden/>
              </w:rPr>
            </w:r>
            <w:r>
              <w:rPr>
                <w:noProof/>
                <w:webHidden/>
              </w:rPr>
              <w:fldChar w:fldCharType="separate"/>
            </w:r>
            <w:r w:rsidR="00895E5F">
              <w:rPr>
                <w:noProof/>
                <w:webHidden/>
              </w:rPr>
              <w:t>10</w:t>
            </w:r>
            <w:r>
              <w:rPr>
                <w:noProof/>
                <w:webHidden/>
              </w:rPr>
              <w:fldChar w:fldCharType="end"/>
            </w:r>
          </w:hyperlink>
        </w:p>
        <w:p w14:paraId="32B7E762" w14:textId="0EBF2DC5" w:rsidR="004713F6" w:rsidRDefault="004713F6">
          <w:pPr>
            <w:pStyle w:val="TOC1"/>
            <w:tabs>
              <w:tab w:val="right" w:leader="dot" w:pos="10098"/>
            </w:tabs>
            <w:rPr>
              <w:noProof/>
            </w:rPr>
          </w:pPr>
          <w:hyperlink w:anchor="_Toc188056525" w:history="1">
            <w:r w:rsidRPr="008065F2">
              <w:rPr>
                <w:rStyle w:val="Hyperlink"/>
                <w:noProof/>
              </w:rPr>
              <w:t>Chapter 04: Analysis, Interpretation and Result of the Study</w:t>
            </w:r>
            <w:r>
              <w:rPr>
                <w:noProof/>
                <w:webHidden/>
              </w:rPr>
              <w:tab/>
            </w:r>
            <w:r>
              <w:rPr>
                <w:noProof/>
                <w:webHidden/>
              </w:rPr>
              <w:fldChar w:fldCharType="begin"/>
            </w:r>
            <w:r>
              <w:rPr>
                <w:noProof/>
                <w:webHidden/>
              </w:rPr>
              <w:instrText xml:space="preserve"> PAGEREF _Toc188056525 \h </w:instrText>
            </w:r>
            <w:r>
              <w:rPr>
                <w:noProof/>
                <w:webHidden/>
              </w:rPr>
            </w:r>
            <w:r>
              <w:rPr>
                <w:noProof/>
                <w:webHidden/>
              </w:rPr>
              <w:fldChar w:fldCharType="separate"/>
            </w:r>
            <w:r w:rsidR="00895E5F">
              <w:rPr>
                <w:noProof/>
                <w:webHidden/>
              </w:rPr>
              <w:t>11</w:t>
            </w:r>
            <w:r>
              <w:rPr>
                <w:noProof/>
                <w:webHidden/>
              </w:rPr>
              <w:fldChar w:fldCharType="end"/>
            </w:r>
          </w:hyperlink>
        </w:p>
        <w:p w14:paraId="5434654E" w14:textId="07D2B152" w:rsidR="004713F6" w:rsidRDefault="004713F6">
          <w:pPr>
            <w:pStyle w:val="TOC1"/>
            <w:tabs>
              <w:tab w:val="right" w:leader="dot" w:pos="10098"/>
            </w:tabs>
            <w:rPr>
              <w:noProof/>
            </w:rPr>
          </w:pPr>
          <w:hyperlink w:anchor="_Toc188056526" w:history="1">
            <w:r w:rsidRPr="008065F2">
              <w:rPr>
                <w:rStyle w:val="Hyperlink"/>
                <w:noProof/>
              </w:rPr>
              <w:t>4</w:t>
            </w:r>
            <w:r>
              <w:rPr>
                <w:noProof/>
                <w:webHidden/>
              </w:rPr>
              <w:tab/>
            </w:r>
            <w:r>
              <w:rPr>
                <w:noProof/>
                <w:webHidden/>
              </w:rPr>
              <w:fldChar w:fldCharType="begin"/>
            </w:r>
            <w:r>
              <w:rPr>
                <w:noProof/>
                <w:webHidden/>
              </w:rPr>
              <w:instrText xml:space="preserve"> PAGEREF _Toc188056526 \h </w:instrText>
            </w:r>
            <w:r>
              <w:rPr>
                <w:noProof/>
                <w:webHidden/>
              </w:rPr>
            </w:r>
            <w:r>
              <w:rPr>
                <w:noProof/>
                <w:webHidden/>
              </w:rPr>
              <w:fldChar w:fldCharType="separate"/>
            </w:r>
            <w:r w:rsidR="00895E5F">
              <w:rPr>
                <w:noProof/>
                <w:webHidden/>
              </w:rPr>
              <w:t>11</w:t>
            </w:r>
            <w:r>
              <w:rPr>
                <w:noProof/>
                <w:webHidden/>
              </w:rPr>
              <w:fldChar w:fldCharType="end"/>
            </w:r>
          </w:hyperlink>
        </w:p>
        <w:p w14:paraId="791F55D9" w14:textId="68BEC547" w:rsidR="004713F6" w:rsidRDefault="004713F6">
          <w:pPr>
            <w:pStyle w:val="TOC2"/>
            <w:tabs>
              <w:tab w:val="right" w:leader="dot" w:pos="10098"/>
            </w:tabs>
            <w:rPr>
              <w:noProof/>
            </w:rPr>
          </w:pPr>
          <w:hyperlink w:anchor="_Toc188056527" w:history="1">
            <w:r w:rsidRPr="008065F2">
              <w:rPr>
                <w:rStyle w:val="Hyperlink"/>
                <w:noProof/>
              </w:rPr>
              <w:t>4.1 Gross Premium &amp; Claims Paid</w:t>
            </w:r>
            <w:r>
              <w:rPr>
                <w:noProof/>
                <w:webHidden/>
              </w:rPr>
              <w:tab/>
            </w:r>
            <w:r>
              <w:rPr>
                <w:noProof/>
                <w:webHidden/>
              </w:rPr>
              <w:fldChar w:fldCharType="begin"/>
            </w:r>
            <w:r>
              <w:rPr>
                <w:noProof/>
                <w:webHidden/>
              </w:rPr>
              <w:instrText xml:space="preserve"> PAGEREF _Toc188056527 \h </w:instrText>
            </w:r>
            <w:r>
              <w:rPr>
                <w:noProof/>
                <w:webHidden/>
              </w:rPr>
            </w:r>
            <w:r>
              <w:rPr>
                <w:noProof/>
                <w:webHidden/>
              </w:rPr>
              <w:fldChar w:fldCharType="separate"/>
            </w:r>
            <w:r w:rsidR="00895E5F">
              <w:rPr>
                <w:noProof/>
                <w:webHidden/>
              </w:rPr>
              <w:t>11</w:t>
            </w:r>
            <w:r>
              <w:rPr>
                <w:noProof/>
                <w:webHidden/>
              </w:rPr>
              <w:fldChar w:fldCharType="end"/>
            </w:r>
          </w:hyperlink>
        </w:p>
        <w:p w14:paraId="422D50FB" w14:textId="03B69D83" w:rsidR="004713F6" w:rsidRDefault="004713F6">
          <w:pPr>
            <w:pStyle w:val="TOC2"/>
            <w:tabs>
              <w:tab w:val="right" w:leader="dot" w:pos="10098"/>
            </w:tabs>
            <w:rPr>
              <w:noProof/>
            </w:rPr>
          </w:pPr>
          <w:hyperlink w:anchor="_Toc188056528" w:history="1">
            <w:r w:rsidRPr="008065F2">
              <w:rPr>
                <w:rStyle w:val="Hyperlink"/>
                <w:noProof/>
              </w:rPr>
              <w:t>4.2 Category of Shareholders</w:t>
            </w:r>
            <w:r>
              <w:rPr>
                <w:noProof/>
                <w:webHidden/>
              </w:rPr>
              <w:tab/>
            </w:r>
            <w:r>
              <w:rPr>
                <w:noProof/>
                <w:webHidden/>
              </w:rPr>
              <w:fldChar w:fldCharType="begin"/>
            </w:r>
            <w:r>
              <w:rPr>
                <w:noProof/>
                <w:webHidden/>
              </w:rPr>
              <w:instrText xml:space="preserve"> PAGEREF _Toc188056528 \h </w:instrText>
            </w:r>
            <w:r>
              <w:rPr>
                <w:noProof/>
                <w:webHidden/>
              </w:rPr>
            </w:r>
            <w:r>
              <w:rPr>
                <w:noProof/>
                <w:webHidden/>
              </w:rPr>
              <w:fldChar w:fldCharType="separate"/>
            </w:r>
            <w:r w:rsidR="00895E5F">
              <w:rPr>
                <w:noProof/>
                <w:webHidden/>
              </w:rPr>
              <w:t>12</w:t>
            </w:r>
            <w:r>
              <w:rPr>
                <w:noProof/>
                <w:webHidden/>
              </w:rPr>
              <w:fldChar w:fldCharType="end"/>
            </w:r>
          </w:hyperlink>
        </w:p>
        <w:p w14:paraId="5F887D6E" w14:textId="234EB17C" w:rsidR="004713F6" w:rsidRDefault="004713F6">
          <w:pPr>
            <w:pStyle w:val="TOC2"/>
            <w:tabs>
              <w:tab w:val="right" w:leader="dot" w:pos="10098"/>
            </w:tabs>
            <w:rPr>
              <w:noProof/>
            </w:rPr>
          </w:pPr>
          <w:hyperlink w:anchor="_Toc188056529" w:history="1">
            <w:r w:rsidRPr="008065F2">
              <w:rPr>
                <w:rStyle w:val="Hyperlink"/>
                <w:noProof/>
              </w:rPr>
              <w:t>4.3 RoA and RoE</w:t>
            </w:r>
            <w:r>
              <w:rPr>
                <w:noProof/>
                <w:webHidden/>
              </w:rPr>
              <w:tab/>
            </w:r>
            <w:r>
              <w:rPr>
                <w:noProof/>
                <w:webHidden/>
              </w:rPr>
              <w:fldChar w:fldCharType="begin"/>
            </w:r>
            <w:r>
              <w:rPr>
                <w:noProof/>
                <w:webHidden/>
              </w:rPr>
              <w:instrText xml:space="preserve"> PAGEREF _Toc188056529 \h </w:instrText>
            </w:r>
            <w:r>
              <w:rPr>
                <w:noProof/>
                <w:webHidden/>
              </w:rPr>
            </w:r>
            <w:r>
              <w:rPr>
                <w:noProof/>
                <w:webHidden/>
              </w:rPr>
              <w:fldChar w:fldCharType="separate"/>
            </w:r>
            <w:r w:rsidR="00895E5F">
              <w:rPr>
                <w:noProof/>
                <w:webHidden/>
              </w:rPr>
              <w:t>12</w:t>
            </w:r>
            <w:r>
              <w:rPr>
                <w:noProof/>
                <w:webHidden/>
              </w:rPr>
              <w:fldChar w:fldCharType="end"/>
            </w:r>
          </w:hyperlink>
        </w:p>
        <w:p w14:paraId="1240D369" w14:textId="7EDCD6B9" w:rsidR="004713F6" w:rsidRDefault="004713F6">
          <w:pPr>
            <w:pStyle w:val="TOC2"/>
            <w:tabs>
              <w:tab w:val="right" w:leader="dot" w:pos="10098"/>
            </w:tabs>
            <w:rPr>
              <w:noProof/>
            </w:rPr>
          </w:pPr>
          <w:hyperlink w:anchor="_Toc188056530" w:history="1">
            <w:r w:rsidRPr="008065F2">
              <w:rPr>
                <w:rStyle w:val="Hyperlink"/>
                <w:noProof/>
              </w:rPr>
              <w:t>4.4 Economic Value-Added Statement:</w:t>
            </w:r>
            <w:r>
              <w:rPr>
                <w:noProof/>
                <w:webHidden/>
              </w:rPr>
              <w:tab/>
            </w:r>
            <w:r>
              <w:rPr>
                <w:noProof/>
                <w:webHidden/>
              </w:rPr>
              <w:fldChar w:fldCharType="begin"/>
            </w:r>
            <w:r>
              <w:rPr>
                <w:noProof/>
                <w:webHidden/>
              </w:rPr>
              <w:instrText xml:space="preserve"> PAGEREF _Toc188056530 \h </w:instrText>
            </w:r>
            <w:r>
              <w:rPr>
                <w:noProof/>
                <w:webHidden/>
              </w:rPr>
            </w:r>
            <w:r>
              <w:rPr>
                <w:noProof/>
                <w:webHidden/>
              </w:rPr>
              <w:fldChar w:fldCharType="separate"/>
            </w:r>
            <w:r w:rsidR="00895E5F">
              <w:rPr>
                <w:noProof/>
                <w:webHidden/>
              </w:rPr>
              <w:t>13</w:t>
            </w:r>
            <w:r>
              <w:rPr>
                <w:noProof/>
                <w:webHidden/>
              </w:rPr>
              <w:fldChar w:fldCharType="end"/>
            </w:r>
          </w:hyperlink>
        </w:p>
        <w:p w14:paraId="5BFB0C94" w14:textId="516FA388" w:rsidR="004713F6" w:rsidRDefault="004713F6">
          <w:pPr>
            <w:pStyle w:val="TOC2"/>
            <w:tabs>
              <w:tab w:val="right" w:leader="dot" w:pos="10098"/>
            </w:tabs>
            <w:rPr>
              <w:noProof/>
            </w:rPr>
          </w:pPr>
          <w:hyperlink w:anchor="_Toc188056531" w:history="1">
            <w:r w:rsidRPr="008065F2">
              <w:rPr>
                <w:rStyle w:val="Hyperlink"/>
                <w:noProof/>
              </w:rPr>
              <w:t>4.5 Vertical Analysis</w:t>
            </w:r>
            <w:r>
              <w:rPr>
                <w:noProof/>
                <w:webHidden/>
              </w:rPr>
              <w:tab/>
            </w:r>
            <w:r>
              <w:rPr>
                <w:noProof/>
                <w:webHidden/>
              </w:rPr>
              <w:fldChar w:fldCharType="begin"/>
            </w:r>
            <w:r>
              <w:rPr>
                <w:noProof/>
                <w:webHidden/>
              </w:rPr>
              <w:instrText xml:space="preserve"> PAGEREF _Toc188056531 \h </w:instrText>
            </w:r>
            <w:r>
              <w:rPr>
                <w:noProof/>
                <w:webHidden/>
              </w:rPr>
            </w:r>
            <w:r>
              <w:rPr>
                <w:noProof/>
                <w:webHidden/>
              </w:rPr>
              <w:fldChar w:fldCharType="separate"/>
            </w:r>
            <w:r w:rsidR="00895E5F">
              <w:rPr>
                <w:noProof/>
                <w:webHidden/>
              </w:rPr>
              <w:t>14</w:t>
            </w:r>
            <w:r>
              <w:rPr>
                <w:noProof/>
                <w:webHidden/>
              </w:rPr>
              <w:fldChar w:fldCharType="end"/>
            </w:r>
          </w:hyperlink>
        </w:p>
        <w:p w14:paraId="491E74C3" w14:textId="5FA358A4" w:rsidR="004713F6" w:rsidRDefault="004713F6">
          <w:pPr>
            <w:pStyle w:val="TOC1"/>
            <w:tabs>
              <w:tab w:val="right" w:leader="dot" w:pos="10098"/>
            </w:tabs>
            <w:rPr>
              <w:noProof/>
            </w:rPr>
          </w:pPr>
          <w:hyperlink w:anchor="_Toc188056532" w:history="1">
            <w:r w:rsidRPr="008065F2">
              <w:rPr>
                <w:rStyle w:val="Hyperlink"/>
                <w:noProof/>
              </w:rPr>
              <w:t>Chapter 05: Recommendation and Conclusion</w:t>
            </w:r>
            <w:r>
              <w:rPr>
                <w:noProof/>
                <w:webHidden/>
              </w:rPr>
              <w:tab/>
            </w:r>
            <w:r>
              <w:rPr>
                <w:noProof/>
                <w:webHidden/>
              </w:rPr>
              <w:fldChar w:fldCharType="begin"/>
            </w:r>
            <w:r>
              <w:rPr>
                <w:noProof/>
                <w:webHidden/>
              </w:rPr>
              <w:instrText xml:space="preserve"> PAGEREF _Toc188056532 \h </w:instrText>
            </w:r>
            <w:r>
              <w:rPr>
                <w:noProof/>
                <w:webHidden/>
              </w:rPr>
            </w:r>
            <w:r>
              <w:rPr>
                <w:noProof/>
                <w:webHidden/>
              </w:rPr>
              <w:fldChar w:fldCharType="separate"/>
            </w:r>
            <w:r w:rsidR="00895E5F">
              <w:rPr>
                <w:noProof/>
                <w:webHidden/>
              </w:rPr>
              <w:t>15</w:t>
            </w:r>
            <w:r>
              <w:rPr>
                <w:noProof/>
                <w:webHidden/>
              </w:rPr>
              <w:fldChar w:fldCharType="end"/>
            </w:r>
          </w:hyperlink>
        </w:p>
        <w:p w14:paraId="3072455E" w14:textId="5FAAEE0E" w:rsidR="004713F6" w:rsidRDefault="004713F6">
          <w:pPr>
            <w:pStyle w:val="TOC2"/>
            <w:tabs>
              <w:tab w:val="right" w:leader="dot" w:pos="10098"/>
            </w:tabs>
            <w:rPr>
              <w:noProof/>
            </w:rPr>
          </w:pPr>
          <w:hyperlink w:anchor="_Toc188056533" w:history="1">
            <w:r w:rsidRPr="008065F2">
              <w:rPr>
                <w:rStyle w:val="Hyperlink"/>
                <w:noProof/>
              </w:rPr>
              <w:t>5.1 Recommendations</w:t>
            </w:r>
            <w:r>
              <w:rPr>
                <w:noProof/>
                <w:webHidden/>
              </w:rPr>
              <w:tab/>
            </w:r>
            <w:r>
              <w:rPr>
                <w:noProof/>
                <w:webHidden/>
              </w:rPr>
              <w:fldChar w:fldCharType="begin"/>
            </w:r>
            <w:r>
              <w:rPr>
                <w:noProof/>
                <w:webHidden/>
              </w:rPr>
              <w:instrText xml:space="preserve"> PAGEREF _Toc188056533 \h </w:instrText>
            </w:r>
            <w:r>
              <w:rPr>
                <w:noProof/>
                <w:webHidden/>
              </w:rPr>
            </w:r>
            <w:r>
              <w:rPr>
                <w:noProof/>
                <w:webHidden/>
              </w:rPr>
              <w:fldChar w:fldCharType="separate"/>
            </w:r>
            <w:r w:rsidR="00895E5F">
              <w:rPr>
                <w:noProof/>
                <w:webHidden/>
              </w:rPr>
              <w:t>15</w:t>
            </w:r>
            <w:r>
              <w:rPr>
                <w:noProof/>
                <w:webHidden/>
              </w:rPr>
              <w:fldChar w:fldCharType="end"/>
            </w:r>
          </w:hyperlink>
        </w:p>
        <w:p w14:paraId="2ADBE989" w14:textId="0B4F3CED" w:rsidR="004713F6" w:rsidRDefault="004713F6">
          <w:pPr>
            <w:pStyle w:val="TOC2"/>
            <w:tabs>
              <w:tab w:val="right" w:leader="dot" w:pos="10098"/>
            </w:tabs>
            <w:rPr>
              <w:noProof/>
            </w:rPr>
          </w:pPr>
          <w:hyperlink w:anchor="_Toc188056534" w:history="1">
            <w:r w:rsidRPr="008065F2">
              <w:rPr>
                <w:rStyle w:val="Hyperlink"/>
                <w:noProof/>
              </w:rPr>
              <w:t>5.2 Conclusion</w:t>
            </w:r>
            <w:r>
              <w:rPr>
                <w:noProof/>
                <w:webHidden/>
              </w:rPr>
              <w:tab/>
            </w:r>
            <w:r>
              <w:rPr>
                <w:noProof/>
                <w:webHidden/>
              </w:rPr>
              <w:fldChar w:fldCharType="begin"/>
            </w:r>
            <w:r>
              <w:rPr>
                <w:noProof/>
                <w:webHidden/>
              </w:rPr>
              <w:instrText xml:space="preserve"> PAGEREF _Toc188056534 \h </w:instrText>
            </w:r>
            <w:r>
              <w:rPr>
                <w:noProof/>
                <w:webHidden/>
              </w:rPr>
            </w:r>
            <w:r>
              <w:rPr>
                <w:noProof/>
                <w:webHidden/>
              </w:rPr>
              <w:fldChar w:fldCharType="separate"/>
            </w:r>
            <w:r w:rsidR="00895E5F">
              <w:rPr>
                <w:noProof/>
                <w:webHidden/>
              </w:rPr>
              <w:t>15</w:t>
            </w:r>
            <w:r>
              <w:rPr>
                <w:noProof/>
                <w:webHidden/>
              </w:rPr>
              <w:fldChar w:fldCharType="end"/>
            </w:r>
          </w:hyperlink>
        </w:p>
        <w:p w14:paraId="519B040F" w14:textId="469E03BB" w:rsidR="004713F6" w:rsidRDefault="004713F6">
          <w:pPr>
            <w:pStyle w:val="TOC2"/>
            <w:tabs>
              <w:tab w:val="right" w:leader="dot" w:pos="10098"/>
            </w:tabs>
            <w:rPr>
              <w:noProof/>
            </w:rPr>
          </w:pPr>
          <w:hyperlink w:anchor="_Toc188056535" w:history="1">
            <w:r w:rsidRPr="008065F2">
              <w:rPr>
                <w:rStyle w:val="Hyperlink"/>
                <w:noProof/>
              </w:rPr>
              <w:t>Reference</w:t>
            </w:r>
            <w:r>
              <w:rPr>
                <w:noProof/>
                <w:webHidden/>
              </w:rPr>
              <w:tab/>
            </w:r>
            <w:r>
              <w:rPr>
                <w:noProof/>
                <w:webHidden/>
              </w:rPr>
              <w:fldChar w:fldCharType="begin"/>
            </w:r>
            <w:r>
              <w:rPr>
                <w:noProof/>
                <w:webHidden/>
              </w:rPr>
              <w:instrText xml:space="preserve"> PAGEREF _Toc188056535 \h </w:instrText>
            </w:r>
            <w:r>
              <w:rPr>
                <w:noProof/>
                <w:webHidden/>
              </w:rPr>
            </w:r>
            <w:r>
              <w:rPr>
                <w:noProof/>
                <w:webHidden/>
              </w:rPr>
              <w:fldChar w:fldCharType="separate"/>
            </w:r>
            <w:r w:rsidR="00895E5F">
              <w:rPr>
                <w:noProof/>
                <w:webHidden/>
              </w:rPr>
              <w:t>16</w:t>
            </w:r>
            <w:r>
              <w:rPr>
                <w:noProof/>
                <w:webHidden/>
              </w:rPr>
              <w:fldChar w:fldCharType="end"/>
            </w:r>
          </w:hyperlink>
        </w:p>
        <w:p w14:paraId="78633433" w14:textId="42F7A4BE" w:rsidR="003A79E7" w:rsidRDefault="003A79E7">
          <w:r>
            <w:rPr>
              <w:b/>
              <w:bCs/>
              <w:noProof/>
            </w:rPr>
            <w:fldChar w:fldCharType="end"/>
          </w:r>
        </w:p>
      </w:sdtContent>
    </w:sdt>
    <w:p w14:paraId="2FD6B88E" w14:textId="77777777" w:rsidR="00B672D8" w:rsidRDefault="00B672D8" w:rsidP="00B672D8">
      <w:pPr>
        <w:rPr>
          <w:rFonts w:ascii="Times New Roman" w:hAnsi="Times New Roman" w:cs="Times New Roman"/>
          <w:b/>
          <w:bCs/>
        </w:rPr>
      </w:pPr>
    </w:p>
    <w:p w14:paraId="73312968" w14:textId="375A4140" w:rsidR="001E3E7A" w:rsidRDefault="001E3E7A" w:rsidP="00006981">
      <w:pPr>
        <w:pStyle w:val="Heading1"/>
      </w:pPr>
      <w:bookmarkStart w:id="3" w:name="_Toc188056510"/>
      <w:r w:rsidRPr="00321DEC">
        <w:lastRenderedPageBreak/>
        <w:t>Chapter 01: Introduction</w:t>
      </w:r>
      <w:bookmarkEnd w:id="3"/>
    </w:p>
    <w:p w14:paraId="400E7E48" w14:textId="0D84F557" w:rsidR="00693379" w:rsidRPr="00006981" w:rsidRDefault="00693379" w:rsidP="006A15FB">
      <w:pPr>
        <w:pStyle w:val="Heading2"/>
        <w:numPr>
          <w:ilvl w:val="0"/>
          <w:numId w:val="43"/>
        </w:numPr>
      </w:pPr>
      <w:bookmarkStart w:id="4" w:name="_Toc188056511"/>
      <w:r w:rsidRPr="00006981">
        <w:t>Introduction</w:t>
      </w:r>
      <w:bookmarkEnd w:id="4"/>
      <w:r w:rsidRPr="00006981">
        <w:t xml:space="preserve"> </w:t>
      </w:r>
    </w:p>
    <w:p w14:paraId="070F619B" w14:textId="72646598" w:rsidR="0074080B" w:rsidRPr="00321DEC" w:rsidRDefault="00693379" w:rsidP="00321DEC">
      <w:pPr>
        <w:spacing w:line="360" w:lineRule="auto"/>
        <w:jc w:val="both"/>
        <w:rPr>
          <w:rFonts w:ascii="Times New Roman" w:hAnsi="Times New Roman" w:cs="Times New Roman"/>
        </w:rPr>
      </w:pPr>
      <w:r w:rsidRPr="00321DEC">
        <w:rPr>
          <w:rFonts w:ascii="Times New Roman" w:hAnsi="Times New Roman" w:cs="Times New Roman"/>
        </w:rPr>
        <w:tab/>
      </w:r>
      <w:r w:rsidR="00A2327D" w:rsidRPr="00321DEC">
        <w:rPr>
          <w:rFonts w:ascii="Times New Roman" w:hAnsi="Times New Roman" w:cs="Times New Roman"/>
        </w:rPr>
        <w:t xml:space="preserve">In this internship report, </w:t>
      </w:r>
      <w:r w:rsidR="004A674B" w:rsidRPr="00321DEC">
        <w:rPr>
          <w:rFonts w:ascii="Times New Roman" w:hAnsi="Times New Roman" w:cs="Times New Roman"/>
        </w:rPr>
        <w:t>I</w:t>
      </w:r>
      <w:r w:rsidR="00A2327D" w:rsidRPr="00321DEC">
        <w:rPr>
          <w:rFonts w:ascii="Times New Roman" w:hAnsi="Times New Roman" w:cs="Times New Roman"/>
        </w:rPr>
        <w:t xml:space="preserve"> explore the financial trends and growth patterns of National Life Insurance Company Ltd., one of the prominent players in the insurance sector. This analysis aims to provide a comprehensive view of the company’s financial trajectory over recent years, focusing on key metrics such as revenue growth, profitability, market share expansion, and operational efficiency.</w:t>
      </w:r>
    </w:p>
    <w:p w14:paraId="74203BCA" w14:textId="77777777" w:rsidR="00693379" w:rsidRPr="00321DEC" w:rsidRDefault="00693379" w:rsidP="00321DEC">
      <w:pPr>
        <w:spacing w:line="360" w:lineRule="auto"/>
        <w:jc w:val="both"/>
        <w:rPr>
          <w:rFonts w:ascii="Times New Roman" w:hAnsi="Times New Roman" w:cs="Times New Roman"/>
        </w:rPr>
      </w:pPr>
      <w:r w:rsidRPr="00321DEC">
        <w:rPr>
          <w:rFonts w:ascii="Times New Roman" w:hAnsi="Times New Roman" w:cs="Times New Roman"/>
        </w:rPr>
        <w:tab/>
      </w:r>
      <w:r w:rsidR="00A2327D" w:rsidRPr="00321DEC">
        <w:rPr>
          <w:rFonts w:ascii="Times New Roman" w:hAnsi="Times New Roman" w:cs="Times New Roman"/>
        </w:rPr>
        <w:t>As the insurance industry faces dynamic challenges and opportunities, driven by evolving regulatory landscapes, technological advancements, and changing consumer behaviors, it becomes imperative to examine how well-established companies like National Life Insurance Company Ltd. Adapt and thrive. This report will delve into various financial and strategic analyses to understand the company’s performance and strategic positioning in the competitive market landscape.</w:t>
      </w:r>
    </w:p>
    <w:p w14:paraId="468CB12A" w14:textId="3B568243" w:rsidR="0094588E" w:rsidRPr="00321DEC" w:rsidRDefault="00C9671C" w:rsidP="00321DEC">
      <w:pPr>
        <w:spacing w:line="360" w:lineRule="auto"/>
        <w:jc w:val="both"/>
        <w:rPr>
          <w:rFonts w:ascii="Times New Roman" w:hAnsi="Times New Roman" w:cs="Times New Roman"/>
        </w:rPr>
      </w:pPr>
      <w:r w:rsidRPr="00321DEC">
        <w:rPr>
          <w:rFonts w:ascii="Times New Roman" w:hAnsi="Times New Roman" w:cs="Times New Roman"/>
        </w:rPr>
        <w:tab/>
        <w:t xml:space="preserve">This report presents a comprehensive analysis of the financial trends and growth strategies of National Life Insurance Company Ltd. Over an eight-year period, from 2015 to 2022. As a leading player in the life insurance sector, understanding the financial dynamics and strategic positioning of such companies is crucial for stakeholders, including investors, policymakers, and industry </w:t>
      </w:r>
      <w:r w:rsidR="00A663B6" w:rsidRPr="00321DEC">
        <w:rPr>
          <w:rFonts w:ascii="Times New Roman" w:hAnsi="Times New Roman" w:cs="Times New Roman"/>
        </w:rPr>
        <w:t>analysts. National</w:t>
      </w:r>
      <w:r w:rsidRPr="00321DEC">
        <w:rPr>
          <w:rFonts w:ascii="Times New Roman" w:hAnsi="Times New Roman" w:cs="Times New Roman"/>
        </w:rPr>
        <w:t xml:space="preserve"> Life Insurance Company Ltd. </w:t>
      </w:r>
    </w:p>
    <w:p w14:paraId="44537E73" w14:textId="78277F9F" w:rsidR="00062D9F" w:rsidRPr="003A79E7" w:rsidRDefault="00693379" w:rsidP="00FE3E9A">
      <w:pPr>
        <w:spacing w:line="360" w:lineRule="auto"/>
        <w:jc w:val="both"/>
        <w:rPr>
          <w:rFonts w:ascii="Times New Roman" w:hAnsi="Times New Roman" w:cs="Times New Roman"/>
        </w:rPr>
      </w:pPr>
      <w:r w:rsidRPr="00321DEC">
        <w:rPr>
          <w:rFonts w:ascii="Times New Roman" w:hAnsi="Times New Roman" w:cs="Times New Roman"/>
        </w:rPr>
        <w:tab/>
      </w:r>
      <w:bookmarkStart w:id="5" w:name="_Toc188056512"/>
      <w:r w:rsidR="00FE3E9A" w:rsidRPr="003A79E7">
        <w:rPr>
          <w:rStyle w:val="Heading1Char"/>
        </w:rPr>
        <w:t>1.</w:t>
      </w:r>
      <w:r w:rsidR="00FE3E9A" w:rsidRPr="00E150C5">
        <w:rPr>
          <w:rStyle w:val="Heading1Char"/>
        </w:rPr>
        <w:t xml:space="preserve">1 </w:t>
      </w:r>
      <w:r w:rsidR="00062D9F" w:rsidRPr="00E150C5">
        <w:rPr>
          <w:rStyle w:val="Heading1Char"/>
        </w:rPr>
        <w:t>Rationale of the</w:t>
      </w:r>
      <w:r w:rsidR="00062D9F" w:rsidRPr="003A79E7">
        <w:rPr>
          <w:rStyle w:val="Heading1Char"/>
        </w:rPr>
        <w:t xml:space="preserve"> Study</w:t>
      </w:r>
      <w:bookmarkEnd w:id="5"/>
      <w:r w:rsidR="00062D9F" w:rsidRPr="003A79E7">
        <w:rPr>
          <w:rFonts w:ascii="Times New Roman" w:hAnsi="Times New Roman" w:cs="Times New Roman"/>
        </w:rPr>
        <w:t xml:space="preserve"> </w:t>
      </w:r>
    </w:p>
    <w:p w14:paraId="43C8F27E" w14:textId="77777777" w:rsidR="00FE3E9A" w:rsidRDefault="00062D9F" w:rsidP="00FE3E9A">
      <w:pPr>
        <w:spacing w:line="360" w:lineRule="auto"/>
        <w:jc w:val="both"/>
        <w:rPr>
          <w:rFonts w:ascii="Times New Roman" w:hAnsi="Times New Roman" w:cs="Times New Roman"/>
        </w:rPr>
      </w:pPr>
      <w:r w:rsidRPr="00321DEC">
        <w:rPr>
          <w:rFonts w:ascii="Times New Roman" w:hAnsi="Times New Roman" w:cs="Times New Roman"/>
        </w:rPr>
        <w:tab/>
      </w:r>
      <w:r w:rsidR="00EF0178" w:rsidRPr="00321DEC">
        <w:rPr>
          <w:rFonts w:ascii="Times New Roman" w:hAnsi="Times New Roman" w:cs="Times New Roman"/>
        </w:rPr>
        <w:t>The rationale for undertaking this study stems from the significant role that National Life Insurance Company Ltd. Plays in the insurance sector and its substantial impact on various stakeholders ranging from policyholders to investors</w:t>
      </w:r>
    </w:p>
    <w:p w14:paraId="362EC04E" w14:textId="6FD80699" w:rsidR="00EF0178" w:rsidRPr="00FE3E9A" w:rsidRDefault="002632DD" w:rsidP="00FE3E9A">
      <w:pPr>
        <w:pStyle w:val="ListParagraph"/>
        <w:numPr>
          <w:ilvl w:val="0"/>
          <w:numId w:val="2"/>
        </w:numPr>
        <w:spacing w:line="360" w:lineRule="auto"/>
        <w:jc w:val="both"/>
        <w:rPr>
          <w:rFonts w:ascii="Times New Roman" w:hAnsi="Times New Roman" w:cs="Times New Roman"/>
        </w:rPr>
      </w:pPr>
      <w:r w:rsidRPr="00FE3E9A">
        <w:rPr>
          <w:rFonts w:ascii="Times New Roman" w:hAnsi="Times New Roman" w:cs="Times New Roman"/>
          <w:b/>
          <w:bCs/>
        </w:rPr>
        <w:t>U</w:t>
      </w:r>
      <w:r w:rsidR="00082C02" w:rsidRPr="00FE3E9A">
        <w:rPr>
          <w:rFonts w:ascii="Times New Roman" w:hAnsi="Times New Roman" w:cs="Times New Roman"/>
          <w:b/>
          <w:bCs/>
        </w:rPr>
        <w:t>nderstanding</w:t>
      </w:r>
      <w:r w:rsidR="00EF0178" w:rsidRPr="00FE3E9A">
        <w:rPr>
          <w:rFonts w:ascii="Times New Roman" w:hAnsi="Times New Roman" w:cs="Times New Roman"/>
          <w:b/>
          <w:bCs/>
        </w:rPr>
        <w:t xml:space="preserve"> Economic Impact:</w:t>
      </w:r>
      <w:r w:rsidR="00082C02" w:rsidRPr="00FE3E9A">
        <w:rPr>
          <w:rFonts w:ascii="Times New Roman" w:hAnsi="Times New Roman" w:cs="Times New Roman"/>
        </w:rPr>
        <w:t xml:space="preserve"> A</w:t>
      </w:r>
      <w:r w:rsidR="00EF0178" w:rsidRPr="00FE3E9A">
        <w:rPr>
          <w:rFonts w:ascii="Times New Roman" w:hAnsi="Times New Roman" w:cs="Times New Roman"/>
        </w:rPr>
        <w:t xml:space="preserve">nalyzing the financial trends of National Life Insurance Company Ltd. Helps in understanding how the company contributes to and navigates the economic conditions it operates within. </w:t>
      </w:r>
    </w:p>
    <w:p w14:paraId="41130E3F" w14:textId="5192D7E9" w:rsidR="00717E2A" w:rsidRPr="00E150C5" w:rsidRDefault="002632DD" w:rsidP="00717E2A">
      <w:pPr>
        <w:pStyle w:val="ListParagraph"/>
        <w:numPr>
          <w:ilvl w:val="0"/>
          <w:numId w:val="2"/>
        </w:numPr>
        <w:spacing w:line="360" w:lineRule="auto"/>
        <w:jc w:val="both"/>
        <w:rPr>
          <w:rFonts w:ascii="Times New Roman" w:hAnsi="Times New Roman" w:cs="Times New Roman"/>
        </w:rPr>
      </w:pPr>
      <w:r w:rsidRPr="00321DEC">
        <w:rPr>
          <w:rFonts w:ascii="Times New Roman" w:hAnsi="Times New Roman" w:cs="Times New Roman"/>
          <w:b/>
          <w:bCs/>
        </w:rPr>
        <w:t>A</w:t>
      </w:r>
      <w:r w:rsidR="00EF0178" w:rsidRPr="00321DEC">
        <w:rPr>
          <w:rFonts w:ascii="Times New Roman" w:hAnsi="Times New Roman" w:cs="Times New Roman"/>
          <w:b/>
          <w:bCs/>
        </w:rPr>
        <w:t>ssessing Financial Health:</w:t>
      </w:r>
      <w:r w:rsidRPr="00321DEC">
        <w:rPr>
          <w:rFonts w:ascii="Times New Roman" w:hAnsi="Times New Roman" w:cs="Times New Roman"/>
          <w:b/>
          <w:bCs/>
        </w:rPr>
        <w:t xml:space="preserve"> </w:t>
      </w:r>
      <w:r w:rsidR="00EF0178" w:rsidRPr="00321DEC">
        <w:rPr>
          <w:rFonts w:ascii="Times New Roman" w:hAnsi="Times New Roman" w:cs="Times New Roman"/>
        </w:rPr>
        <w:t>By examining key financial metrics such as profitability, liquidity, and solvency ratios, this study aims to provide a clear picture of the company’s financial stability and operational efficiency.</w:t>
      </w:r>
    </w:p>
    <w:p w14:paraId="1FD8BCD1" w14:textId="2D4A792A" w:rsidR="00DF33BA" w:rsidRPr="00006981" w:rsidRDefault="00717E2A" w:rsidP="00006981">
      <w:pPr>
        <w:pStyle w:val="Heading2"/>
      </w:pPr>
      <w:bookmarkStart w:id="6" w:name="_Toc188056513"/>
      <w:r w:rsidRPr="00E150C5">
        <w:rPr>
          <w:bCs/>
        </w:rPr>
        <w:t>1.</w:t>
      </w:r>
      <w:r w:rsidRPr="00006981">
        <w:t>2 O</w:t>
      </w:r>
      <w:r w:rsidR="00DF33BA" w:rsidRPr="00006981">
        <w:t>bjectives of the Study:</w:t>
      </w:r>
      <w:bookmarkEnd w:id="6"/>
      <w:r w:rsidR="00B10CD4" w:rsidRPr="00006981">
        <w:t xml:space="preserve"> </w:t>
      </w:r>
    </w:p>
    <w:p w14:paraId="58D07178" w14:textId="03F2E20D" w:rsidR="004B61DF" w:rsidRPr="00321DEC" w:rsidRDefault="00DF33BA" w:rsidP="00321DEC">
      <w:pPr>
        <w:spacing w:line="360" w:lineRule="auto"/>
        <w:jc w:val="both"/>
        <w:rPr>
          <w:rFonts w:ascii="Times New Roman" w:hAnsi="Times New Roman" w:cs="Times New Roman"/>
        </w:rPr>
      </w:pPr>
      <w:r w:rsidRPr="00321DEC">
        <w:rPr>
          <w:rFonts w:ascii="Times New Roman" w:hAnsi="Times New Roman" w:cs="Times New Roman"/>
        </w:rPr>
        <w:t>Th</w:t>
      </w:r>
      <w:r w:rsidR="004B61DF" w:rsidRPr="00321DEC">
        <w:rPr>
          <w:rFonts w:ascii="Times New Roman" w:hAnsi="Times New Roman" w:cs="Times New Roman"/>
        </w:rPr>
        <w:t>e primary objectives of this study are structured to provide a detailed understanding of the financial health, strategic direction, and competitive landscape of National Life Insurance Company Ltd.:</w:t>
      </w:r>
    </w:p>
    <w:p w14:paraId="4F9DF6BD" w14:textId="18DD8CD2" w:rsidR="00F63189" w:rsidRPr="00321DEC" w:rsidRDefault="004B61DF" w:rsidP="00786588">
      <w:pPr>
        <w:pStyle w:val="ListParagraph"/>
        <w:numPr>
          <w:ilvl w:val="0"/>
          <w:numId w:val="3"/>
        </w:numPr>
        <w:spacing w:line="360" w:lineRule="auto"/>
        <w:jc w:val="both"/>
        <w:rPr>
          <w:rFonts w:ascii="Times New Roman" w:hAnsi="Times New Roman" w:cs="Times New Roman"/>
        </w:rPr>
      </w:pPr>
      <w:r w:rsidRPr="00321DEC">
        <w:rPr>
          <w:rFonts w:ascii="Times New Roman" w:hAnsi="Times New Roman" w:cs="Times New Roman"/>
          <w:b/>
          <w:bCs/>
        </w:rPr>
        <w:lastRenderedPageBreak/>
        <w:t>To Analyze Financial Performance:</w:t>
      </w:r>
      <w:r w:rsidR="0094382B" w:rsidRPr="00321DEC">
        <w:rPr>
          <w:rFonts w:ascii="Times New Roman" w:hAnsi="Times New Roman" w:cs="Times New Roman"/>
        </w:rPr>
        <w:t xml:space="preserve"> </w:t>
      </w:r>
      <w:r w:rsidRPr="00321DEC">
        <w:rPr>
          <w:rFonts w:ascii="Times New Roman" w:hAnsi="Times New Roman" w:cs="Times New Roman"/>
        </w:rPr>
        <w:t>Assess the revenue growth and profitability of National Life Insurance Company Ltd. Over the past five years.</w:t>
      </w:r>
      <w:r w:rsidR="0094382B" w:rsidRPr="00321DEC">
        <w:rPr>
          <w:rFonts w:ascii="Times New Roman" w:hAnsi="Times New Roman" w:cs="Times New Roman"/>
        </w:rPr>
        <w:t xml:space="preserve"> </w:t>
      </w:r>
      <w:r w:rsidR="00F63189" w:rsidRPr="00321DEC">
        <w:rPr>
          <w:rFonts w:ascii="Times New Roman" w:hAnsi="Times New Roman" w:cs="Times New Roman"/>
        </w:rPr>
        <w:t>E</w:t>
      </w:r>
      <w:r w:rsidRPr="00321DEC">
        <w:rPr>
          <w:rFonts w:ascii="Times New Roman" w:hAnsi="Times New Roman" w:cs="Times New Roman"/>
        </w:rPr>
        <w:t>valuate the efficiency of expense management and its impact on the company’s bottom line.</w:t>
      </w:r>
      <w:r w:rsidR="0094382B" w:rsidRPr="00321DEC">
        <w:rPr>
          <w:rFonts w:ascii="Times New Roman" w:hAnsi="Times New Roman" w:cs="Times New Roman"/>
        </w:rPr>
        <w:t xml:space="preserve"> </w:t>
      </w:r>
    </w:p>
    <w:p w14:paraId="7A0F8AF2" w14:textId="7FAD8128" w:rsidR="004B61DF" w:rsidRPr="00321DEC" w:rsidRDefault="004B61DF" w:rsidP="00786588">
      <w:pPr>
        <w:pStyle w:val="ListParagraph"/>
        <w:numPr>
          <w:ilvl w:val="0"/>
          <w:numId w:val="3"/>
        </w:numPr>
        <w:spacing w:line="360" w:lineRule="auto"/>
        <w:jc w:val="both"/>
        <w:rPr>
          <w:rFonts w:ascii="Times New Roman" w:hAnsi="Times New Roman" w:cs="Times New Roman"/>
        </w:rPr>
      </w:pPr>
      <w:r w:rsidRPr="00321DEC">
        <w:rPr>
          <w:rFonts w:ascii="Times New Roman" w:hAnsi="Times New Roman" w:cs="Times New Roman"/>
          <w:b/>
          <w:bCs/>
        </w:rPr>
        <w:t>To Understand Strategic Initiatives</w:t>
      </w:r>
      <w:r w:rsidR="0094382B" w:rsidRPr="00321DEC">
        <w:rPr>
          <w:rFonts w:ascii="Times New Roman" w:hAnsi="Times New Roman" w:cs="Times New Roman"/>
          <w:b/>
          <w:bCs/>
        </w:rPr>
        <w:t>:</w:t>
      </w:r>
      <w:r w:rsidR="0094382B" w:rsidRPr="00321DEC">
        <w:rPr>
          <w:rFonts w:ascii="Times New Roman" w:hAnsi="Times New Roman" w:cs="Times New Roman"/>
        </w:rPr>
        <w:t xml:space="preserve"> </w:t>
      </w:r>
      <w:r w:rsidR="00F63189" w:rsidRPr="00321DEC">
        <w:rPr>
          <w:rFonts w:ascii="Times New Roman" w:hAnsi="Times New Roman" w:cs="Times New Roman"/>
        </w:rPr>
        <w:t>E</w:t>
      </w:r>
      <w:r w:rsidRPr="00321DEC">
        <w:rPr>
          <w:rFonts w:ascii="Times New Roman" w:hAnsi="Times New Roman" w:cs="Times New Roman"/>
        </w:rPr>
        <w:t xml:space="preserve">xamine the effectiveness of the company’s product diversification and market expansion </w:t>
      </w:r>
      <w:r w:rsidR="0094382B" w:rsidRPr="00321DEC">
        <w:rPr>
          <w:rFonts w:ascii="Times New Roman" w:hAnsi="Times New Roman" w:cs="Times New Roman"/>
        </w:rPr>
        <w:t>strategies. Review</w:t>
      </w:r>
      <w:r w:rsidRPr="00321DEC">
        <w:rPr>
          <w:rFonts w:ascii="Times New Roman" w:hAnsi="Times New Roman" w:cs="Times New Roman"/>
        </w:rPr>
        <w:t xml:space="preserve"> technological advancements implemented by the company and their impact on operational efficiency and customer service.</w:t>
      </w:r>
      <w:r w:rsidR="0094382B" w:rsidRPr="00321DEC">
        <w:rPr>
          <w:rFonts w:ascii="Times New Roman" w:hAnsi="Times New Roman" w:cs="Times New Roman"/>
        </w:rPr>
        <w:t xml:space="preserve"> </w:t>
      </w:r>
    </w:p>
    <w:p w14:paraId="6231CBD7" w14:textId="1F0916E5" w:rsidR="00767B21" w:rsidRPr="00717E2A" w:rsidRDefault="00717E2A" w:rsidP="00006981">
      <w:pPr>
        <w:pStyle w:val="Heading2"/>
      </w:pPr>
      <w:bookmarkStart w:id="7" w:name="_Toc188056514"/>
      <w:r>
        <w:t xml:space="preserve">1.3 </w:t>
      </w:r>
      <w:r w:rsidR="00BF1891" w:rsidRPr="00717E2A">
        <w:t>Limitations of the</w:t>
      </w:r>
      <w:r w:rsidR="00D13779" w:rsidRPr="00717E2A">
        <w:t xml:space="preserve"> Study:</w:t>
      </w:r>
      <w:bookmarkEnd w:id="7"/>
    </w:p>
    <w:p w14:paraId="4FC43156" w14:textId="77777777" w:rsidR="003142D9" w:rsidRPr="00321DEC" w:rsidRDefault="003142D9" w:rsidP="00321DEC">
      <w:pPr>
        <w:spacing w:line="360" w:lineRule="auto"/>
        <w:jc w:val="both"/>
        <w:rPr>
          <w:rFonts w:ascii="Times New Roman" w:hAnsi="Times New Roman" w:cs="Times New Roman"/>
        </w:rPr>
      </w:pPr>
      <w:r w:rsidRPr="00321DEC">
        <w:rPr>
          <w:rFonts w:ascii="Times New Roman" w:hAnsi="Times New Roman" w:cs="Times New Roman"/>
        </w:rPr>
        <w:t>The scope and accuracy of this study are subject to several limitations that stem from practical constraints and the nature of the data available. These limitations are important to acknowledge as they impact the conclusions and the overall comprehensiveness of the analysis:</w:t>
      </w:r>
    </w:p>
    <w:p w14:paraId="0DE1EE9E" w14:textId="350552AA" w:rsidR="00EE26E6" w:rsidRPr="00321DEC" w:rsidRDefault="00D13779" w:rsidP="00786588">
      <w:pPr>
        <w:pStyle w:val="ListParagraph"/>
        <w:numPr>
          <w:ilvl w:val="0"/>
          <w:numId w:val="18"/>
        </w:numPr>
        <w:spacing w:line="360" w:lineRule="auto"/>
        <w:jc w:val="both"/>
        <w:rPr>
          <w:rFonts w:ascii="Times New Roman" w:hAnsi="Times New Roman" w:cs="Times New Roman"/>
        </w:rPr>
      </w:pPr>
      <w:r w:rsidRPr="00321DEC">
        <w:rPr>
          <w:rFonts w:ascii="Times New Roman" w:hAnsi="Times New Roman" w:cs="Times New Roman"/>
          <w:b/>
          <w:bCs/>
        </w:rPr>
        <w:t>T</w:t>
      </w:r>
      <w:r w:rsidR="003142D9" w:rsidRPr="00321DEC">
        <w:rPr>
          <w:rFonts w:ascii="Times New Roman" w:hAnsi="Times New Roman" w:cs="Times New Roman"/>
          <w:b/>
          <w:bCs/>
        </w:rPr>
        <w:t>ime Limitation:</w:t>
      </w:r>
      <w:r w:rsidR="003142D9" w:rsidRPr="00321DEC">
        <w:rPr>
          <w:rFonts w:ascii="Times New Roman" w:hAnsi="Times New Roman" w:cs="Times New Roman"/>
        </w:rPr>
        <w:t xml:space="preserve"> The duration of the internship was only three months, which significantly limited the depth of analysis that could be conducted. </w:t>
      </w:r>
    </w:p>
    <w:p w14:paraId="6C419A75" w14:textId="7DBDE1C7" w:rsidR="00DA7F1E" w:rsidRPr="00321DEC" w:rsidRDefault="00050B50" w:rsidP="00786588">
      <w:pPr>
        <w:pStyle w:val="ListParagraph"/>
        <w:numPr>
          <w:ilvl w:val="0"/>
          <w:numId w:val="18"/>
        </w:numPr>
        <w:spacing w:line="360" w:lineRule="auto"/>
        <w:jc w:val="both"/>
        <w:rPr>
          <w:rFonts w:ascii="Times New Roman" w:hAnsi="Times New Roman" w:cs="Times New Roman"/>
        </w:rPr>
      </w:pPr>
      <w:r w:rsidRPr="00321DEC">
        <w:rPr>
          <w:rFonts w:ascii="Times New Roman" w:hAnsi="Times New Roman" w:cs="Times New Roman"/>
          <w:b/>
          <w:bCs/>
        </w:rPr>
        <w:t>External Economic Factors:</w:t>
      </w:r>
      <w:r w:rsidRPr="00321DEC">
        <w:rPr>
          <w:rFonts w:ascii="Times New Roman" w:hAnsi="Times New Roman" w:cs="Times New Roman"/>
        </w:rPr>
        <w:t xml:space="preserve"> The study’s timeframe includes periods of significant economic fluctuations, such as those induced by the COVID-19 pandemic. </w:t>
      </w:r>
    </w:p>
    <w:p w14:paraId="269EA06B" w14:textId="0A66A9C0" w:rsidR="006D4541" w:rsidRPr="00CC484A" w:rsidRDefault="003E762B" w:rsidP="00321DEC">
      <w:pPr>
        <w:pStyle w:val="ListParagraph"/>
        <w:numPr>
          <w:ilvl w:val="0"/>
          <w:numId w:val="18"/>
        </w:numPr>
        <w:spacing w:line="360" w:lineRule="auto"/>
        <w:jc w:val="both"/>
        <w:rPr>
          <w:rFonts w:ascii="Times New Roman" w:hAnsi="Times New Roman" w:cs="Times New Roman"/>
        </w:rPr>
      </w:pPr>
      <w:r w:rsidRPr="00321DEC">
        <w:rPr>
          <w:rFonts w:ascii="Times New Roman" w:hAnsi="Times New Roman" w:cs="Times New Roman"/>
          <w:b/>
          <w:bCs/>
        </w:rPr>
        <w:t xml:space="preserve">Time Constraints: </w:t>
      </w:r>
      <w:r w:rsidRPr="00321DEC">
        <w:rPr>
          <w:rFonts w:ascii="Times New Roman" w:hAnsi="Times New Roman" w:cs="Times New Roman"/>
        </w:rPr>
        <w:t xml:space="preserve">The study covers data from 2015 to 2022, which, while providing a substantial historical view, does not encompass potential future trends or the impact of very recent developments beyond the study period. </w:t>
      </w:r>
    </w:p>
    <w:p w14:paraId="2CB0B2CD" w14:textId="77777777" w:rsidR="00CC484A" w:rsidRDefault="00CC484A" w:rsidP="00CC484A">
      <w:pPr>
        <w:spacing w:line="360" w:lineRule="auto"/>
        <w:jc w:val="center"/>
        <w:rPr>
          <w:rFonts w:ascii="Times New Roman" w:hAnsi="Times New Roman" w:cs="Times New Roman"/>
          <w:b/>
          <w:bCs/>
        </w:rPr>
      </w:pPr>
    </w:p>
    <w:p w14:paraId="34B98D2D" w14:textId="77777777" w:rsidR="00820403" w:rsidRDefault="00820403" w:rsidP="00CC484A">
      <w:pPr>
        <w:spacing w:line="360" w:lineRule="auto"/>
        <w:jc w:val="center"/>
        <w:rPr>
          <w:rFonts w:ascii="Times New Roman" w:hAnsi="Times New Roman" w:cs="Times New Roman"/>
          <w:b/>
          <w:bCs/>
        </w:rPr>
      </w:pPr>
    </w:p>
    <w:p w14:paraId="70AD5A0C" w14:textId="77777777" w:rsidR="00820403" w:rsidRDefault="00820403" w:rsidP="00CC484A">
      <w:pPr>
        <w:spacing w:line="360" w:lineRule="auto"/>
        <w:jc w:val="center"/>
        <w:rPr>
          <w:rFonts w:ascii="Times New Roman" w:hAnsi="Times New Roman" w:cs="Times New Roman"/>
          <w:b/>
          <w:bCs/>
        </w:rPr>
      </w:pPr>
    </w:p>
    <w:p w14:paraId="3AC87287" w14:textId="77777777" w:rsidR="00820403" w:rsidRDefault="00820403" w:rsidP="00CC484A">
      <w:pPr>
        <w:spacing w:line="360" w:lineRule="auto"/>
        <w:jc w:val="center"/>
        <w:rPr>
          <w:rFonts w:ascii="Times New Roman" w:hAnsi="Times New Roman" w:cs="Times New Roman"/>
          <w:b/>
          <w:bCs/>
        </w:rPr>
      </w:pPr>
    </w:p>
    <w:p w14:paraId="69A2F4CF" w14:textId="77777777" w:rsidR="006866F9" w:rsidRDefault="006866F9" w:rsidP="00E150C5">
      <w:pPr>
        <w:spacing w:line="360" w:lineRule="auto"/>
        <w:jc w:val="center"/>
        <w:rPr>
          <w:rStyle w:val="Heading1Char"/>
        </w:rPr>
      </w:pPr>
    </w:p>
    <w:p w14:paraId="4B8C4182" w14:textId="77777777" w:rsidR="006866F9" w:rsidRDefault="006866F9" w:rsidP="00E150C5">
      <w:pPr>
        <w:spacing w:line="360" w:lineRule="auto"/>
        <w:jc w:val="center"/>
        <w:rPr>
          <w:rStyle w:val="Heading1Char"/>
        </w:rPr>
      </w:pPr>
    </w:p>
    <w:p w14:paraId="76E83A07" w14:textId="77777777" w:rsidR="006A15FB" w:rsidRDefault="006A15FB" w:rsidP="006A15FB">
      <w:pPr>
        <w:spacing w:line="360" w:lineRule="auto"/>
        <w:jc w:val="center"/>
        <w:rPr>
          <w:rStyle w:val="Heading1Char"/>
        </w:rPr>
      </w:pPr>
    </w:p>
    <w:p w14:paraId="19787F9E" w14:textId="77777777" w:rsidR="006A15FB" w:rsidRDefault="006A15FB" w:rsidP="006A15FB">
      <w:pPr>
        <w:spacing w:line="360" w:lineRule="auto"/>
        <w:jc w:val="center"/>
        <w:rPr>
          <w:rStyle w:val="Heading1Char"/>
        </w:rPr>
      </w:pPr>
    </w:p>
    <w:p w14:paraId="15EF83EF" w14:textId="77777777" w:rsidR="006A15FB" w:rsidRDefault="006A15FB" w:rsidP="006A15FB">
      <w:pPr>
        <w:spacing w:line="360" w:lineRule="auto"/>
        <w:jc w:val="center"/>
        <w:rPr>
          <w:rStyle w:val="Heading1Char"/>
        </w:rPr>
      </w:pPr>
    </w:p>
    <w:p w14:paraId="7CA461A5" w14:textId="77777777" w:rsidR="006A15FB" w:rsidRDefault="006A15FB" w:rsidP="006A15FB">
      <w:pPr>
        <w:spacing w:line="360" w:lineRule="auto"/>
        <w:jc w:val="center"/>
        <w:rPr>
          <w:rStyle w:val="Heading1Char"/>
        </w:rPr>
      </w:pPr>
    </w:p>
    <w:p w14:paraId="1BB531A5" w14:textId="20A5330E" w:rsidR="00777392" w:rsidRPr="00321DEC" w:rsidRDefault="00777392" w:rsidP="006A15FB">
      <w:pPr>
        <w:spacing w:line="360" w:lineRule="auto"/>
        <w:jc w:val="center"/>
        <w:rPr>
          <w:rFonts w:ascii="Times New Roman" w:hAnsi="Times New Roman" w:cs="Times New Roman"/>
          <w:b/>
          <w:bCs/>
        </w:rPr>
      </w:pPr>
      <w:bookmarkStart w:id="8" w:name="_Toc188056515"/>
      <w:r w:rsidRPr="006866F9">
        <w:rPr>
          <w:rStyle w:val="Heading1Char"/>
        </w:rPr>
        <w:lastRenderedPageBreak/>
        <w:t>Chapter 02: Meth</w:t>
      </w:r>
      <w:r w:rsidRPr="006A15FB">
        <w:rPr>
          <w:rStyle w:val="Heading1Char"/>
        </w:rPr>
        <w:t>odol</w:t>
      </w:r>
      <w:r w:rsidRPr="006866F9">
        <w:rPr>
          <w:rStyle w:val="Heading1Char"/>
        </w:rPr>
        <w:t>ogy</w:t>
      </w:r>
      <w:bookmarkEnd w:id="8"/>
      <w:r w:rsidRPr="00321DEC">
        <w:rPr>
          <w:rFonts w:ascii="Times New Roman" w:hAnsi="Times New Roman" w:cs="Times New Roman"/>
          <w:b/>
          <w:bCs/>
        </w:rPr>
        <w:t xml:space="preserve"> of the Study</w:t>
      </w:r>
    </w:p>
    <w:p w14:paraId="2277A680" w14:textId="23C6C501" w:rsidR="00E53C3E" w:rsidRPr="00FD4865" w:rsidRDefault="006866F9" w:rsidP="00006981">
      <w:pPr>
        <w:pStyle w:val="Heading2"/>
        <w:rPr>
          <w:bCs/>
        </w:rPr>
      </w:pPr>
      <w:bookmarkStart w:id="9" w:name="_Toc188056516"/>
      <w:r>
        <w:t xml:space="preserve">2. </w:t>
      </w:r>
      <w:r w:rsidR="00F47987" w:rsidRPr="006866F9">
        <w:t>Overv</w:t>
      </w:r>
      <w:r w:rsidR="00F47987" w:rsidRPr="00FD4865">
        <w:rPr>
          <w:bCs/>
        </w:rPr>
        <w:t>iew</w:t>
      </w:r>
      <w:bookmarkEnd w:id="9"/>
    </w:p>
    <w:p w14:paraId="30A1B41D" w14:textId="77777777" w:rsidR="00FD4865" w:rsidRDefault="003A5BD1" w:rsidP="00CC484A">
      <w:pPr>
        <w:spacing w:line="360" w:lineRule="auto"/>
        <w:jc w:val="both"/>
        <w:rPr>
          <w:rFonts w:ascii="Times New Roman" w:hAnsi="Times New Roman" w:cs="Times New Roman"/>
        </w:rPr>
      </w:pPr>
      <w:r w:rsidRPr="00321DEC">
        <w:rPr>
          <w:rFonts w:ascii="Times New Roman" w:hAnsi="Times New Roman" w:cs="Times New Roman"/>
        </w:rPr>
        <w:tab/>
      </w:r>
      <w:r w:rsidR="00FB005F" w:rsidRPr="00321DEC">
        <w:rPr>
          <w:rFonts w:ascii="Times New Roman" w:hAnsi="Times New Roman" w:cs="Times New Roman"/>
        </w:rPr>
        <w:t xml:space="preserve">This study analyzes the financial trends and growth of National Life Insurance Company Ltd. from 2015 to 2022. The analysis focuses on essential financial metrics including total life fund, gross premiums, claims paid, management expenditures, total assets, paid-up capital, shareholder categories, returns on assets (ROA) and equity (ROE), market value per share, and EPS/dividend rates. </w:t>
      </w:r>
    </w:p>
    <w:p w14:paraId="11ED41C8" w14:textId="035163FD" w:rsidR="0046201E" w:rsidRPr="00FD4865" w:rsidRDefault="00E150C5" w:rsidP="00006981">
      <w:pPr>
        <w:pStyle w:val="Heading2"/>
      </w:pPr>
      <w:bookmarkStart w:id="10" w:name="_Toc188056517"/>
      <w:r>
        <w:t>2.1</w:t>
      </w:r>
      <w:r w:rsidR="00DD5BB5" w:rsidRPr="00FD4865">
        <w:t xml:space="preserve">Data </w:t>
      </w:r>
      <w:r w:rsidR="00E53C3E" w:rsidRPr="00FD4865">
        <w:t>Collection</w:t>
      </w:r>
      <w:bookmarkEnd w:id="10"/>
    </w:p>
    <w:p w14:paraId="51E86D9F" w14:textId="79F0B21C" w:rsidR="00E53C3E" w:rsidRPr="00321DEC" w:rsidRDefault="003A5BD1" w:rsidP="00321DEC">
      <w:pPr>
        <w:spacing w:line="360" w:lineRule="auto"/>
        <w:jc w:val="both"/>
        <w:rPr>
          <w:rFonts w:ascii="Times New Roman" w:hAnsi="Times New Roman" w:cs="Times New Roman"/>
        </w:rPr>
      </w:pPr>
      <w:r w:rsidRPr="00321DEC">
        <w:rPr>
          <w:rFonts w:ascii="Times New Roman" w:hAnsi="Times New Roman" w:cs="Times New Roman"/>
          <w:b/>
          <w:bCs/>
        </w:rPr>
        <w:tab/>
      </w:r>
      <w:r w:rsidR="00E53C3E" w:rsidRPr="00321DEC">
        <w:rPr>
          <w:rFonts w:ascii="Times New Roman" w:hAnsi="Times New Roman" w:cs="Times New Roman"/>
          <w:b/>
          <w:bCs/>
        </w:rPr>
        <w:t>Primary</w:t>
      </w:r>
      <w:r w:rsidR="00DD5BB5" w:rsidRPr="00321DEC">
        <w:rPr>
          <w:rFonts w:ascii="Times New Roman" w:hAnsi="Times New Roman" w:cs="Times New Roman"/>
          <w:b/>
          <w:bCs/>
        </w:rPr>
        <w:t xml:space="preserve"> Data: </w:t>
      </w:r>
      <w:r w:rsidR="00DD5BB5" w:rsidRPr="00321DEC">
        <w:rPr>
          <w:rFonts w:ascii="Times New Roman" w:hAnsi="Times New Roman" w:cs="Times New Roman"/>
        </w:rPr>
        <w:t>During my internship, I had the opportunity to gather firsthand data through discussions with senior employees of NLI</w:t>
      </w:r>
      <w:r w:rsidR="00E53C3E" w:rsidRPr="00321DEC">
        <w:rPr>
          <w:rFonts w:ascii="Times New Roman" w:hAnsi="Times New Roman" w:cs="Times New Roman"/>
        </w:rPr>
        <w:t xml:space="preserve"> </w:t>
      </w:r>
    </w:p>
    <w:p w14:paraId="09858BFF" w14:textId="45F91550" w:rsidR="002A2389" w:rsidRPr="00321DEC" w:rsidRDefault="003A5BD1" w:rsidP="00321DEC">
      <w:pPr>
        <w:spacing w:line="360" w:lineRule="auto"/>
        <w:jc w:val="both"/>
        <w:rPr>
          <w:rFonts w:ascii="Times New Roman" w:hAnsi="Times New Roman" w:cs="Times New Roman"/>
        </w:rPr>
      </w:pPr>
      <w:r w:rsidRPr="00321DEC">
        <w:rPr>
          <w:rFonts w:ascii="Times New Roman" w:hAnsi="Times New Roman" w:cs="Times New Roman"/>
          <w:b/>
          <w:bCs/>
        </w:rPr>
        <w:tab/>
      </w:r>
      <w:r w:rsidR="00E53C3E" w:rsidRPr="00321DEC">
        <w:rPr>
          <w:rFonts w:ascii="Times New Roman" w:hAnsi="Times New Roman" w:cs="Times New Roman"/>
          <w:b/>
          <w:bCs/>
        </w:rPr>
        <w:t>Secondary</w:t>
      </w:r>
      <w:r w:rsidR="00DD5BB5" w:rsidRPr="00321DEC">
        <w:rPr>
          <w:rFonts w:ascii="Times New Roman" w:hAnsi="Times New Roman" w:cs="Times New Roman"/>
          <w:b/>
          <w:bCs/>
        </w:rPr>
        <w:t xml:space="preserve"> Data: </w:t>
      </w:r>
      <w:r w:rsidR="00DD5BB5" w:rsidRPr="00321DEC">
        <w:rPr>
          <w:rFonts w:ascii="Times New Roman" w:hAnsi="Times New Roman" w:cs="Times New Roman"/>
        </w:rPr>
        <w:t>Comprehensive financial data was extracted from the company’s annual reports from 2015 to 2022. This included key financial metrics such as total life fund, gross premiums, claims paid, management expenditure, total assets</w:t>
      </w:r>
      <w:r w:rsidR="00CC484A">
        <w:rPr>
          <w:rFonts w:ascii="Times New Roman" w:hAnsi="Times New Roman" w:cs="Times New Roman"/>
        </w:rPr>
        <w:t>.</w:t>
      </w:r>
      <w:r w:rsidR="00F47987" w:rsidRPr="00321DEC">
        <w:rPr>
          <w:rFonts w:ascii="Times New Roman" w:hAnsi="Times New Roman" w:cs="Times New Roman"/>
        </w:rPr>
        <w:t xml:space="preserve"> </w:t>
      </w:r>
    </w:p>
    <w:p w14:paraId="511B0723" w14:textId="0503FE5A" w:rsidR="0046201E" w:rsidRPr="00321DEC" w:rsidRDefault="00E150C5" w:rsidP="00006981">
      <w:pPr>
        <w:pStyle w:val="Heading2"/>
      </w:pPr>
      <w:bookmarkStart w:id="11" w:name="_Toc188056518"/>
      <w:r>
        <w:t xml:space="preserve">2.2 </w:t>
      </w:r>
      <w:r w:rsidR="003D2680" w:rsidRPr="00321DEC">
        <w:t>R</w:t>
      </w:r>
      <w:r w:rsidR="00C33ADF" w:rsidRPr="00321DEC">
        <w:t xml:space="preserve">eport </w:t>
      </w:r>
      <w:r w:rsidR="000537D7" w:rsidRPr="00321DEC">
        <w:t>Design</w:t>
      </w:r>
      <w:bookmarkEnd w:id="11"/>
    </w:p>
    <w:p w14:paraId="781C2AC3" w14:textId="77777777" w:rsidR="000537D7" w:rsidRPr="00321DEC" w:rsidRDefault="000537D7" w:rsidP="00321DEC">
      <w:pPr>
        <w:spacing w:line="360" w:lineRule="auto"/>
        <w:jc w:val="both"/>
        <w:rPr>
          <w:rFonts w:ascii="Times New Roman" w:hAnsi="Times New Roman" w:cs="Times New Roman"/>
        </w:rPr>
      </w:pPr>
      <w:r w:rsidRPr="00321DEC">
        <w:rPr>
          <w:rFonts w:ascii="Times New Roman" w:hAnsi="Times New Roman" w:cs="Times New Roman"/>
        </w:rPr>
        <w:t>The</w:t>
      </w:r>
      <w:r w:rsidR="00C33ADF" w:rsidRPr="00321DEC">
        <w:rPr>
          <w:rFonts w:ascii="Times New Roman" w:hAnsi="Times New Roman" w:cs="Times New Roman"/>
        </w:rPr>
        <w:t xml:space="preserve"> report is designed to offer a sequential analysis of several critical financial </w:t>
      </w:r>
      <w:r w:rsidRPr="00321DEC">
        <w:rPr>
          <w:rFonts w:ascii="Times New Roman" w:hAnsi="Times New Roman" w:cs="Times New Roman"/>
        </w:rPr>
        <w:t xml:space="preserve">aspects: </w:t>
      </w:r>
    </w:p>
    <w:p w14:paraId="464B67A7" w14:textId="77777777" w:rsidR="000537D7" w:rsidRPr="00321DEC" w:rsidRDefault="000537D7" w:rsidP="00321DEC">
      <w:pPr>
        <w:spacing w:line="360" w:lineRule="auto"/>
        <w:jc w:val="both"/>
        <w:rPr>
          <w:rFonts w:ascii="Times New Roman" w:hAnsi="Times New Roman" w:cs="Times New Roman"/>
        </w:rPr>
      </w:pPr>
      <w:r w:rsidRPr="00321DEC">
        <w:rPr>
          <w:rFonts w:ascii="Times New Roman" w:hAnsi="Times New Roman" w:cs="Times New Roman"/>
          <w:b/>
          <w:bCs/>
        </w:rPr>
        <w:t>Life</w:t>
      </w:r>
      <w:r w:rsidR="00C33ADF" w:rsidRPr="00321DEC">
        <w:rPr>
          <w:rFonts w:ascii="Times New Roman" w:hAnsi="Times New Roman" w:cs="Times New Roman"/>
          <w:b/>
          <w:bCs/>
        </w:rPr>
        <w:t xml:space="preserve"> Fund Analysis:</w:t>
      </w:r>
      <w:r w:rsidR="00C33ADF" w:rsidRPr="00321DEC">
        <w:rPr>
          <w:rFonts w:ascii="Times New Roman" w:hAnsi="Times New Roman" w:cs="Times New Roman"/>
        </w:rPr>
        <w:t xml:space="preserve"> Evaluates the growth of the total life fund from 2015 to 2022 to assess the company's capacity to underwrite </w:t>
      </w:r>
      <w:r w:rsidRPr="00321DEC">
        <w:rPr>
          <w:rFonts w:ascii="Times New Roman" w:hAnsi="Times New Roman" w:cs="Times New Roman"/>
        </w:rPr>
        <w:t xml:space="preserve">policies. </w:t>
      </w:r>
    </w:p>
    <w:p w14:paraId="13013F7D" w14:textId="77777777" w:rsidR="000537D7" w:rsidRPr="00321DEC" w:rsidRDefault="000537D7" w:rsidP="00321DEC">
      <w:pPr>
        <w:spacing w:line="360" w:lineRule="auto"/>
        <w:jc w:val="both"/>
        <w:rPr>
          <w:rFonts w:ascii="Times New Roman" w:hAnsi="Times New Roman" w:cs="Times New Roman"/>
        </w:rPr>
      </w:pPr>
      <w:r w:rsidRPr="00321DEC">
        <w:rPr>
          <w:rFonts w:ascii="Times New Roman" w:hAnsi="Times New Roman" w:cs="Times New Roman"/>
          <w:b/>
          <w:bCs/>
        </w:rPr>
        <w:t>Premiums</w:t>
      </w:r>
      <w:r w:rsidR="00C33ADF" w:rsidRPr="00321DEC">
        <w:rPr>
          <w:rFonts w:ascii="Times New Roman" w:hAnsi="Times New Roman" w:cs="Times New Roman"/>
          <w:b/>
          <w:bCs/>
        </w:rPr>
        <w:t xml:space="preserve"> and Claims:</w:t>
      </w:r>
      <w:r w:rsidR="00C33ADF" w:rsidRPr="00321DEC">
        <w:rPr>
          <w:rFonts w:ascii="Times New Roman" w:hAnsi="Times New Roman" w:cs="Times New Roman"/>
        </w:rPr>
        <w:t xml:space="preserve"> Analyzes trends in gross premiums and claims paid, providing insight into the company's underwriting effectiveness and claim settlement </w:t>
      </w:r>
      <w:r w:rsidRPr="00321DEC">
        <w:rPr>
          <w:rFonts w:ascii="Times New Roman" w:hAnsi="Times New Roman" w:cs="Times New Roman"/>
        </w:rPr>
        <w:t xml:space="preserve">practices. </w:t>
      </w:r>
    </w:p>
    <w:p w14:paraId="62615157" w14:textId="341E8C58" w:rsidR="0046201E" w:rsidRPr="00FD4865" w:rsidRDefault="00006981" w:rsidP="00006981">
      <w:pPr>
        <w:pStyle w:val="Heading1"/>
        <w:jc w:val="left"/>
      </w:pPr>
      <w:bookmarkStart w:id="12" w:name="_Toc188056519"/>
      <w:r w:rsidRPr="00006981">
        <w:rPr>
          <w:rStyle w:val="Heading2Char"/>
          <w:b/>
          <w:bCs w:val="0"/>
        </w:rPr>
        <w:t xml:space="preserve">2.3 </w:t>
      </w:r>
      <w:r w:rsidR="0046201E" w:rsidRPr="00006981">
        <w:rPr>
          <w:rStyle w:val="Heading2Char"/>
          <w:b/>
          <w:bCs w:val="0"/>
        </w:rPr>
        <w:t>Quantitative Analysis Techniques</w:t>
      </w:r>
      <w:r w:rsidR="0046201E" w:rsidRPr="00FD4865">
        <w:t>:</w:t>
      </w:r>
      <w:bookmarkEnd w:id="12"/>
      <w:r w:rsidR="0046201E" w:rsidRPr="00FD4865">
        <w:t xml:space="preserve"> </w:t>
      </w:r>
    </w:p>
    <w:p w14:paraId="224065BB" w14:textId="78B49205" w:rsidR="00633F70" w:rsidRPr="00321DEC" w:rsidRDefault="0046201E" w:rsidP="00321DEC">
      <w:pPr>
        <w:spacing w:line="360" w:lineRule="auto"/>
        <w:jc w:val="both"/>
        <w:rPr>
          <w:rFonts w:ascii="Times New Roman" w:hAnsi="Times New Roman" w:cs="Times New Roman"/>
        </w:rPr>
      </w:pPr>
      <w:r w:rsidRPr="00321DEC">
        <w:rPr>
          <w:rFonts w:ascii="Times New Roman" w:hAnsi="Times New Roman" w:cs="Times New Roman"/>
          <w:b/>
          <w:bCs/>
        </w:rPr>
        <w:t xml:space="preserve">Growth Rate </w:t>
      </w:r>
      <w:r w:rsidR="002A2389" w:rsidRPr="00321DEC">
        <w:rPr>
          <w:rFonts w:ascii="Times New Roman" w:hAnsi="Times New Roman" w:cs="Times New Roman"/>
          <w:b/>
          <w:bCs/>
        </w:rPr>
        <w:t>Calculation:</w:t>
      </w:r>
      <w:r w:rsidR="002A2389" w:rsidRPr="00321DEC">
        <w:rPr>
          <w:rFonts w:ascii="Times New Roman" w:hAnsi="Times New Roman" w:cs="Times New Roman"/>
        </w:rPr>
        <w:t xml:space="preserve"> {</w:t>
      </w:r>
      <w:r w:rsidRPr="00321DEC">
        <w:rPr>
          <w:rFonts w:ascii="Times New Roman" w:hAnsi="Times New Roman" w:cs="Times New Roman"/>
        </w:rPr>
        <w:t>Growth Rate} =</w:t>
      </w:r>
      <w:r w:rsidR="00EF67E5" w:rsidRPr="00321DEC">
        <w:rPr>
          <w:rFonts w:ascii="Times New Roman" w:hAnsi="Times New Roman" w:cs="Times New Roman"/>
        </w:rPr>
        <w:t xml:space="preserve"> </w:t>
      </w:r>
      <w:r w:rsidR="00905C75" w:rsidRPr="00321DEC">
        <w:rPr>
          <w:rFonts w:ascii="Times New Roman" w:hAnsi="Times New Roman" w:cs="Times New Roman"/>
        </w:rPr>
        <w:t>{</w:t>
      </w:r>
      <w:r w:rsidR="00D9124A" w:rsidRPr="00321DEC">
        <w:rPr>
          <w:rFonts w:ascii="Times New Roman" w:hAnsi="Times New Roman" w:cs="Times New Roman"/>
        </w:rPr>
        <w:t>(</w:t>
      </w:r>
      <w:r w:rsidRPr="00321DEC">
        <w:rPr>
          <w:rFonts w:ascii="Times New Roman" w:hAnsi="Times New Roman" w:cs="Times New Roman"/>
        </w:rPr>
        <w:t xml:space="preserve">Current Year Value - {Previous Year </w:t>
      </w:r>
      <w:r w:rsidR="002A2389" w:rsidRPr="00321DEC">
        <w:rPr>
          <w:rFonts w:ascii="Times New Roman" w:hAnsi="Times New Roman" w:cs="Times New Roman"/>
        </w:rPr>
        <w:t>Value) ÷</w:t>
      </w:r>
      <w:r w:rsidRPr="00321DEC">
        <w:rPr>
          <w:rFonts w:ascii="Times New Roman" w:hAnsi="Times New Roman" w:cs="Times New Roman"/>
        </w:rPr>
        <w:t xml:space="preserve">Previous Year </w:t>
      </w:r>
      <w:r w:rsidR="002A2389" w:rsidRPr="00321DEC">
        <w:rPr>
          <w:rFonts w:ascii="Times New Roman" w:hAnsi="Times New Roman" w:cs="Times New Roman"/>
        </w:rPr>
        <w:t>Value} ×</w:t>
      </w:r>
      <w:r w:rsidR="00633F70" w:rsidRPr="00321DEC">
        <w:rPr>
          <w:rFonts w:ascii="Times New Roman" w:hAnsi="Times New Roman" w:cs="Times New Roman"/>
        </w:rPr>
        <w:t>100</w:t>
      </w:r>
    </w:p>
    <w:p w14:paraId="7C099116" w14:textId="1D83D230" w:rsidR="00E150D2" w:rsidRPr="00321DEC" w:rsidRDefault="0046201E" w:rsidP="00321DEC">
      <w:pPr>
        <w:spacing w:line="360" w:lineRule="auto"/>
        <w:jc w:val="both"/>
        <w:rPr>
          <w:rFonts w:ascii="Times New Roman" w:hAnsi="Times New Roman" w:cs="Times New Roman"/>
        </w:rPr>
      </w:pPr>
      <w:r w:rsidRPr="00321DEC">
        <w:rPr>
          <w:rFonts w:ascii="Times New Roman" w:hAnsi="Times New Roman" w:cs="Times New Roman"/>
          <w:b/>
          <w:bCs/>
        </w:rPr>
        <w:t>Financial Ratios:</w:t>
      </w:r>
      <w:r w:rsidRPr="00321DEC">
        <w:rPr>
          <w:rFonts w:ascii="Times New Roman" w:hAnsi="Times New Roman" w:cs="Times New Roman"/>
        </w:rPr>
        <w:t xml:space="preserve"> Various ratios such as ROA </w:t>
      </w:r>
      <w:r w:rsidR="00905C75" w:rsidRPr="00321DEC">
        <w:rPr>
          <w:rFonts w:ascii="Times New Roman" w:hAnsi="Times New Roman" w:cs="Times New Roman"/>
        </w:rPr>
        <w:t>=</w:t>
      </w:r>
      <w:r w:rsidRPr="00321DEC">
        <w:rPr>
          <w:rFonts w:ascii="Times New Roman" w:hAnsi="Times New Roman" w:cs="Times New Roman"/>
        </w:rPr>
        <w:t xml:space="preserve"> </w:t>
      </w:r>
      <w:r w:rsidR="005D0B7D" w:rsidRPr="00321DEC">
        <w:rPr>
          <w:rFonts w:ascii="Times New Roman" w:hAnsi="Times New Roman" w:cs="Times New Roman"/>
        </w:rPr>
        <w:t>(N</w:t>
      </w:r>
      <w:r w:rsidRPr="00321DEC">
        <w:rPr>
          <w:rFonts w:ascii="Times New Roman" w:hAnsi="Times New Roman" w:cs="Times New Roman"/>
        </w:rPr>
        <w:t>et Incom</w:t>
      </w:r>
      <w:r w:rsidR="005D0B7D" w:rsidRPr="00321DEC">
        <w:rPr>
          <w:rFonts w:ascii="Times New Roman" w:hAnsi="Times New Roman" w:cs="Times New Roman"/>
        </w:rPr>
        <w:t>e</w:t>
      </w:r>
      <w:r w:rsidR="00EA1B10" w:rsidRPr="00321DEC">
        <w:rPr>
          <w:rFonts w:ascii="Times New Roman" w:hAnsi="Times New Roman" w:cs="Times New Roman"/>
        </w:rPr>
        <w:t xml:space="preserve"> </w:t>
      </w:r>
      <w:r w:rsidR="005D0B7D" w:rsidRPr="00321DEC">
        <w:rPr>
          <w:rFonts w:ascii="Times New Roman" w:hAnsi="Times New Roman" w:cs="Times New Roman"/>
        </w:rPr>
        <w:t>÷</w:t>
      </w:r>
      <w:r w:rsidR="00EA1B10" w:rsidRPr="00321DEC">
        <w:rPr>
          <w:rFonts w:ascii="Times New Roman" w:hAnsi="Times New Roman" w:cs="Times New Roman"/>
        </w:rPr>
        <w:t xml:space="preserve"> T</w:t>
      </w:r>
      <w:r w:rsidRPr="00321DEC">
        <w:rPr>
          <w:rFonts w:ascii="Times New Roman" w:hAnsi="Times New Roman" w:cs="Times New Roman"/>
        </w:rPr>
        <w:t xml:space="preserve">otal </w:t>
      </w:r>
      <w:r w:rsidR="00761944" w:rsidRPr="00321DEC">
        <w:rPr>
          <w:rFonts w:ascii="Times New Roman" w:hAnsi="Times New Roman" w:cs="Times New Roman"/>
        </w:rPr>
        <w:t>Assets) ×</w:t>
      </w:r>
      <w:r w:rsidR="00EA1B10" w:rsidRPr="00321DEC">
        <w:rPr>
          <w:rFonts w:ascii="Times New Roman" w:hAnsi="Times New Roman" w:cs="Times New Roman"/>
        </w:rPr>
        <w:t>100</w:t>
      </w:r>
      <w:r w:rsidRPr="00321DEC">
        <w:rPr>
          <w:rFonts w:ascii="Times New Roman" w:hAnsi="Times New Roman" w:cs="Times New Roman"/>
        </w:rPr>
        <w:t>,</w:t>
      </w:r>
      <w:r w:rsidR="000D0BFB" w:rsidRPr="00321DEC">
        <w:rPr>
          <w:rFonts w:ascii="Times New Roman" w:hAnsi="Times New Roman" w:cs="Times New Roman"/>
        </w:rPr>
        <w:t xml:space="preserve"> </w:t>
      </w:r>
      <w:r w:rsidRPr="00321DEC">
        <w:rPr>
          <w:rFonts w:ascii="Times New Roman" w:hAnsi="Times New Roman" w:cs="Times New Roman"/>
        </w:rPr>
        <w:t xml:space="preserve">ROE = </w:t>
      </w:r>
      <w:r w:rsidR="000D0BFB" w:rsidRPr="00321DEC">
        <w:rPr>
          <w:rFonts w:ascii="Times New Roman" w:hAnsi="Times New Roman" w:cs="Times New Roman"/>
        </w:rPr>
        <w:t>{(</w:t>
      </w:r>
      <w:r w:rsidRPr="00321DEC">
        <w:rPr>
          <w:rFonts w:ascii="Times New Roman" w:hAnsi="Times New Roman" w:cs="Times New Roman"/>
        </w:rPr>
        <w:t xml:space="preserve">Net </w:t>
      </w:r>
      <w:r w:rsidR="00761944" w:rsidRPr="00321DEC">
        <w:rPr>
          <w:rFonts w:ascii="Times New Roman" w:hAnsi="Times New Roman" w:cs="Times New Roman"/>
        </w:rPr>
        <w:t>Income) ÷</w:t>
      </w:r>
      <w:r w:rsidRPr="00321DEC">
        <w:rPr>
          <w:rFonts w:ascii="Times New Roman" w:hAnsi="Times New Roman" w:cs="Times New Roman"/>
        </w:rPr>
        <w:t xml:space="preserve">Shareholder's </w:t>
      </w:r>
      <w:r w:rsidR="00761944" w:rsidRPr="00321DEC">
        <w:rPr>
          <w:rFonts w:ascii="Times New Roman" w:hAnsi="Times New Roman" w:cs="Times New Roman"/>
        </w:rPr>
        <w:t>Equity} ×</w:t>
      </w:r>
      <w:r w:rsidR="00FB736B" w:rsidRPr="00321DEC">
        <w:rPr>
          <w:rFonts w:ascii="Times New Roman" w:hAnsi="Times New Roman" w:cs="Times New Roman"/>
        </w:rPr>
        <w:t>100</w:t>
      </w:r>
      <w:r w:rsidR="008E0BB2" w:rsidRPr="00321DEC">
        <w:rPr>
          <w:rFonts w:ascii="Times New Roman" w:hAnsi="Times New Roman" w:cs="Times New Roman"/>
        </w:rPr>
        <w:t>.</w:t>
      </w:r>
    </w:p>
    <w:p w14:paraId="736234BC" w14:textId="198E0F61" w:rsidR="00FD4865" w:rsidRPr="00FD4865" w:rsidRDefault="00E150D2" w:rsidP="00FD4865">
      <w:pPr>
        <w:spacing w:line="360" w:lineRule="auto"/>
        <w:jc w:val="both"/>
        <w:rPr>
          <w:rFonts w:ascii="Times New Roman" w:hAnsi="Times New Roman" w:cs="Times New Roman"/>
        </w:rPr>
      </w:pPr>
      <w:r w:rsidRPr="00321DEC">
        <w:rPr>
          <w:rFonts w:ascii="Times New Roman" w:hAnsi="Times New Roman" w:cs="Times New Roman"/>
          <w:b/>
          <w:bCs/>
        </w:rPr>
        <w:t>Graphical</w:t>
      </w:r>
      <w:r w:rsidR="0046201E" w:rsidRPr="00321DEC">
        <w:rPr>
          <w:rFonts w:ascii="Times New Roman" w:hAnsi="Times New Roman" w:cs="Times New Roman"/>
          <w:b/>
          <w:bCs/>
        </w:rPr>
        <w:t xml:space="preserve"> Representation:</w:t>
      </w:r>
      <w:r w:rsidR="0046201E" w:rsidRPr="00321DEC">
        <w:rPr>
          <w:rFonts w:ascii="Times New Roman" w:hAnsi="Times New Roman" w:cs="Times New Roman"/>
        </w:rPr>
        <w:t xml:space="preserve"> Uses charts and graphs to visually depict trends and changes in key financial </w:t>
      </w:r>
      <w:r w:rsidRPr="00321DEC">
        <w:rPr>
          <w:rFonts w:ascii="Times New Roman" w:hAnsi="Times New Roman" w:cs="Times New Roman"/>
        </w:rPr>
        <w:t xml:space="preserve">metrics. </w:t>
      </w:r>
    </w:p>
    <w:p w14:paraId="3EF49704" w14:textId="77777777" w:rsidR="00820403" w:rsidRDefault="00820403" w:rsidP="00FD4865">
      <w:pPr>
        <w:spacing w:line="360" w:lineRule="auto"/>
        <w:jc w:val="center"/>
        <w:rPr>
          <w:rFonts w:ascii="Times New Roman" w:hAnsi="Times New Roman" w:cs="Times New Roman"/>
          <w:b/>
          <w:bCs/>
        </w:rPr>
      </w:pPr>
    </w:p>
    <w:p w14:paraId="29600802" w14:textId="48524E11" w:rsidR="002A2389" w:rsidRPr="00820403" w:rsidRDefault="00A70C86" w:rsidP="00006981">
      <w:pPr>
        <w:pStyle w:val="Heading1"/>
      </w:pPr>
      <w:bookmarkStart w:id="13" w:name="_Toc188056520"/>
      <w:r w:rsidRPr="00006981">
        <w:lastRenderedPageBreak/>
        <w:t xml:space="preserve">Chapter 03: </w:t>
      </w:r>
      <w:r w:rsidR="00487613" w:rsidRPr="00006981">
        <w:t>Organizational</w:t>
      </w:r>
      <w:r w:rsidR="00487613" w:rsidRPr="00321DEC">
        <w:t xml:space="preserve"> Profile of NLI</w:t>
      </w:r>
      <w:bookmarkEnd w:id="13"/>
    </w:p>
    <w:p w14:paraId="3996C6B2" w14:textId="153D6F51" w:rsidR="00E56A85" w:rsidRPr="00006981" w:rsidRDefault="006866F9" w:rsidP="00006981">
      <w:pPr>
        <w:pStyle w:val="Heading2"/>
      </w:pPr>
      <w:bookmarkStart w:id="14" w:name="_Toc188056521"/>
      <w:r>
        <w:t xml:space="preserve">3. </w:t>
      </w:r>
      <w:r w:rsidR="00523F19" w:rsidRPr="00006981">
        <w:t xml:space="preserve">Introduction </w:t>
      </w:r>
      <w:r w:rsidR="0041138A" w:rsidRPr="00006981">
        <w:t>of NLI</w:t>
      </w:r>
      <w:bookmarkEnd w:id="14"/>
    </w:p>
    <w:p w14:paraId="1898E2E8" w14:textId="21EDCD04" w:rsidR="0029527F" w:rsidRPr="00321DEC" w:rsidRDefault="0050640C" w:rsidP="00FD4865">
      <w:pPr>
        <w:spacing w:line="360" w:lineRule="auto"/>
        <w:jc w:val="both"/>
        <w:rPr>
          <w:rFonts w:ascii="Times New Roman" w:hAnsi="Times New Roman" w:cs="Times New Roman"/>
        </w:rPr>
      </w:pPr>
      <w:r w:rsidRPr="00321DEC">
        <w:rPr>
          <w:rFonts w:ascii="Times New Roman" w:hAnsi="Times New Roman" w:cs="Times New Roman"/>
        </w:rPr>
        <w:tab/>
      </w:r>
      <w:r w:rsidR="008D4BE3" w:rsidRPr="00321DEC">
        <w:rPr>
          <w:rFonts w:ascii="Times New Roman" w:hAnsi="Times New Roman" w:cs="Times New Roman"/>
        </w:rPr>
        <w:t xml:space="preserve">National Life Insurance Company Ltd. </w:t>
      </w:r>
      <w:r w:rsidR="00761944">
        <w:rPr>
          <w:rFonts w:ascii="Times New Roman" w:hAnsi="Times New Roman" w:cs="Times New Roman"/>
        </w:rPr>
        <w:t>i</w:t>
      </w:r>
      <w:r w:rsidR="008D4BE3" w:rsidRPr="00321DEC">
        <w:rPr>
          <w:rFonts w:ascii="Times New Roman" w:hAnsi="Times New Roman" w:cs="Times New Roman"/>
        </w:rPr>
        <w:t xml:space="preserve">s a leading life insurance provider in Bangladesh, established in 1985 with the goal of offering financial security and peace of mind to its customers. Operating under the stringent regulatory environment of the Insurance Act of 1938, as amended in 2010, the company has consistently upheld its mission to enhance the lives of individuals, families, and communities through a robust offering of insurance products. With a strong commitment to integrity, customer service, and community involvement, National Life Insurance Company Ltd. Remains a pillar in the </w:t>
      </w:r>
    </w:p>
    <w:p w14:paraId="1829CBC2" w14:textId="20FE2400" w:rsidR="00F254A3" w:rsidRPr="006866F9" w:rsidRDefault="006866F9" w:rsidP="00006981">
      <w:pPr>
        <w:pStyle w:val="Heading2"/>
      </w:pPr>
      <w:bookmarkStart w:id="15" w:name="_Toc188056522"/>
      <w:r>
        <w:t xml:space="preserve">3.2 </w:t>
      </w:r>
      <w:r w:rsidR="002E6E62" w:rsidRPr="006866F9">
        <w:t>Competitors of NLI</w:t>
      </w:r>
      <w:bookmarkEnd w:id="15"/>
    </w:p>
    <w:p w14:paraId="071A4E27" w14:textId="3D48CAD4" w:rsidR="002E6E62" w:rsidRPr="00321DEC" w:rsidRDefault="0038683E" w:rsidP="00321DEC">
      <w:pPr>
        <w:spacing w:line="360" w:lineRule="auto"/>
        <w:jc w:val="both"/>
        <w:rPr>
          <w:rFonts w:ascii="Times New Roman" w:hAnsi="Times New Roman" w:cs="Times New Roman"/>
        </w:rPr>
      </w:pPr>
      <w:r w:rsidRPr="00321DEC">
        <w:rPr>
          <w:rFonts w:ascii="Times New Roman" w:hAnsi="Times New Roman" w:cs="Times New Roman"/>
        </w:rPr>
        <w:t>Here Top 10 Companies name are noted:</w:t>
      </w:r>
    </w:p>
    <w:tbl>
      <w:tblPr>
        <w:tblStyle w:val="TableGrid"/>
        <w:tblW w:w="0" w:type="auto"/>
        <w:tblLook w:val="04A0" w:firstRow="1" w:lastRow="0" w:firstColumn="1" w:lastColumn="0" w:noHBand="0" w:noVBand="1"/>
      </w:tblPr>
      <w:tblGrid>
        <w:gridCol w:w="985"/>
        <w:gridCol w:w="6030"/>
        <w:gridCol w:w="2335"/>
      </w:tblGrid>
      <w:tr w:rsidR="0038683E" w:rsidRPr="00321DEC" w14:paraId="6D207D42" w14:textId="77777777" w:rsidTr="00AF0E90">
        <w:tc>
          <w:tcPr>
            <w:tcW w:w="985" w:type="dxa"/>
          </w:tcPr>
          <w:p w14:paraId="1734E817" w14:textId="77777777" w:rsidR="0038683E" w:rsidRPr="00321DEC" w:rsidRDefault="00641E4A" w:rsidP="00321DEC">
            <w:pPr>
              <w:spacing w:line="360" w:lineRule="auto"/>
              <w:jc w:val="both"/>
              <w:rPr>
                <w:rFonts w:ascii="Times New Roman" w:hAnsi="Times New Roman" w:cs="Times New Roman"/>
                <w:b/>
                <w:bCs/>
              </w:rPr>
            </w:pPr>
            <w:r w:rsidRPr="00321DEC">
              <w:rPr>
                <w:rFonts w:ascii="Times New Roman" w:hAnsi="Times New Roman" w:cs="Times New Roman"/>
                <w:b/>
                <w:bCs/>
              </w:rPr>
              <w:t>SL No.</w:t>
            </w:r>
          </w:p>
        </w:tc>
        <w:tc>
          <w:tcPr>
            <w:tcW w:w="6030" w:type="dxa"/>
          </w:tcPr>
          <w:p w14:paraId="63B87D7D" w14:textId="77777777" w:rsidR="0038683E" w:rsidRPr="00321DEC" w:rsidRDefault="001C771E" w:rsidP="00321DEC">
            <w:pPr>
              <w:spacing w:line="360" w:lineRule="auto"/>
              <w:jc w:val="both"/>
              <w:rPr>
                <w:rFonts w:ascii="Times New Roman" w:hAnsi="Times New Roman" w:cs="Times New Roman"/>
                <w:b/>
                <w:bCs/>
              </w:rPr>
            </w:pPr>
            <w:r w:rsidRPr="00321DEC">
              <w:rPr>
                <w:rFonts w:ascii="Times New Roman" w:hAnsi="Times New Roman" w:cs="Times New Roman"/>
                <w:b/>
                <w:bCs/>
              </w:rPr>
              <w:t>Company Name</w:t>
            </w:r>
          </w:p>
        </w:tc>
        <w:tc>
          <w:tcPr>
            <w:tcW w:w="2335" w:type="dxa"/>
          </w:tcPr>
          <w:p w14:paraId="37B31B06" w14:textId="77777777" w:rsidR="0038683E" w:rsidRPr="00321DEC" w:rsidRDefault="001C771E" w:rsidP="00321DEC">
            <w:pPr>
              <w:spacing w:line="360" w:lineRule="auto"/>
              <w:jc w:val="both"/>
              <w:rPr>
                <w:rFonts w:ascii="Times New Roman" w:hAnsi="Times New Roman" w:cs="Times New Roman"/>
                <w:b/>
                <w:bCs/>
              </w:rPr>
            </w:pPr>
            <w:r w:rsidRPr="00321DEC">
              <w:rPr>
                <w:rFonts w:ascii="Times New Roman" w:hAnsi="Times New Roman" w:cs="Times New Roman"/>
                <w:b/>
                <w:bCs/>
              </w:rPr>
              <w:t>Established Time</w:t>
            </w:r>
          </w:p>
        </w:tc>
      </w:tr>
      <w:tr w:rsidR="0038683E" w:rsidRPr="00321DEC" w14:paraId="77F31C37" w14:textId="77777777" w:rsidTr="00AF0E90">
        <w:tc>
          <w:tcPr>
            <w:tcW w:w="985" w:type="dxa"/>
          </w:tcPr>
          <w:p w14:paraId="12724324" w14:textId="77777777" w:rsidR="0038683E"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01</w:t>
            </w:r>
          </w:p>
        </w:tc>
        <w:tc>
          <w:tcPr>
            <w:tcW w:w="6030" w:type="dxa"/>
          </w:tcPr>
          <w:p w14:paraId="448680CA" w14:textId="77777777" w:rsidR="0038683E" w:rsidRPr="00321DEC" w:rsidRDefault="00493247" w:rsidP="00321DEC">
            <w:pPr>
              <w:spacing w:line="360" w:lineRule="auto"/>
              <w:jc w:val="both"/>
              <w:rPr>
                <w:rFonts w:ascii="Times New Roman" w:hAnsi="Times New Roman" w:cs="Times New Roman"/>
              </w:rPr>
            </w:pPr>
            <w:r w:rsidRPr="00321DEC">
              <w:rPr>
                <w:rFonts w:ascii="Times New Roman" w:hAnsi="Times New Roman" w:cs="Times New Roman"/>
              </w:rPr>
              <w:t xml:space="preserve">Met Life Insurance Company Ltd. </w:t>
            </w:r>
          </w:p>
        </w:tc>
        <w:tc>
          <w:tcPr>
            <w:tcW w:w="2335" w:type="dxa"/>
          </w:tcPr>
          <w:p w14:paraId="77078E83" w14:textId="77777777" w:rsidR="0038683E" w:rsidRPr="00321DEC" w:rsidRDefault="00797785" w:rsidP="00321DEC">
            <w:pPr>
              <w:spacing w:line="360" w:lineRule="auto"/>
              <w:jc w:val="both"/>
              <w:rPr>
                <w:rFonts w:ascii="Times New Roman" w:hAnsi="Times New Roman" w:cs="Times New Roman"/>
              </w:rPr>
            </w:pPr>
            <w:r w:rsidRPr="00321DEC">
              <w:rPr>
                <w:rFonts w:ascii="Times New Roman" w:hAnsi="Times New Roman" w:cs="Times New Roman"/>
              </w:rPr>
              <w:t>19</w:t>
            </w:r>
            <w:r w:rsidR="00F442F7" w:rsidRPr="00321DEC">
              <w:rPr>
                <w:rFonts w:ascii="Times New Roman" w:hAnsi="Times New Roman" w:cs="Times New Roman"/>
              </w:rPr>
              <w:t>52</w:t>
            </w:r>
          </w:p>
        </w:tc>
      </w:tr>
      <w:tr w:rsidR="0038683E" w:rsidRPr="00321DEC" w14:paraId="3A94AABB" w14:textId="77777777" w:rsidTr="00AF0E90">
        <w:tc>
          <w:tcPr>
            <w:tcW w:w="985" w:type="dxa"/>
          </w:tcPr>
          <w:p w14:paraId="448E6816" w14:textId="77777777" w:rsidR="0038683E"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02</w:t>
            </w:r>
          </w:p>
        </w:tc>
        <w:tc>
          <w:tcPr>
            <w:tcW w:w="6030" w:type="dxa"/>
          </w:tcPr>
          <w:p w14:paraId="263BE272" w14:textId="77777777" w:rsidR="0038683E" w:rsidRPr="00321DEC" w:rsidRDefault="00CA124E" w:rsidP="00321DEC">
            <w:pPr>
              <w:spacing w:line="360" w:lineRule="auto"/>
              <w:jc w:val="both"/>
              <w:rPr>
                <w:rFonts w:ascii="Times New Roman" w:hAnsi="Times New Roman" w:cs="Times New Roman"/>
              </w:rPr>
            </w:pPr>
            <w:r w:rsidRPr="00321DEC">
              <w:rPr>
                <w:rFonts w:ascii="Times New Roman" w:hAnsi="Times New Roman" w:cs="Times New Roman"/>
              </w:rPr>
              <w:t xml:space="preserve">Delta Life Insurance Co ltd </w:t>
            </w:r>
          </w:p>
        </w:tc>
        <w:tc>
          <w:tcPr>
            <w:tcW w:w="2335" w:type="dxa"/>
          </w:tcPr>
          <w:p w14:paraId="626AE9B5" w14:textId="77777777" w:rsidR="0038683E" w:rsidRPr="00321DEC" w:rsidRDefault="003E6ED5" w:rsidP="00321DEC">
            <w:pPr>
              <w:spacing w:line="360" w:lineRule="auto"/>
              <w:jc w:val="both"/>
              <w:rPr>
                <w:rFonts w:ascii="Times New Roman" w:hAnsi="Times New Roman" w:cs="Times New Roman"/>
              </w:rPr>
            </w:pPr>
            <w:r w:rsidRPr="00321DEC">
              <w:rPr>
                <w:rFonts w:ascii="Times New Roman" w:hAnsi="Times New Roman" w:cs="Times New Roman"/>
              </w:rPr>
              <w:t>1986</w:t>
            </w:r>
          </w:p>
        </w:tc>
      </w:tr>
      <w:tr w:rsidR="00C07C98" w:rsidRPr="00321DEC" w14:paraId="50441A70" w14:textId="77777777" w:rsidTr="00AF0E90">
        <w:tc>
          <w:tcPr>
            <w:tcW w:w="985" w:type="dxa"/>
          </w:tcPr>
          <w:p w14:paraId="7466A9F0" w14:textId="77777777" w:rsidR="00C07C98"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03</w:t>
            </w:r>
          </w:p>
        </w:tc>
        <w:tc>
          <w:tcPr>
            <w:tcW w:w="6030" w:type="dxa"/>
          </w:tcPr>
          <w:p w14:paraId="21924C82" w14:textId="77777777" w:rsidR="00C07C98" w:rsidRPr="00321DEC" w:rsidRDefault="00493247" w:rsidP="00321DEC">
            <w:pPr>
              <w:spacing w:line="360" w:lineRule="auto"/>
              <w:jc w:val="both"/>
              <w:rPr>
                <w:rFonts w:ascii="Times New Roman" w:hAnsi="Times New Roman" w:cs="Times New Roman"/>
              </w:rPr>
            </w:pPr>
            <w:r w:rsidRPr="00321DEC">
              <w:rPr>
                <w:rFonts w:ascii="Times New Roman" w:hAnsi="Times New Roman" w:cs="Times New Roman"/>
              </w:rPr>
              <w:t xml:space="preserve">Popular Life Insurance Company Ltd </w:t>
            </w:r>
          </w:p>
        </w:tc>
        <w:tc>
          <w:tcPr>
            <w:tcW w:w="2335" w:type="dxa"/>
          </w:tcPr>
          <w:p w14:paraId="048DD57F" w14:textId="77777777" w:rsidR="00C07C98" w:rsidRPr="00321DEC" w:rsidRDefault="00173DC3" w:rsidP="00321DEC">
            <w:pPr>
              <w:spacing w:line="360" w:lineRule="auto"/>
              <w:jc w:val="both"/>
              <w:rPr>
                <w:rFonts w:ascii="Times New Roman" w:hAnsi="Times New Roman" w:cs="Times New Roman"/>
              </w:rPr>
            </w:pPr>
            <w:r w:rsidRPr="00321DEC">
              <w:rPr>
                <w:rFonts w:ascii="Times New Roman" w:hAnsi="Times New Roman" w:cs="Times New Roman"/>
              </w:rPr>
              <w:t>2000</w:t>
            </w:r>
          </w:p>
        </w:tc>
      </w:tr>
      <w:tr w:rsidR="00C07C98" w:rsidRPr="00321DEC" w14:paraId="695A702C" w14:textId="77777777" w:rsidTr="00AF0E90">
        <w:tc>
          <w:tcPr>
            <w:tcW w:w="985" w:type="dxa"/>
          </w:tcPr>
          <w:p w14:paraId="5FB72875" w14:textId="77777777" w:rsidR="00C07C98"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04</w:t>
            </w:r>
          </w:p>
        </w:tc>
        <w:tc>
          <w:tcPr>
            <w:tcW w:w="6030" w:type="dxa"/>
          </w:tcPr>
          <w:p w14:paraId="1097EE51" w14:textId="77777777" w:rsidR="00C07C98" w:rsidRPr="00321DEC" w:rsidRDefault="00493247" w:rsidP="00321DEC">
            <w:pPr>
              <w:spacing w:line="360" w:lineRule="auto"/>
              <w:jc w:val="both"/>
              <w:rPr>
                <w:rFonts w:ascii="Times New Roman" w:hAnsi="Times New Roman" w:cs="Times New Roman"/>
              </w:rPr>
            </w:pPr>
            <w:r w:rsidRPr="00321DEC">
              <w:rPr>
                <w:rFonts w:ascii="Times New Roman" w:hAnsi="Times New Roman" w:cs="Times New Roman"/>
              </w:rPr>
              <w:t xml:space="preserve">Pragati Life Insurance Ltd </w:t>
            </w:r>
          </w:p>
        </w:tc>
        <w:tc>
          <w:tcPr>
            <w:tcW w:w="2335" w:type="dxa"/>
          </w:tcPr>
          <w:p w14:paraId="2F9E5CCA" w14:textId="77777777" w:rsidR="00C07C98" w:rsidRPr="00321DEC" w:rsidRDefault="00173DC3" w:rsidP="00321DEC">
            <w:pPr>
              <w:spacing w:line="360" w:lineRule="auto"/>
              <w:jc w:val="both"/>
              <w:rPr>
                <w:rFonts w:ascii="Times New Roman" w:hAnsi="Times New Roman" w:cs="Times New Roman"/>
              </w:rPr>
            </w:pPr>
            <w:r w:rsidRPr="00321DEC">
              <w:rPr>
                <w:rFonts w:ascii="Times New Roman" w:hAnsi="Times New Roman" w:cs="Times New Roman"/>
              </w:rPr>
              <w:t>2000</w:t>
            </w:r>
          </w:p>
        </w:tc>
      </w:tr>
      <w:tr w:rsidR="00C07C98" w:rsidRPr="00321DEC" w14:paraId="14143307" w14:textId="77777777" w:rsidTr="00AF0E90">
        <w:tc>
          <w:tcPr>
            <w:tcW w:w="985" w:type="dxa"/>
          </w:tcPr>
          <w:p w14:paraId="4D8E2A11" w14:textId="77777777" w:rsidR="00C07C98"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05</w:t>
            </w:r>
          </w:p>
        </w:tc>
        <w:tc>
          <w:tcPr>
            <w:tcW w:w="6030" w:type="dxa"/>
          </w:tcPr>
          <w:p w14:paraId="61F09F19" w14:textId="77777777" w:rsidR="00C07C98"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 xml:space="preserve">Meghna Life Insurance Company Ltd </w:t>
            </w:r>
          </w:p>
        </w:tc>
        <w:tc>
          <w:tcPr>
            <w:tcW w:w="2335" w:type="dxa"/>
          </w:tcPr>
          <w:p w14:paraId="67146283" w14:textId="77777777" w:rsidR="00C07C98" w:rsidRPr="00321DEC" w:rsidRDefault="004A5792" w:rsidP="00321DEC">
            <w:pPr>
              <w:spacing w:line="360" w:lineRule="auto"/>
              <w:jc w:val="both"/>
              <w:rPr>
                <w:rFonts w:ascii="Times New Roman" w:hAnsi="Times New Roman" w:cs="Times New Roman"/>
              </w:rPr>
            </w:pPr>
            <w:r w:rsidRPr="00321DEC">
              <w:rPr>
                <w:rFonts w:ascii="Times New Roman" w:hAnsi="Times New Roman" w:cs="Times New Roman"/>
              </w:rPr>
              <w:t>1996</w:t>
            </w:r>
          </w:p>
        </w:tc>
      </w:tr>
      <w:tr w:rsidR="00C07C98" w:rsidRPr="00321DEC" w14:paraId="08455E42" w14:textId="77777777" w:rsidTr="00AF0E90">
        <w:tc>
          <w:tcPr>
            <w:tcW w:w="985" w:type="dxa"/>
          </w:tcPr>
          <w:p w14:paraId="65F65B8C" w14:textId="77777777" w:rsidR="00C07C98"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06</w:t>
            </w:r>
          </w:p>
        </w:tc>
        <w:tc>
          <w:tcPr>
            <w:tcW w:w="6030" w:type="dxa"/>
          </w:tcPr>
          <w:p w14:paraId="3722F90E" w14:textId="77777777" w:rsidR="00C07C98" w:rsidRPr="00321DEC" w:rsidRDefault="0038129D" w:rsidP="00321DEC">
            <w:pPr>
              <w:spacing w:line="360" w:lineRule="auto"/>
              <w:jc w:val="both"/>
              <w:rPr>
                <w:rFonts w:ascii="Times New Roman" w:hAnsi="Times New Roman" w:cs="Times New Roman"/>
              </w:rPr>
            </w:pPr>
            <w:r w:rsidRPr="00321DEC">
              <w:rPr>
                <w:rFonts w:ascii="Times New Roman" w:hAnsi="Times New Roman" w:cs="Times New Roman"/>
              </w:rPr>
              <w:t xml:space="preserve">Life Insurance Corporation (LIC) of Bangladesh Ltd. </w:t>
            </w:r>
          </w:p>
        </w:tc>
        <w:tc>
          <w:tcPr>
            <w:tcW w:w="2335" w:type="dxa"/>
          </w:tcPr>
          <w:p w14:paraId="53B956D7" w14:textId="77777777" w:rsidR="00C07C98" w:rsidRPr="00321DEC" w:rsidRDefault="00632135" w:rsidP="00321DEC">
            <w:pPr>
              <w:spacing w:line="360" w:lineRule="auto"/>
              <w:jc w:val="both"/>
              <w:rPr>
                <w:rFonts w:ascii="Times New Roman" w:hAnsi="Times New Roman" w:cs="Times New Roman"/>
              </w:rPr>
            </w:pPr>
            <w:r w:rsidRPr="00321DEC">
              <w:rPr>
                <w:rFonts w:ascii="Times New Roman" w:hAnsi="Times New Roman" w:cs="Times New Roman"/>
              </w:rPr>
              <w:t>1956</w:t>
            </w:r>
          </w:p>
        </w:tc>
      </w:tr>
      <w:tr w:rsidR="00C07C98" w:rsidRPr="00321DEC" w14:paraId="5D55A0BF" w14:textId="77777777" w:rsidTr="00AF0E90">
        <w:tc>
          <w:tcPr>
            <w:tcW w:w="985" w:type="dxa"/>
          </w:tcPr>
          <w:p w14:paraId="683DCFE2" w14:textId="77777777" w:rsidR="00C07C98"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07</w:t>
            </w:r>
          </w:p>
        </w:tc>
        <w:tc>
          <w:tcPr>
            <w:tcW w:w="6030" w:type="dxa"/>
          </w:tcPr>
          <w:p w14:paraId="265CFD00" w14:textId="77777777" w:rsidR="00C07C98"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 xml:space="preserve">Sonali Life Insurance Company Ltd </w:t>
            </w:r>
          </w:p>
        </w:tc>
        <w:tc>
          <w:tcPr>
            <w:tcW w:w="2335" w:type="dxa"/>
          </w:tcPr>
          <w:p w14:paraId="5862B20E" w14:textId="77777777" w:rsidR="00C07C98" w:rsidRPr="00321DEC" w:rsidRDefault="00601FDB" w:rsidP="00321DEC">
            <w:pPr>
              <w:spacing w:line="360" w:lineRule="auto"/>
              <w:jc w:val="both"/>
              <w:rPr>
                <w:rFonts w:ascii="Times New Roman" w:hAnsi="Times New Roman" w:cs="Times New Roman"/>
              </w:rPr>
            </w:pPr>
            <w:r w:rsidRPr="00321DEC">
              <w:rPr>
                <w:rFonts w:ascii="Times New Roman" w:hAnsi="Times New Roman" w:cs="Times New Roman"/>
              </w:rPr>
              <w:t>2013</w:t>
            </w:r>
          </w:p>
        </w:tc>
      </w:tr>
      <w:tr w:rsidR="00C07C98" w:rsidRPr="00321DEC" w14:paraId="6387AF01" w14:textId="77777777" w:rsidTr="00AF0E90">
        <w:tc>
          <w:tcPr>
            <w:tcW w:w="985" w:type="dxa"/>
          </w:tcPr>
          <w:p w14:paraId="39049B2D" w14:textId="77777777" w:rsidR="00C07C98" w:rsidRPr="00321DEC" w:rsidRDefault="008D3FAD" w:rsidP="00321DEC">
            <w:pPr>
              <w:spacing w:line="360" w:lineRule="auto"/>
              <w:jc w:val="both"/>
              <w:rPr>
                <w:rFonts w:ascii="Times New Roman" w:hAnsi="Times New Roman" w:cs="Times New Roman"/>
              </w:rPr>
            </w:pPr>
            <w:r w:rsidRPr="00321DEC">
              <w:rPr>
                <w:rFonts w:ascii="Times New Roman" w:hAnsi="Times New Roman" w:cs="Times New Roman"/>
              </w:rPr>
              <w:t>08</w:t>
            </w:r>
          </w:p>
        </w:tc>
        <w:tc>
          <w:tcPr>
            <w:tcW w:w="6030" w:type="dxa"/>
          </w:tcPr>
          <w:p w14:paraId="00C1D462" w14:textId="77777777" w:rsidR="00C07C98" w:rsidRPr="00321DEC" w:rsidRDefault="002A487D" w:rsidP="00321DEC">
            <w:pPr>
              <w:spacing w:line="360" w:lineRule="auto"/>
              <w:jc w:val="both"/>
              <w:rPr>
                <w:rFonts w:ascii="Times New Roman" w:hAnsi="Times New Roman" w:cs="Times New Roman"/>
              </w:rPr>
            </w:pPr>
            <w:r w:rsidRPr="00321DEC">
              <w:rPr>
                <w:rFonts w:ascii="Times New Roman" w:hAnsi="Times New Roman" w:cs="Times New Roman"/>
              </w:rPr>
              <w:t xml:space="preserve">Sunlife Insurance Company Ltd </w:t>
            </w:r>
          </w:p>
        </w:tc>
        <w:tc>
          <w:tcPr>
            <w:tcW w:w="2335" w:type="dxa"/>
          </w:tcPr>
          <w:p w14:paraId="26FD6E92" w14:textId="77777777" w:rsidR="00C07C98" w:rsidRPr="00321DEC" w:rsidRDefault="00DE2A8B" w:rsidP="00321DEC">
            <w:pPr>
              <w:spacing w:line="360" w:lineRule="auto"/>
              <w:jc w:val="both"/>
              <w:rPr>
                <w:rFonts w:ascii="Times New Roman" w:hAnsi="Times New Roman" w:cs="Times New Roman"/>
              </w:rPr>
            </w:pPr>
            <w:r w:rsidRPr="00321DEC">
              <w:rPr>
                <w:rFonts w:ascii="Times New Roman" w:hAnsi="Times New Roman" w:cs="Times New Roman"/>
              </w:rPr>
              <w:t>2000</w:t>
            </w:r>
          </w:p>
        </w:tc>
      </w:tr>
      <w:tr w:rsidR="002A3192" w:rsidRPr="00321DEC" w14:paraId="6A96813B" w14:textId="77777777" w:rsidTr="00AF0E90">
        <w:tc>
          <w:tcPr>
            <w:tcW w:w="985" w:type="dxa"/>
          </w:tcPr>
          <w:p w14:paraId="6751A825" w14:textId="77777777" w:rsidR="002A3192" w:rsidRPr="00321DEC" w:rsidRDefault="002A3192" w:rsidP="00321DEC">
            <w:pPr>
              <w:spacing w:line="360" w:lineRule="auto"/>
              <w:jc w:val="both"/>
              <w:rPr>
                <w:rFonts w:ascii="Times New Roman" w:hAnsi="Times New Roman" w:cs="Times New Roman"/>
              </w:rPr>
            </w:pPr>
            <w:r w:rsidRPr="00321DEC">
              <w:rPr>
                <w:rFonts w:ascii="Times New Roman" w:hAnsi="Times New Roman" w:cs="Times New Roman"/>
              </w:rPr>
              <w:t>09</w:t>
            </w:r>
          </w:p>
        </w:tc>
        <w:tc>
          <w:tcPr>
            <w:tcW w:w="6030" w:type="dxa"/>
          </w:tcPr>
          <w:p w14:paraId="42AC6F74" w14:textId="77777777" w:rsidR="002A3192" w:rsidRPr="00321DEC" w:rsidRDefault="00A45436" w:rsidP="00321DEC">
            <w:pPr>
              <w:spacing w:line="360" w:lineRule="auto"/>
              <w:jc w:val="both"/>
              <w:rPr>
                <w:rFonts w:ascii="Times New Roman" w:hAnsi="Times New Roman" w:cs="Times New Roman"/>
              </w:rPr>
            </w:pPr>
            <w:r w:rsidRPr="00321DEC">
              <w:rPr>
                <w:rFonts w:ascii="Times New Roman" w:hAnsi="Times New Roman" w:cs="Times New Roman"/>
              </w:rPr>
              <w:t xml:space="preserve">Sandhani Life Insurance Company Ltd </w:t>
            </w:r>
          </w:p>
        </w:tc>
        <w:tc>
          <w:tcPr>
            <w:tcW w:w="2335" w:type="dxa"/>
          </w:tcPr>
          <w:p w14:paraId="6C3C9113" w14:textId="77777777" w:rsidR="002A3192" w:rsidRPr="00321DEC" w:rsidRDefault="00C07B6B" w:rsidP="00321DEC">
            <w:pPr>
              <w:spacing w:line="360" w:lineRule="auto"/>
              <w:jc w:val="both"/>
              <w:rPr>
                <w:rFonts w:ascii="Times New Roman" w:hAnsi="Times New Roman" w:cs="Times New Roman"/>
              </w:rPr>
            </w:pPr>
            <w:r w:rsidRPr="00321DEC">
              <w:rPr>
                <w:rFonts w:ascii="Times New Roman" w:hAnsi="Times New Roman" w:cs="Times New Roman"/>
              </w:rPr>
              <w:t>1990</w:t>
            </w:r>
          </w:p>
        </w:tc>
      </w:tr>
      <w:tr w:rsidR="002A3192" w:rsidRPr="00321DEC" w14:paraId="65CE9929" w14:textId="77777777" w:rsidTr="00AF0E90">
        <w:tc>
          <w:tcPr>
            <w:tcW w:w="985" w:type="dxa"/>
          </w:tcPr>
          <w:p w14:paraId="2AE8B40A" w14:textId="77777777" w:rsidR="002A3192" w:rsidRPr="00321DEC" w:rsidRDefault="002A3192" w:rsidP="00321DEC">
            <w:pPr>
              <w:spacing w:line="360" w:lineRule="auto"/>
              <w:jc w:val="both"/>
              <w:rPr>
                <w:rFonts w:ascii="Times New Roman" w:hAnsi="Times New Roman" w:cs="Times New Roman"/>
              </w:rPr>
            </w:pPr>
            <w:r w:rsidRPr="00321DEC">
              <w:rPr>
                <w:rFonts w:ascii="Times New Roman" w:hAnsi="Times New Roman" w:cs="Times New Roman"/>
              </w:rPr>
              <w:t>10</w:t>
            </w:r>
          </w:p>
        </w:tc>
        <w:tc>
          <w:tcPr>
            <w:tcW w:w="6030" w:type="dxa"/>
          </w:tcPr>
          <w:p w14:paraId="3C4FA3EC" w14:textId="77777777" w:rsidR="002A3192" w:rsidRPr="00321DEC" w:rsidRDefault="00E339A5" w:rsidP="00321DEC">
            <w:pPr>
              <w:spacing w:line="360" w:lineRule="auto"/>
              <w:jc w:val="both"/>
              <w:rPr>
                <w:rFonts w:ascii="Times New Roman" w:hAnsi="Times New Roman" w:cs="Times New Roman"/>
              </w:rPr>
            </w:pPr>
            <w:r w:rsidRPr="00321DEC">
              <w:rPr>
                <w:rFonts w:ascii="Times New Roman" w:hAnsi="Times New Roman" w:cs="Times New Roman"/>
              </w:rPr>
              <w:t xml:space="preserve">Mercantile Islami Life Insurance Limited </w:t>
            </w:r>
          </w:p>
        </w:tc>
        <w:tc>
          <w:tcPr>
            <w:tcW w:w="2335" w:type="dxa"/>
          </w:tcPr>
          <w:p w14:paraId="565068BA" w14:textId="77777777" w:rsidR="002A3192" w:rsidRPr="00321DEC" w:rsidRDefault="005B787D" w:rsidP="00321DEC">
            <w:pPr>
              <w:spacing w:line="360" w:lineRule="auto"/>
              <w:jc w:val="both"/>
              <w:rPr>
                <w:rFonts w:ascii="Times New Roman" w:hAnsi="Times New Roman" w:cs="Times New Roman"/>
              </w:rPr>
            </w:pPr>
            <w:r w:rsidRPr="00321DEC">
              <w:rPr>
                <w:rFonts w:ascii="Times New Roman" w:hAnsi="Times New Roman" w:cs="Times New Roman"/>
              </w:rPr>
              <w:t>2010</w:t>
            </w:r>
          </w:p>
        </w:tc>
      </w:tr>
    </w:tbl>
    <w:p w14:paraId="41D6A1D2" w14:textId="77777777" w:rsidR="0038683E" w:rsidRPr="00321DEC" w:rsidRDefault="0038683E" w:rsidP="00321DEC">
      <w:pPr>
        <w:spacing w:line="360" w:lineRule="auto"/>
        <w:jc w:val="both"/>
        <w:rPr>
          <w:rFonts w:ascii="Times New Roman" w:hAnsi="Times New Roman" w:cs="Times New Roman"/>
        </w:rPr>
      </w:pPr>
    </w:p>
    <w:p w14:paraId="620ACCA7" w14:textId="77777777" w:rsidR="00801208" w:rsidRPr="00321DEC" w:rsidRDefault="00801208" w:rsidP="00321DEC">
      <w:pPr>
        <w:spacing w:line="360" w:lineRule="auto"/>
        <w:jc w:val="both"/>
        <w:rPr>
          <w:rFonts w:ascii="Times New Roman" w:hAnsi="Times New Roman" w:cs="Times New Roman"/>
        </w:rPr>
      </w:pPr>
    </w:p>
    <w:p w14:paraId="535A1AED" w14:textId="77777777" w:rsidR="00DF4A85" w:rsidRPr="00321DEC" w:rsidRDefault="00DF4A85" w:rsidP="00321DEC">
      <w:pPr>
        <w:spacing w:line="360" w:lineRule="auto"/>
        <w:jc w:val="both"/>
        <w:rPr>
          <w:rFonts w:ascii="Times New Roman" w:hAnsi="Times New Roman" w:cs="Times New Roman"/>
        </w:rPr>
      </w:pPr>
    </w:p>
    <w:p w14:paraId="42C7E464" w14:textId="77777777" w:rsidR="00DF4A85" w:rsidRDefault="00DF4A85" w:rsidP="00321DEC">
      <w:pPr>
        <w:spacing w:line="360" w:lineRule="auto"/>
        <w:jc w:val="both"/>
        <w:rPr>
          <w:rFonts w:ascii="Times New Roman" w:hAnsi="Times New Roman" w:cs="Times New Roman"/>
        </w:rPr>
      </w:pPr>
    </w:p>
    <w:p w14:paraId="29B293A8" w14:textId="77777777" w:rsidR="00FD4865" w:rsidRDefault="00FD4865" w:rsidP="00321DEC">
      <w:pPr>
        <w:spacing w:line="360" w:lineRule="auto"/>
        <w:jc w:val="both"/>
        <w:rPr>
          <w:rFonts w:ascii="Times New Roman" w:hAnsi="Times New Roman" w:cs="Times New Roman"/>
        </w:rPr>
      </w:pPr>
    </w:p>
    <w:p w14:paraId="7E578F75" w14:textId="224BBB72" w:rsidR="00071FFF" w:rsidRPr="00006981" w:rsidRDefault="00071FFF" w:rsidP="00006981">
      <w:pPr>
        <w:pStyle w:val="Heading2"/>
      </w:pPr>
      <w:bookmarkStart w:id="16" w:name="_Toc188056523"/>
      <w:r w:rsidRPr="00006981">
        <w:rPr>
          <w:bCs/>
        </w:rPr>
        <w:lastRenderedPageBreak/>
        <w:t>3.</w:t>
      </w:r>
      <w:r w:rsidR="006866F9" w:rsidRPr="00006981">
        <w:rPr>
          <w:bCs/>
        </w:rPr>
        <w:t>3</w:t>
      </w:r>
      <w:r w:rsidR="006866F9" w:rsidRPr="00006981">
        <w:t xml:space="preserve"> </w:t>
      </w:r>
      <w:r w:rsidR="00D33709" w:rsidRPr="00006981">
        <w:rPr>
          <w:rStyle w:val="Heading1Char"/>
          <w:b/>
          <w:bCs w:val="0"/>
        </w:rPr>
        <w:t>O</w:t>
      </w:r>
      <w:r w:rsidRPr="00006981">
        <w:rPr>
          <w:rStyle w:val="Heading1Char"/>
          <w:b/>
          <w:bCs w:val="0"/>
        </w:rPr>
        <w:t>rganogram (Organization Hierarchy)</w:t>
      </w:r>
      <w:bookmarkEnd w:id="16"/>
    </w:p>
    <w:p w14:paraId="4E8110D3" w14:textId="77777777" w:rsidR="00353110" w:rsidRPr="00321DEC" w:rsidRDefault="00353110" w:rsidP="00321DEC">
      <w:pPr>
        <w:spacing w:line="360" w:lineRule="auto"/>
        <w:jc w:val="both"/>
        <w:rPr>
          <w:rFonts w:ascii="Times New Roman" w:hAnsi="Times New Roman" w:cs="Times New Roman"/>
        </w:rPr>
      </w:pPr>
      <w:r w:rsidRPr="00321DEC">
        <w:rPr>
          <w:rFonts w:ascii="Times New Roman" w:hAnsi="Times New Roman" w:cs="Times New Roman"/>
          <w:noProof/>
        </w:rPr>
        <w:drawing>
          <wp:anchor distT="0" distB="0" distL="114300" distR="114300" simplePos="0" relativeHeight="251658240" behindDoc="0" locked="0" layoutInCell="1" allowOverlap="1" wp14:anchorId="0B32B475" wp14:editId="3341A9F2">
            <wp:simplePos x="0" y="0"/>
            <wp:positionH relativeFrom="column">
              <wp:posOffset>0</wp:posOffset>
            </wp:positionH>
            <wp:positionV relativeFrom="paragraph">
              <wp:posOffset>355600</wp:posOffset>
            </wp:positionV>
            <wp:extent cx="5943600" cy="73780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7378065"/>
                    </a:xfrm>
                    <a:prstGeom prst="rect">
                      <a:avLst/>
                    </a:prstGeom>
                  </pic:spPr>
                </pic:pic>
              </a:graphicData>
            </a:graphic>
          </wp:anchor>
        </w:drawing>
      </w:r>
    </w:p>
    <w:p w14:paraId="486F4438" w14:textId="77777777" w:rsidR="00FF544F" w:rsidRPr="00321DEC" w:rsidRDefault="00030A9F" w:rsidP="00321DEC">
      <w:pPr>
        <w:spacing w:line="360" w:lineRule="auto"/>
        <w:jc w:val="both"/>
        <w:rPr>
          <w:rFonts w:ascii="Times New Roman" w:hAnsi="Times New Roman" w:cs="Times New Roman"/>
        </w:rPr>
      </w:pPr>
      <w:r w:rsidRPr="00321DEC">
        <w:rPr>
          <w:rFonts w:ascii="Times New Roman" w:hAnsi="Times New Roman" w:cs="Times New Roman"/>
          <w:noProof/>
        </w:rPr>
        <w:lastRenderedPageBreak/>
        <w:drawing>
          <wp:anchor distT="0" distB="0" distL="114300" distR="114300" simplePos="0" relativeHeight="251658241" behindDoc="0" locked="0" layoutInCell="1" allowOverlap="1" wp14:anchorId="792180A7" wp14:editId="15517B69">
            <wp:simplePos x="0" y="0"/>
            <wp:positionH relativeFrom="column">
              <wp:posOffset>0</wp:posOffset>
            </wp:positionH>
            <wp:positionV relativeFrom="paragraph">
              <wp:posOffset>359410</wp:posOffset>
            </wp:positionV>
            <wp:extent cx="5943600" cy="74295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anchor>
        </w:drawing>
      </w:r>
    </w:p>
    <w:p w14:paraId="6F9902D0" w14:textId="77777777" w:rsidR="00030A9F" w:rsidRPr="00321DEC" w:rsidRDefault="00030A9F" w:rsidP="00321DEC">
      <w:pPr>
        <w:spacing w:line="360" w:lineRule="auto"/>
        <w:jc w:val="both"/>
        <w:rPr>
          <w:rFonts w:ascii="Times New Roman" w:hAnsi="Times New Roman" w:cs="Times New Roman"/>
        </w:rPr>
      </w:pPr>
    </w:p>
    <w:p w14:paraId="6332FC99" w14:textId="66A43A4B" w:rsidR="00C84C7F" w:rsidRPr="00006981" w:rsidRDefault="00071FFF" w:rsidP="00006981">
      <w:pPr>
        <w:pStyle w:val="Heading2"/>
      </w:pPr>
      <w:bookmarkStart w:id="17" w:name="_Toc188056524"/>
      <w:r w:rsidRPr="00006981">
        <w:lastRenderedPageBreak/>
        <w:t>3.</w:t>
      </w:r>
      <w:r w:rsidR="006866F9" w:rsidRPr="00006981">
        <w:t xml:space="preserve">4 </w:t>
      </w:r>
      <w:r w:rsidR="0065347A" w:rsidRPr="00006981">
        <w:t>Corporate Information</w:t>
      </w:r>
      <w:r w:rsidRPr="00006981">
        <w:t>:</w:t>
      </w:r>
      <w:bookmarkEnd w:id="17"/>
    </w:p>
    <w:tbl>
      <w:tblPr>
        <w:tblStyle w:val="TableGrid"/>
        <w:tblW w:w="9535" w:type="dxa"/>
        <w:tblLook w:val="04A0" w:firstRow="1" w:lastRow="0" w:firstColumn="1" w:lastColumn="0" w:noHBand="0" w:noVBand="1"/>
      </w:tblPr>
      <w:tblGrid>
        <w:gridCol w:w="3116"/>
        <w:gridCol w:w="6419"/>
      </w:tblGrid>
      <w:tr w:rsidR="0065347A" w:rsidRPr="00321DEC" w14:paraId="4A7DB3FC" w14:textId="77777777" w:rsidTr="002A2389">
        <w:tc>
          <w:tcPr>
            <w:tcW w:w="3116" w:type="dxa"/>
          </w:tcPr>
          <w:p w14:paraId="1CD83A82" w14:textId="77777777" w:rsidR="0065347A" w:rsidRPr="00321DEC" w:rsidRDefault="0065347A" w:rsidP="00321DEC">
            <w:pPr>
              <w:spacing w:line="360" w:lineRule="auto"/>
              <w:jc w:val="both"/>
              <w:rPr>
                <w:rFonts w:ascii="Times New Roman" w:hAnsi="Times New Roman" w:cs="Times New Roman"/>
                <w:b/>
                <w:bCs/>
              </w:rPr>
            </w:pPr>
            <w:r w:rsidRPr="00321DEC">
              <w:rPr>
                <w:rFonts w:ascii="Times New Roman" w:hAnsi="Times New Roman" w:cs="Times New Roman"/>
                <w:b/>
                <w:bCs/>
              </w:rPr>
              <w:t xml:space="preserve">Title </w:t>
            </w:r>
          </w:p>
        </w:tc>
        <w:tc>
          <w:tcPr>
            <w:tcW w:w="6419" w:type="dxa"/>
          </w:tcPr>
          <w:p w14:paraId="2E493B89" w14:textId="77777777" w:rsidR="0065347A" w:rsidRPr="00321DEC" w:rsidRDefault="0065347A" w:rsidP="00321DEC">
            <w:pPr>
              <w:spacing w:line="360" w:lineRule="auto"/>
              <w:jc w:val="both"/>
              <w:rPr>
                <w:rFonts w:ascii="Times New Roman" w:hAnsi="Times New Roman" w:cs="Times New Roman"/>
                <w:b/>
                <w:bCs/>
              </w:rPr>
            </w:pPr>
            <w:r w:rsidRPr="00321DEC">
              <w:rPr>
                <w:rFonts w:ascii="Times New Roman" w:hAnsi="Times New Roman" w:cs="Times New Roman"/>
                <w:b/>
                <w:bCs/>
              </w:rPr>
              <w:t xml:space="preserve">Details </w:t>
            </w:r>
          </w:p>
        </w:tc>
      </w:tr>
      <w:tr w:rsidR="0065347A" w:rsidRPr="00321DEC" w14:paraId="6A508130" w14:textId="77777777" w:rsidTr="002A2389">
        <w:tc>
          <w:tcPr>
            <w:tcW w:w="3116" w:type="dxa"/>
          </w:tcPr>
          <w:p w14:paraId="536EB3BF"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Entity Name </w:t>
            </w:r>
          </w:p>
        </w:tc>
        <w:tc>
          <w:tcPr>
            <w:tcW w:w="6419" w:type="dxa"/>
          </w:tcPr>
          <w:p w14:paraId="58F28120"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National Life Insurance Company Limited. </w:t>
            </w:r>
          </w:p>
        </w:tc>
      </w:tr>
      <w:tr w:rsidR="0065347A" w:rsidRPr="00321DEC" w14:paraId="123E6595" w14:textId="77777777" w:rsidTr="002A2389">
        <w:tc>
          <w:tcPr>
            <w:tcW w:w="3116" w:type="dxa"/>
          </w:tcPr>
          <w:p w14:paraId="2D79031A"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Business Address </w:t>
            </w:r>
          </w:p>
        </w:tc>
        <w:tc>
          <w:tcPr>
            <w:tcW w:w="6419" w:type="dxa"/>
          </w:tcPr>
          <w:p w14:paraId="1678CF2B"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NLI Tower, 54-55 Kazi Nazrul Islam Avenue,</w:t>
            </w:r>
          </w:p>
          <w:p w14:paraId="33B06C7A"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Karwan Bazar, Dhaka-1215. </w:t>
            </w:r>
          </w:p>
        </w:tc>
      </w:tr>
      <w:tr w:rsidR="0065347A" w:rsidRPr="00321DEC" w14:paraId="5EF4F6B3" w14:textId="77777777" w:rsidTr="002A2389">
        <w:tc>
          <w:tcPr>
            <w:tcW w:w="3116" w:type="dxa"/>
          </w:tcPr>
          <w:p w14:paraId="7ECBAFC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Contact </w:t>
            </w:r>
          </w:p>
        </w:tc>
        <w:tc>
          <w:tcPr>
            <w:tcW w:w="6419" w:type="dxa"/>
          </w:tcPr>
          <w:p w14:paraId="6722B33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Phone: 09666706050, 41010123-8,</w:t>
            </w:r>
          </w:p>
          <w:p w14:paraId="39431E7A" w14:textId="49E43408"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Call Centre-</w:t>
            </w:r>
            <w:r w:rsidR="002A2389" w:rsidRPr="00321DEC">
              <w:rPr>
                <w:rFonts w:ascii="Times New Roman" w:hAnsi="Times New Roman" w:cs="Times New Roman"/>
              </w:rPr>
              <w:t>16749 Fax</w:t>
            </w:r>
            <w:r w:rsidRPr="00321DEC">
              <w:rPr>
                <w:rFonts w:ascii="Times New Roman" w:hAnsi="Times New Roman" w:cs="Times New Roman"/>
              </w:rPr>
              <w:t xml:space="preserve">: 88-02-8144237 </w:t>
            </w:r>
          </w:p>
        </w:tc>
      </w:tr>
      <w:tr w:rsidR="0065347A" w:rsidRPr="00321DEC" w14:paraId="44AC6D28" w14:textId="77777777" w:rsidTr="002A2389">
        <w:tc>
          <w:tcPr>
            <w:tcW w:w="3116" w:type="dxa"/>
          </w:tcPr>
          <w:p w14:paraId="76A91CB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Current Website </w:t>
            </w:r>
          </w:p>
        </w:tc>
        <w:tc>
          <w:tcPr>
            <w:tcW w:w="6419" w:type="dxa"/>
          </w:tcPr>
          <w:p w14:paraId="50BED98A"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www.nlibd.com </w:t>
            </w:r>
          </w:p>
        </w:tc>
      </w:tr>
      <w:tr w:rsidR="0065347A" w:rsidRPr="00321DEC" w14:paraId="6BCC4042" w14:textId="77777777" w:rsidTr="002A2389">
        <w:tc>
          <w:tcPr>
            <w:tcW w:w="3116" w:type="dxa"/>
          </w:tcPr>
          <w:p w14:paraId="25E4723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Email </w:t>
            </w:r>
          </w:p>
        </w:tc>
        <w:tc>
          <w:tcPr>
            <w:tcW w:w="6419" w:type="dxa"/>
          </w:tcPr>
          <w:p w14:paraId="47FDB9C3"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info@nlibd.com </w:t>
            </w:r>
          </w:p>
        </w:tc>
      </w:tr>
      <w:tr w:rsidR="0065347A" w:rsidRPr="00321DEC" w14:paraId="7F146DCB" w14:textId="77777777" w:rsidTr="002A2389">
        <w:tc>
          <w:tcPr>
            <w:tcW w:w="3116" w:type="dxa"/>
          </w:tcPr>
          <w:p w14:paraId="15CA1CB0"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Registration Number </w:t>
            </w:r>
          </w:p>
        </w:tc>
        <w:tc>
          <w:tcPr>
            <w:tcW w:w="6419" w:type="dxa"/>
          </w:tcPr>
          <w:p w14:paraId="05BB5765"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C-13734 </w:t>
            </w:r>
          </w:p>
        </w:tc>
      </w:tr>
      <w:tr w:rsidR="0065347A" w:rsidRPr="00321DEC" w14:paraId="0006D031" w14:textId="77777777" w:rsidTr="002A2389">
        <w:tc>
          <w:tcPr>
            <w:tcW w:w="3116" w:type="dxa"/>
          </w:tcPr>
          <w:p w14:paraId="4DC4F61D" w14:textId="6EAD26AB"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Trade </w:t>
            </w:r>
            <w:r w:rsidR="00761944" w:rsidRPr="00321DEC">
              <w:rPr>
                <w:rFonts w:ascii="Times New Roman" w:hAnsi="Times New Roman" w:cs="Times New Roman"/>
              </w:rPr>
              <w:t>License</w:t>
            </w:r>
            <w:r w:rsidRPr="00321DEC">
              <w:rPr>
                <w:rFonts w:ascii="Times New Roman" w:hAnsi="Times New Roman" w:cs="Times New Roman"/>
              </w:rPr>
              <w:t xml:space="preserve"> </w:t>
            </w:r>
          </w:p>
        </w:tc>
        <w:tc>
          <w:tcPr>
            <w:tcW w:w="6419" w:type="dxa"/>
          </w:tcPr>
          <w:p w14:paraId="182289A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TRAD/DNCC/035795/2022 </w:t>
            </w:r>
          </w:p>
        </w:tc>
      </w:tr>
      <w:tr w:rsidR="0065347A" w:rsidRPr="00321DEC" w14:paraId="24172381" w14:textId="77777777" w:rsidTr="002A2389">
        <w:tc>
          <w:tcPr>
            <w:tcW w:w="3116" w:type="dxa"/>
          </w:tcPr>
          <w:p w14:paraId="206D8E17"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TIN </w:t>
            </w:r>
          </w:p>
        </w:tc>
        <w:tc>
          <w:tcPr>
            <w:tcW w:w="6419" w:type="dxa"/>
          </w:tcPr>
          <w:p w14:paraId="25F0DB3B"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460810150961 </w:t>
            </w:r>
          </w:p>
        </w:tc>
      </w:tr>
      <w:tr w:rsidR="0065347A" w:rsidRPr="00321DEC" w14:paraId="0411DF1C" w14:textId="77777777" w:rsidTr="002A2389">
        <w:tc>
          <w:tcPr>
            <w:tcW w:w="3116" w:type="dxa"/>
          </w:tcPr>
          <w:p w14:paraId="26B9C0C4"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Commencing Date </w:t>
            </w:r>
          </w:p>
        </w:tc>
        <w:tc>
          <w:tcPr>
            <w:tcW w:w="6419" w:type="dxa"/>
          </w:tcPr>
          <w:p w14:paraId="3F24DBD2"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23</w:t>
            </w:r>
            <w:r w:rsidRPr="00321DEC">
              <w:rPr>
                <w:rFonts w:ascii="Times New Roman" w:hAnsi="Times New Roman" w:cs="Times New Roman"/>
                <w:vertAlign w:val="superscript"/>
              </w:rPr>
              <w:t>rd</w:t>
            </w:r>
            <w:r w:rsidRPr="00321DEC">
              <w:rPr>
                <w:rFonts w:ascii="Times New Roman" w:hAnsi="Times New Roman" w:cs="Times New Roman"/>
              </w:rPr>
              <w:t xml:space="preserve"> April 1985 </w:t>
            </w:r>
          </w:p>
        </w:tc>
      </w:tr>
      <w:tr w:rsidR="0065347A" w:rsidRPr="00321DEC" w14:paraId="238EF3C6" w14:textId="77777777" w:rsidTr="002A2389">
        <w:tc>
          <w:tcPr>
            <w:tcW w:w="3116" w:type="dxa"/>
          </w:tcPr>
          <w:p w14:paraId="3CA8E427"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Number of Branches </w:t>
            </w:r>
          </w:p>
        </w:tc>
        <w:tc>
          <w:tcPr>
            <w:tcW w:w="6419" w:type="dxa"/>
          </w:tcPr>
          <w:p w14:paraId="364581B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658 </w:t>
            </w:r>
          </w:p>
        </w:tc>
      </w:tr>
      <w:tr w:rsidR="0065347A" w:rsidRPr="00321DEC" w14:paraId="44E9F5A3" w14:textId="77777777" w:rsidTr="002A2389">
        <w:tc>
          <w:tcPr>
            <w:tcW w:w="3116" w:type="dxa"/>
          </w:tcPr>
          <w:p w14:paraId="3E2AAAA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Sponsor Director </w:t>
            </w:r>
          </w:p>
        </w:tc>
        <w:tc>
          <w:tcPr>
            <w:tcW w:w="6419" w:type="dxa"/>
          </w:tcPr>
          <w:p w14:paraId="05E28E16"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Venture Investment Partners Bangladesh Ltd.</w:t>
            </w:r>
          </w:p>
          <w:p w14:paraId="5F71904C"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National Housing and Investment Ltd. and</w:t>
            </w:r>
          </w:p>
          <w:p w14:paraId="22B99731"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Industrial and Infrastructure Development Finance Co. Ltd. </w:t>
            </w:r>
          </w:p>
        </w:tc>
      </w:tr>
      <w:tr w:rsidR="0065347A" w:rsidRPr="00321DEC" w14:paraId="2F476C8E" w14:textId="77777777" w:rsidTr="002A2389">
        <w:tc>
          <w:tcPr>
            <w:tcW w:w="3116" w:type="dxa"/>
          </w:tcPr>
          <w:p w14:paraId="5E8148F4"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Subsidiary </w:t>
            </w:r>
          </w:p>
        </w:tc>
        <w:tc>
          <w:tcPr>
            <w:tcW w:w="6419" w:type="dxa"/>
          </w:tcPr>
          <w:p w14:paraId="20D89135"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NLI Securities Ltd. </w:t>
            </w:r>
          </w:p>
        </w:tc>
      </w:tr>
      <w:tr w:rsidR="0065347A" w:rsidRPr="00321DEC" w14:paraId="384514D8" w14:textId="77777777" w:rsidTr="002A2389">
        <w:tc>
          <w:tcPr>
            <w:tcW w:w="3116" w:type="dxa"/>
          </w:tcPr>
          <w:p w14:paraId="621C564E"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Auditors </w:t>
            </w:r>
          </w:p>
        </w:tc>
        <w:tc>
          <w:tcPr>
            <w:tcW w:w="6419" w:type="dxa"/>
          </w:tcPr>
          <w:p w14:paraId="7427DC8D" w14:textId="77777777" w:rsidR="0065347A" w:rsidRPr="00321DEC" w:rsidRDefault="0065347A" w:rsidP="00321DEC">
            <w:pPr>
              <w:spacing w:line="360" w:lineRule="auto"/>
              <w:jc w:val="both"/>
              <w:rPr>
                <w:rFonts w:ascii="Times New Roman" w:hAnsi="Times New Roman" w:cs="Times New Roman"/>
              </w:rPr>
            </w:pPr>
            <w:r w:rsidRPr="00321DEC">
              <w:rPr>
                <w:rFonts w:ascii="Times New Roman" w:hAnsi="Times New Roman" w:cs="Times New Roman"/>
              </w:rPr>
              <w:t xml:space="preserve">M/S Mahfel Huq &amp; Co. Chartered Accountants </w:t>
            </w:r>
          </w:p>
        </w:tc>
      </w:tr>
    </w:tbl>
    <w:p w14:paraId="4989435F" w14:textId="77777777" w:rsidR="007A7857" w:rsidRPr="00321DEC" w:rsidRDefault="007A7857" w:rsidP="00321DEC">
      <w:pPr>
        <w:spacing w:line="360" w:lineRule="auto"/>
        <w:jc w:val="both"/>
        <w:rPr>
          <w:rFonts w:ascii="Times New Roman" w:hAnsi="Times New Roman" w:cs="Times New Roman"/>
        </w:rPr>
      </w:pPr>
    </w:p>
    <w:p w14:paraId="1C21B507" w14:textId="77777777" w:rsidR="00FD4865" w:rsidRDefault="00FD4865" w:rsidP="00071FFF">
      <w:pPr>
        <w:spacing w:line="360" w:lineRule="auto"/>
        <w:jc w:val="center"/>
        <w:rPr>
          <w:rFonts w:ascii="Times New Roman" w:hAnsi="Times New Roman" w:cs="Times New Roman"/>
          <w:b/>
          <w:bCs/>
        </w:rPr>
      </w:pPr>
    </w:p>
    <w:p w14:paraId="00E608FD" w14:textId="77777777" w:rsidR="00FD4865" w:rsidRDefault="00FD4865" w:rsidP="00071FFF">
      <w:pPr>
        <w:spacing w:line="360" w:lineRule="auto"/>
        <w:jc w:val="center"/>
        <w:rPr>
          <w:rFonts w:ascii="Times New Roman" w:hAnsi="Times New Roman" w:cs="Times New Roman"/>
          <w:b/>
          <w:bCs/>
        </w:rPr>
      </w:pPr>
    </w:p>
    <w:p w14:paraId="7F5F837F" w14:textId="77777777" w:rsidR="00FD4865" w:rsidRDefault="00FD4865" w:rsidP="00071FFF">
      <w:pPr>
        <w:spacing w:line="360" w:lineRule="auto"/>
        <w:jc w:val="center"/>
        <w:rPr>
          <w:rFonts w:ascii="Times New Roman" w:hAnsi="Times New Roman" w:cs="Times New Roman"/>
          <w:b/>
          <w:bCs/>
        </w:rPr>
      </w:pPr>
    </w:p>
    <w:p w14:paraId="7B6C19C2" w14:textId="77777777" w:rsidR="00FD4865" w:rsidRDefault="00FD4865" w:rsidP="00071FFF">
      <w:pPr>
        <w:spacing w:line="360" w:lineRule="auto"/>
        <w:jc w:val="center"/>
        <w:rPr>
          <w:rFonts w:ascii="Times New Roman" w:hAnsi="Times New Roman" w:cs="Times New Roman"/>
          <w:b/>
          <w:bCs/>
        </w:rPr>
      </w:pPr>
    </w:p>
    <w:p w14:paraId="162AE77B" w14:textId="77777777" w:rsidR="00FD4865" w:rsidRDefault="00FD4865" w:rsidP="00071FFF">
      <w:pPr>
        <w:spacing w:line="360" w:lineRule="auto"/>
        <w:jc w:val="center"/>
        <w:rPr>
          <w:rFonts w:ascii="Times New Roman" w:hAnsi="Times New Roman" w:cs="Times New Roman"/>
          <w:b/>
          <w:bCs/>
        </w:rPr>
      </w:pPr>
    </w:p>
    <w:p w14:paraId="01B42F0E" w14:textId="77777777" w:rsidR="00FD4865" w:rsidRDefault="00FD4865" w:rsidP="00071FFF">
      <w:pPr>
        <w:spacing w:line="360" w:lineRule="auto"/>
        <w:jc w:val="center"/>
        <w:rPr>
          <w:rFonts w:ascii="Times New Roman" w:hAnsi="Times New Roman" w:cs="Times New Roman"/>
          <w:b/>
          <w:bCs/>
        </w:rPr>
      </w:pPr>
    </w:p>
    <w:p w14:paraId="0D6CC638" w14:textId="77777777" w:rsidR="00FD4865" w:rsidRDefault="00FD4865" w:rsidP="00071FFF">
      <w:pPr>
        <w:spacing w:line="360" w:lineRule="auto"/>
        <w:jc w:val="center"/>
        <w:rPr>
          <w:rFonts w:ascii="Times New Roman" w:hAnsi="Times New Roman" w:cs="Times New Roman"/>
          <w:b/>
          <w:bCs/>
        </w:rPr>
      </w:pPr>
    </w:p>
    <w:p w14:paraId="055D44BE" w14:textId="77777777" w:rsidR="00820403" w:rsidRDefault="00820403" w:rsidP="00071FFF">
      <w:pPr>
        <w:spacing w:line="360" w:lineRule="auto"/>
        <w:jc w:val="center"/>
        <w:rPr>
          <w:rFonts w:ascii="Times New Roman" w:hAnsi="Times New Roman" w:cs="Times New Roman"/>
          <w:b/>
          <w:bCs/>
        </w:rPr>
      </w:pPr>
    </w:p>
    <w:p w14:paraId="0508FD65" w14:textId="24A5BD56" w:rsidR="00201C57" w:rsidRPr="008D3565" w:rsidRDefault="00201C57" w:rsidP="00006981">
      <w:pPr>
        <w:pStyle w:val="Heading1"/>
      </w:pPr>
      <w:bookmarkStart w:id="18" w:name="_Toc188056525"/>
      <w:r w:rsidRPr="008D3565">
        <w:lastRenderedPageBreak/>
        <w:t>Chapter</w:t>
      </w:r>
      <w:r w:rsidR="00DA3B90" w:rsidRPr="008D3565">
        <w:t xml:space="preserve"> </w:t>
      </w:r>
      <w:r w:rsidR="002A2389" w:rsidRPr="008D3565">
        <w:t>04:</w:t>
      </w:r>
      <w:r w:rsidR="00DA3B90" w:rsidRPr="008D3565">
        <w:t xml:space="preserve"> Analysis</w:t>
      </w:r>
      <w:r w:rsidR="008E7917" w:rsidRPr="008D3565">
        <w:t xml:space="preserve">, Interpretation and Result </w:t>
      </w:r>
      <w:r w:rsidR="00C13C5C" w:rsidRPr="008D3565">
        <w:t>of the Study</w:t>
      </w:r>
      <w:bookmarkEnd w:id="18"/>
    </w:p>
    <w:p w14:paraId="44EDBCFF" w14:textId="43950160" w:rsidR="008E7917" w:rsidRPr="00006981" w:rsidRDefault="006866F9" w:rsidP="006866F9">
      <w:pPr>
        <w:spacing w:line="360" w:lineRule="auto"/>
        <w:rPr>
          <w:rStyle w:val="Heading2Char"/>
        </w:rPr>
      </w:pPr>
      <w:r w:rsidRPr="006866F9">
        <w:rPr>
          <w:rStyle w:val="Heading1Char"/>
          <w:noProof/>
        </w:rPr>
        <w:drawing>
          <wp:anchor distT="0" distB="0" distL="114300" distR="114300" simplePos="0" relativeHeight="251658242" behindDoc="1" locked="0" layoutInCell="1" allowOverlap="1" wp14:anchorId="73E0FADC" wp14:editId="7D238690">
            <wp:simplePos x="0" y="0"/>
            <wp:positionH relativeFrom="column">
              <wp:posOffset>-78740</wp:posOffset>
            </wp:positionH>
            <wp:positionV relativeFrom="paragraph">
              <wp:posOffset>355600</wp:posOffset>
            </wp:positionV>
            <wp:extent cx="3246120" cy="2321560"/>
            <wp:effectExtent l="0" t="0" r="11430" b="2540"/>
            <wp:wrapTight wrapText="bothSides">
              <wp:wrapPolygon edited="0">
                <wp:start x="0" y="0"/>
                <wp:lineTo x="0" y="21446"/>
                <wp:lineTo x="21549" y="21446"/>
                <wp:lineTo x="21549" y="0"/>
                <wp:lineTo x="0" y="0"/>
              </wp:wrapPolygon>
            </wp:wrapTight>
            <wp:docPr id="1" name="Chart 1">
              <a:extLst xmlns:a="http://schemas.openxmlformats.org/drawingml/2006/main">
                <a:ext uri="{FF2B5EF4-FFF2-40B4-BE49-F238E27FC236}">
                  <a16:creationId xmlns:a16="http://schemas.microsoft.com/office/drawing/2014/main" id="{8E48F08F-F21B-2F6E-4A8B-8967FE8E15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A5609" w:rsidRPr="006866F9">
        <w:rPr>
          <w:rStyle w:val="Heading1Char"/>
          <w:noProof/>
        </w:rPr>
        <w:drawing>
          <wp:anchor distT="0" distB="0" distL="114300" distR="114300" simplePos="0" relativeHeight="251658243" behindDoc="1" locked="0" layoutInCell="1" allowOverlap="1" wp14:anchorId="71F81E9E" wp14:editId="1A98DCBF">
            <wp:simplePos x="0" y="0"/>
            <wp:positionH relativeFrom="margin">
              <wp:align>right</wp:align>
            </wp:positionH>
            <wp:positionV relativeFrom="paragraph">
              <wp:posOffset>376555</wp:posOffset>
            </wp:positionV>
            <wp:extent cx="3217545" cy="2316480"/>
            <wp:effectExtent l="0" t="0" r="1905" b="7620"/>
            <wp:wrapTight wrapText="bothSides">
              <wp:wrapPolygon edited="0">
                <wp:start x="0" y="0"/>
                <wp:lineTo x="0" y="21493"/>
                <wp:lineTo x="21485" y="21493"/>
                <wp:lineTo x="21485" y="0"/>
                <wp:lineTo x="0" y="0"/>
              </wp:wrapPolygon>
            </wp:wrapTight>
            <wp:docPr id="2" name="Chart 2">
              <a:extLst xmlns:a="http://schemas.openxmlformats.org/drawingml/2006/main">
                <a:ext uri="{FF2B5EF4-FFF2-40B4-BE49-F238E27FC236}">
                  <a16:creationId xmlns:a16="http://schemas.microsoft.com/office/drawing/2014/main" id="{65CF07F7-FEDB-8E3B-A1BC-7E72420091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bookmarkStart w:id="19" w:name="_Toc188056526"/>
      <w:r w:rsidR="00071FFF" w:rsidRPr="006866F9">
        <w:rPr>
          <w:rStyle w:val="Heading1Char"/>
        </w:rPr>
        <w:t>4</w:t>
      </w:r>
      <w:bookmarkEnd w:id="19"/>
      <w:r w:rsidR="00071FFF" w:rsidRPr="00006981">
        <w:rPr>
          <w:rStyle w:val="Heading2Char"/>
        </w:rPr>
        <w:t xml:space="preserve">. </w:t>
      </w:r>
      <w:r w:rsidR="00742DBA" w:rsidRPr="00006981">
        <w:rPr>
          <w:rStyle w:val="Heading2Char"/>
        </w:rPr>
        <w:t xml:space="preserve">Life Fund </w:t>
      </w:r>
      <w:r w:rsidR="00536A6C" w:rsidRPr="00006981">
        <w:rPr>
          <w:rStyle w:val="Heading2Char"/>
        </w:rPr>
        <w:t>Trends and Growth</w:t>
      </w:r>
    </w:p>
    <w:p w14:paraId="14E792B0" w14:textId="77777777" w:rsidR="006866F9" w:rsidRDefault="006866F9" w:rsidP="00321DEC">
      <w:pPr>
        <w:spacing w:line="360" w:lineRule="auto"/>
        <w:jc w:val="both"/>
        <w:rPr>
          <w:rFonts w:ascii="Times New Roman" w:hAnsi="Times New Roman" w:cs="Times New Roman"/>
          <w:b/>
          <w:bCs/>
        </w:rPr>
      </w:pPr>
    </w:p>
    <w:p w14:paraId="3DF21157" w14:textId="77777777" w:rsidR="008D3565" w:rsidRDefault="008D3565" w:rsidP="00321DEC">
      <w:pPr>
        <w:spacing w:line="360" w:lineRule="auto"/>
        <w:jc w:val="both"/>
        <w:rPr>
          <w:rFonts w:ascii="Times New Roman" w:hAnsi="Times New Roman" w:cs="Times New Roman"/>
        </w:rPr>
      </w:pPr>
    </w:p>
    <w:p w14:paraId="3463FCA6" w14:textId="3E4FB32F" w:rsidR="008D3565" w:rsidRDefault="00FD4865" w:rsidP="006866F9">
      <w:pPr>
        <w:spacing w:line="360" w:lineRule="auto"/>
        <w:rPr>
          <w:rFonts w:ascii="Times New Roman" w:hAnsi="Times New Roman" w:cs="Times New Roman"/>
          <w:b/>
          <w:bCs/>
        </w:rPr>
      </w:pPr>
      <w:r w:rsidRPr="00006981">
        <w:rPr>
          <w:rStyle w:val="Heading2Char"/>
          <w:noProof/>
        </w:rPr>
        <w:drawing>
          <wp:anchor distT="0" distB="0" distL="114300" distR="114300" simplePos="0" relativeHeight="251661327" behindDoc="1" locked="0" layoutInCell="1" allowOverlap="1" wp14:anchorId="0E5B672D" wp14:editId="6391DE2C">
            <wp:simplePos x="0" y="0"/>
            <wp:positionH relativeFrom="margin">
              <wp:align>right</wp:align>
            </wp:positionH>
            <wp:positionV relativeFrom="paragraph">
              <wp:posOffset>476250</wp:posOffset>
            </wp:positionV>
            <wp:extent cx="3242945" cy="2438400"/>
            <wp:effectExtent l="0" t="0" r="14605" b="0"/>
            <wp:wrapTight wrapText="bothSides">
              <wp:wrapPolygon edited="0">
                <wp:start x="0" y="0"/>
                <wp:lineTo x="0" y="21431"/>
                <wp:lineTo x="21570" y="21431"/>
                <wp:lineTo x="21570" y="0"/>
                <wp:lineTo x="0" y="0"/>
              </wp:wrapPolygon>
            </wp:wrapTight>
            <wp:docPr id="728513222" name="Chart 728513222">
              <a:extLst xmlns:a="http://schemas.openxmlformats.org/drawingml/2006/main">
                <a:ext uri="{FF2B5EF4-FFF2-40B4-BE49-F238E27FC236}">
                  <a16:creationId xmlns:a16="http://schemas.microsoft.com/office/drawing/2014/main" id="{BF8BFB4A-F2BC-5896-68E1-A06FF1DDE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006981">
        <w:rPr>
          <w:rStyle w:val="Heading2Char"/>
          <w:noProof/>
        </w:rPr>
        <w:drawing>
          <wp:anchor distT="0" distB="0" distL="114300" distR="114300" simplePos="0" relativeHeight="251660303" behindDoc="1" locked="0" layoutInCell="1" allowOverlap="1" wp14:anchorId="6E0519FE" wp14:editId="54C32793">
            <wp:simplePos x="0" y="0"/>
            <wp:positionH relativeFrom="margin">
              <wp:posOffset>-88900</wp:posOffset>
            </wp:positionH>
            <wp:positionV relativeFrom="paragraph">
              <wp:posOffset>474980</wp:posOffset>
            </wp:positionV>
            <wp:extent cx="3237865" cy="2438400"/>
            <wp:effectExtent l="0" t="0" r="635" b="0"/>
            <wp:wrapTight wrapText="bothSides">
              <wp:wrapPolygon edited="0">
                <wp:start x="0" y="0"/>
                <wp:lineTo x="0" y="21431"/>
                <wp:lineTo x="21477" y="21431"/>
                <wp:lineTo x="21477" y="0"/>
                <wp:lineTo x="0" y="0"/>
              </wp:wrapPolygon>
            </wp:wrapTight>
            <wp:docPr id="1891019505" name="Chart 1891019505">
              <a:extLst xmlns:a="http://schemas.openxmlformats.org/drawingml/2006/main">
                <a:ext uri="{FF2B5EF4-FFF2-40B4-BE49-F238E27FC236}">
                  <a16:creationId xmlns:a16="http://schemas.microsoft.com/office/drawing/2014/main" id="{B9C507AB-C48A-A507-EA5D-13EDCA78DA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bookmarkStart w:id="20" w:name="_Toc188056527"/>
      <w:r w:rsidRPr="00006981">
        <w:rPr>
          <w:rStyle w:val="Heading2Char"/>
        </w:rPr>
        <w:t>4.1 Gross Premium &amp; Claims Paid</w:t>
      </w:r>
      <w:bookmarkEnd w:id="20"/>
      <w:r w:rsidRPr="00321DEC">
        <w:rPr>
          <w:rFonts w:ascii="Times New Roman" w:hAnsi="Times New Roman" w:cs="Times New Roman"/>
          <w:b/>
          <w:bCs/>
        </w:rPr>
        <w:t>:</w:t>
      </w:r>
    </w:p>
    <w:p w14:paraId="17879831" w14:textId="1AD9E647" w:rsidR="004500F4" w:rsidRPr="00321DEC" w:rsidRDefault="008F630B" w:rsidP="00321DEC">
      <w:pPr>
        <w:spacing w:line="360" w:lineRule="auto"/>
        <w:jc w:val="both"/>
        <w:rPr>
          <w:rFonts w:ascii="Times New Roman" w:hAnsi="Times New Roman" w:cs="Times New Roman"/>
          <w:b/>
          <w:bCs/>
        </w:rPr>
      </w:pPr>
      <w:r w:rsidRPr="00321DEC">
        <w:rPr>
          <w:rFonts w:ascii="Times New Roman" w:hAnsi="Times New Roman" w:cs="Times New Roman"/>
          <w:b/>
          <w:bCs/>
        </w:rPr>
        <w:t>Trend Overview:</w:t>
      </w:r>
    </w:p>
    <w:p w14:paraId="2F3E7DCE" w14:textId="24CF98B5" w:rsidR="00625581" w:rsidRPr="00321DEC" w:rsidRDefault="0096659A" w:rsidP="00321DEC">
      <w:pPr>
        <w:spacing w:line="360" w:lineRule="auto"/>
        <w:jc w:val="both"/>
        <w:rPr>
          <w:rFonts w:ascii="Times New Roman" w:hAnsi="Times New Roman" w:cs="Times New Roman"/>
        </w:rPr>
      </w:pPr>
      <w:r w:rsidRPr="00321DEC">
        <w:rPr>
          <w:rFonts w:ascii="Times New Roman" w:hAnsi="Times New Roman" w:cs="Times New Roman"/>
        </w:rPr>
        <w:tab/>
      </w:r>
      <w:r w:rsidR="004500F4" w:rsidRPr="00321DEC">
        <w:rPr>
          <w:rFonts w:ascii="Times New Roman" w:hAnsi="Times New Roman" w:cs="Times New Roman"/>
        </w:rPr>
        <w:t>F</w:t>
      </w:r>
      <w:r w:rsidR="008F630B" w:rsidRPr="00321DEC">
        <w:rPr>
          <w:rFonts w:ascii="Times New Roman" w:hAnsi="Times New Roman" w:cs="Times New Roman"/>
        </w:rPr>
        <w:t xml:space="preserve">rom 2015 to 2022, both gross premiums and claims paid by NLI showed an overall increasing trend. Gross premiums increased from BDT 7,815.89 million in 2015 to BDT 16,158.63 million in 2022, while claims paid escalated from BDT 6,518.19 million to BDT 10,520.75 million over the same </w:t>
      </w:r>
      <w:r w:rsidR="00625581" w:rsidRPr="00321DEC">
        <w:rPr>
          <w:rFonts w:ascii="Times New Roman" w:hAnsi="Times New Roman" w:cs="Times New Roman"/>
        </w:rPr>
        <w:t xml:space="preserve">period. </w:t>
      </w:r>
    </w:p>
    <w:p w14:paraId="2946DE5D" w14:textId="1A147C6E" w:rsidR="0046636F" w:rsidRDefault="00634892" w:rsidP="00321DEC">
      <w:pPr>
        <w:spacing w:line="360" w:lineRule="auto"/>
        <w:jc w:val="both"/>
        <w:rPr>
          <w:rFonts w:ascii="Times New Roman" w:hAnsi="Times New Roman" w:cs="Times New Roman"/>
        </w:rPr>
      </w:pPr>
      <w:r w:rsidRPr="00321DEC">
        <w:rPr>
          <w:rFonts w:ascii="Times New Roman" w:hAnsi="Times New Roman" w:cs="Times New Roman"/>
        </w:rPr>
        <w:t xml:space="preserve">force efficiency or a strategic shift towards more cost-effective sales </w:t>
      </w:r>
      <w:r w:rsidR="007A608E" w:rsidRPr="00321DEC">
        <w:rPr>
          <w:rFonts w:ascii="Times New Roman" w:hAnsi="Times New Roman" w:cs="Times New Roman"/>
        </w:rPr>
        <w:t xml:space="preserve">practices. </w:t>
      </w:r>
    </w:p>
    <w:p w14:paraId="343B7D83" w14:textId="35717DC7" w:rsidR="00FD4865" w:rsidRPr="00FD4865" w:rsidRDefault="00FD4865" w:rsidP="00006981">
      <w:pPr>
        <w:pStyle w:val="Heading2"/>
      </w:pPr>
      <w:bookmarkStart w:id="21" w:name="_Toc188056528"/>
      <w:r>
        <w:lastRenderedPageBreak/>
        <w:t xml:space="preserve">4.2 </w:t>
      </w:r>
      <w:r w:rsidRPr="00FD4865">
        <w:t>Category of Shareholders</w:t>
      </w:r>
      <w:bookmarkEnd w:id="21"/>
    </w:p>
    <w:p w14:paraId="418A04E0" w14:textId="49D2A0C9" w:rsidR="005520FB" w:rsidRPr="00321DEC" w:rsidRDefault="008157B7" w:rsidP="00321DEC">
      <w:pPr>
        <w:spacing w:line="360" w:lineRule="auto"/>
        <w:jc w:val="both"/>
        <w:rPr>
          <w:rFonts w:ascii="Times New Roman" w:hAnsi="Times New Roman" w:cs="Times New Roman"/>
        </w:rPr>
      </w:pPr>
      <w:r w:rsidRPr="00321DEC">
        <w:rPr>
          <w:rFonts w:ascii="Times New Roman" w:hAnsi="Times New Roman" w:cs="Times New Roman"/>
          <w:noProof/>
        </w:rPr>
        <w:drawing>
          <wp:anchor distT="0" distB="0" distL="114300" distR="114300" simplePos="0" relativeHeight="251658250" behindDoc="1" locked="0" layoutInCell="1" allowOverlap="1" wp14:anchorId="4C811E0B" wp14:editId="0BB0A031">
            <wp:simplePos x="0" y="0"/>
            <wp:positionH relativeFrom="margin">
              <wp:align>center</wp:align>
            </wp:positionH>
            <wp:positionV relativeFrom="paragraph">
              <wp:posOffset>75613</wp:posOffset>
            </wp:positionV>
            <wp:extent cx="3827145" cy="2649220"/>
            <wp:effectExtent l="0" t="0" r="1905" b="17780"/>
            <wp:wrapTight wrapText="bothSides">
              <wp:wrapPolygon edited="0">
                <wp:start x="0" y="0"/>
                <wp:lineTo x="0" y="21590"/>
                <wp:lineTo x="21503" y="21590"/>
                <wp:lineTo x="21503" y="0"/>
                <wp:lineTo x="0" y="0"/>
              </wp:wrapPolygon>
            </wp:wrapTight>
            <wp:docPr id="12" name="Chart 12">
              <a:extLst xmlns:a="http://schemas.openxmlformats.org/drawingml/2006/main">
                <a:ext uri="{FF2B5EF4-FFF2-40B4-BE49-F238E27FC236}">
                  <a16:creationId xmlns:a16="http://schemas.microsoft.com/office/drawing/2014/main" id="{B298D162-41E1-2F3C-D1B5-B2E0A6B69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2F3F0C" w:rsidRPr="00321DEC">
        <w:rPr>
          <w:rFonts w:ascii="Times New Roman" w:hAnsi="Times New Roman" w:cs="Times New Roman"/>
        </w:rPr>
        <w:tab/>
      </w:r>
      <w:r w:rsidR="002F3F0C" w:rsidRPr="00321DEC">
        <w:rPr>
          <w:rFonts w:ascii="Times New Roman" w:hAnsi="Times New Roman" w:cs="Times New Roman"/>
        </w:rPr>
        <w:tab/>
      </w:r>
    </w:p>
    <w:p w14:paraId="213937E4" w14:textId="77777777" w:rsidR="008157B7" w:rsidRDefault="00F609BA" w:rsidP="00321DEC">
      <w:pPr>
        <w:spacing w:line="360" w:lineRule="auto"/>
        <w:jc w:val="both"/>
        <w:rPr>
          <w:rFonts w:ascii="Times New Roman" w:hAnsi="Times New Roman" w:cs="Times New Roman"/>
        </w:rPr>
      </w:pPr>
      <w:r w:rsidRPr="00321DEC">
        <w:rPr>
          <w:rFonts w:ascii="Times New Roman" w:hAnsi="Times New Roman" w:cs="Times New Roman"/>
        </w:rPr>
        <w:tab/>
      </w:r>
    </w:p>
    <w:p w14:paraId="50E7457A" w14:textId="77777777" w:rsidR="008157B7" w:rsidRDefault="008157B7" w:rsidP="00321DEC">
      <w:pPr>
        <w:spacing w:line="360" w:lineRule="auto"/>
        <w:jc w:val="both"/>
        <w:rPr>
          <w:rFonts w:ascii="Times New Roman" w:hAnsi="Times New Roman" w:cs="Times New Roman"/>
        </w:rPr>
      </w:pPr>
    </w:p>
    <w:p w14:paraId="521167C8" w14:textId="77777777" w:rsidR="008157B7" w:rsidRDefault="008157B7" w:rsidP="00321DEC">
      <w:pPr>
        <w:spacing w:line="360" w:lineRule="auto"/>
        <w:jc w:val="both"/>
        <w:rPr>
          <w:rFonts w:ascii="Times New Roman" w:hAnsi="Times New Roman" w:cs="Times New Roman"/>
        </w:rPr>
      </w:pPr>
    </w:p>
    <w:p w14:paraId="79498361" w14:textId="77777777" w:rsidR="008157B7" w:rsidRDefault="008157B7" w:rsidP="00321DEC">
      <w:pPr>
        <w:spacing w:line="360" w:lineRule="auto"/>
        <w:jc w:val="both"/>
        <w:rPr>
          <w:rFonts w:ascii="Times New Roman" w:hAnsi="Times New Roman" w:cs="Times New Roman"/>
        </w:rPr>
      </w:pPr>
    </w:p>
    <w:p w14:paraId="4739D3E4" w14:textId="77777777" w:rsidR="008157B7" w:rsidRDefault="008157B7" w:rsidP="00321DEC">
      <w:pPr>
        <w:spacing w:line="360" w:lineRule="auto"/>
        <w:jc w:val="both"/>
        <w:rPr>
          <w:rFonts w:ascii="Times New Roman" w:hAnsi="Times New Roman" w:cs="Times New Roman"/>
        </w:rPr>
      </w:pPr>
    </w:p>
    <w:p w14:paraId="01B85D03" w14:textId="77777777" w:rsidR="008157B7" w:rsidRDefault="008157B7" w:rsidP="00321DEC">
      <w:pPr>
        <w:spacing w:line="360" w:lineRule="auto"/>
        <w:jc w:val="both"/>
        <w:rPr>
          <w:rFonts w:ascii="Times New Roman" w:hAnsi="Times New Roman" w:cs="Times New Roman"/>
        </w:rPr>
      </w:pPr>
    </w:p>
    <w:p w14:paraId="39651CF7" w14:textId="77777777" w:rsidR="008157B7" w:rsidRDefault="008157B7" w:rsidP="00321DEC">
      <w:pPr>
        <w:spacing w:line="360" w:lineRule="auto"/>
        <w:jc w:val="both"/>
        <w:rPr>
          <w:rFonts w:ascii="Times New Roman" w:hAnsi="Times New Roman" w:cs="Times New Roman"/>
        </w:rPr>
      </w:pPr>
    </w:p>
    <w:p w14:paraId="7E30EB4B" w14:textId="77777777" w:rsidR="008157B7" w:rsidRDefault="008157B7" w:rsidP="00321DEC">
      <w:pPr>
        <w:spacing w:line="360" w:lineRule="auto"/>
        <w:jc w:val="both"/>
        <w:rPr>
          <w:rFonts w:ascii="Times New Roman" w:hAnsi="Times New Roman" w:cs="Times New Roman"/>
        </w:rPr>
      </w:pPr>
    </w:p>
    <w:p w14:paraId="25243D2D" w14:textId="5DF3041F" w:rsidR="008157B7" w:rsidRPr="00FD4865" w:rsidRDefault="008157B7" w:rsidP="00321DEC">
      <w:pPr>
        <w:spacing w:line="360" w:lineRule="auto"/>
        <w:jc w:val="both"/>
        <w:rPr>
          <w:rFonts w:ascii="Times New Roman" w:hAnsi="Times New Roman" w:cs="Times New Roman"/>
        </w:rPr>
      </w:pPr>
      <w:r>
        <w:rPr>
          <w:rFonts w:ascii="Times New Roman" w:hAnsi="Times New Roman" w:cs="Times New Roman"/>
        </w:rPr>
        <w:tab/>
      </w:r>
      <w:r w:rsidR="005F1688" w:rsidRPr="00321DEC">
        <w:rPr>
          <w:rFonts w:ascii="Times New Roman" w:hAnsi="Times New Roman" w:cs="Times New Roman"/>
        </w:rPr>
        <w:t xml:space="preserve">The analysis of the category of shareholders for National Life Insurance Company Ltd. As of December 31, 2022, sheds light on the company’s ownership structure and potential influence on its governance and strategic direction. </w:t>
      </w:r>
    </w:p>
    <w:p w14:paraId="0CE74ACF" w14:textId="36385964" w:rsidR="00E419DB" w:rsidRPr="00321DEC" w:rsidRDefault="008157B7" w:rsidP="00006981">
      <w:pPr>
        <w:pStyle w:val="Heading2"/>
      </w:pPr>
      <w:bookmarkStart w:id="22" w:name="_Toc188056529"/>
      <w:r>
        <w:t>4.</w:t>
      </w:r>
      <w:r w:rsidR="00FD4865">
        <w:t>3</w:t>
      </w:r>
      <w:r>
        <w:t xml:space="preserve"> </w:t>
      </w:r>
      <w:r w:rsidR="00612D3C" w:rsidRPr="00321DEC">
        <w:t>RoA and RoE</w:t>
      </w:r>
      <w:bookmarkEnd w:id="22"/>
    </w:p>
    <w:p w14:paraId="324253E4" w14:textId="0C889D92" w:rsidR="00811F72" w:rsidRPr="00321DEC" w:rsidRDefault="008157B7" w:rsidP="00321DEC">
      <w:pPr>
        <w:spacing w:line="360" w:lineRule="auto"/>
        <w:jc w:val="both"/>
        <w:rPr>
          <w:rFonts w:ascii="Times New Roman" w:hAnsi="Times New Roman" w:cs="Times New Roman"/>
        </w:rPr>
      </w:pPr>
      <w:r w:rsidRPr="00321DEC">
        <w:rPr>
          <w:rFonts w:ascii="Times New Roman" w:hAnsi="Times New Roman" w:cs="Times New Roman"/>
          <w:noProof/>
        </w:rPr>
        <w:drawing>
          <wp:anchor distT="0" distB="0" distL="114300" distR="114300" simplePos="0" relativeHeight="251658251" behindDoc="1" locked="0" layoutInCell="1" allowOverlap="1" wp14:anchorId="5E3044A2" wp14:editId="26C091F3">
            <wp:simplePos x="0" y="0"/>
            <wp:positionH relativeFrom="margin">
              <wp:align>center</wp:align>
            </wp:positionH>
            <wp:positionV relativeFrom="paragraph">
              <wp:posOffset>19294</wp:posOffset>
            </wp:positionV>
            <wp:extent cx="5075555" cy="2719705"/>
            <wp:effectExtent l="0" t="0" r="10795" b="4445"/>
            <wp:wrapTight wrapText="bothSides">
              <wp:wrapPolygon edited="0">
                <wp:start x="0" y="0"/>
                <wp:lineTo x="0" y="21484"/>
                <wp:lineTo x="21565" y="21484"/>
                <wp:lineTo x="21565" y="0"/>
                <wp:lineTo x="0" y="0"/>
              </wp:wrapPolygon>
            </wp:wrapTight>
            <wp:docPr id="13" name="Chart 13">
              <a:extLst xmlns:a="http://schemas.openxmlformats.org/drawingml/2006/main">
                <a:ext uri="{FF2B5EF4-FFF2-40B4-BE49-F238E27FC236}">
                  <a16:creationId xmlns:a16="http://schemas.microsoft.com/office/drawing/2014/main" id="{0C589DD7-48C8-FAC5-E6DB-937D97C7E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35991C28" w14:textId="1922DF72" w:rsidR="00811F72" w:rsidRPr="00321DEC" w:rsidRDefault="00811F72" w:rsidP="00321DEC">
      <w:pPr>
        <w:spacing w:line="360" w:lineRule="auto"/>
        <w:jc w:val="both"/>
        <w:rPr>
          <w:rFonts w:ascii="Times New Roman" w:hAnsi="Times New Roman" w:cs="Times New Roman"/>
          <w:b/>
          <w:bCs/>
        </w:rPr>
      </w:pPr>
    </w:p>
    <w:p w14:paraId="0184FB1D" w14:textId="77777777" w:rsidR="008157B7" w:rsidRDefault="00225106" w:rsidP="00321DEC">
      <w:pPr>
        <w:spacing w:line="360" w:lineRule="auto"/>
        <w:jc w:val="both"/>
        <w:rPr>
          <w:rFonts w:ascii="Times New Roman" w:hAnsi="Times New Roman" w:cs="Times New Roman"/>
        </w:rPr>
      </w:pPr>
      <w:r w:rsidRPr="00321DEC">
        <w:rPr>
          <w:rFonts w:ascii="Times New Roman" w:hAnsi="Times New Roman" w:cs="Times New Roman"/>
        </w:rPr>
        <w:tab/>
      </w:r>
    </w:p>
    <w:p w14:paraId="1E11B8FF" w14:textId="77777777" w:rsidR="008157B7" w:rsidRDefault="008157B7" w:rsidP="00321DEC">
      <w:pPr>
        <w:spacing w:line="360" w:lineRule="auto"/>
        <w:jc w:val="both"/>
        <w:rPr>
          <w:rFonts w:ascii="Times New Roman" w:hAnsi="Times New Roman" w:cs="Times New Roman"/>
        </w:rPr>
      </w:pPr>
    </w:p>
    <w:p w14:paraId="045860D9" w14:textId="77777777" w:rsidR="008157B7" w:rsidRDefault="008157B7" w:rsidP="00321DEC">
      <w:pPr>
        <w:spacing w:line="360" w:lineRule="auto"/>
        <w:jc w:val="both"/>
        <w:rPr>
          <w:rFonts w:ascii="Times New Roman" w:hAnsi="Times New Roman" w:cs="Times New Roman"/>
        </w:rPr>
      </w:pPr>
    </w:p>
    <w:p w14:paraId="7A38D36F" w14:textId="77777777" w:rsidR="008157B7" w:rsidRDefault="008157B7" w:rsidP="00321DEC">
      <w:pPr>
        <w:spacing w:line="360" w:lineRule="auto"/>
        <w:jc w:val="both"/>
        <w:rPr>
          <w:rFonts w:ascii="Times New Roman" w:hAnsi="Times New Roman" w:cs="Times New Roman"/>
        </w:rPr>
      </w:pPr>
    </w:p>
    <w:p w14:paraId="57462439" w14:textId="5F9113F9" w:rsidR="00E419DB" w:rsidRPr="00321DEC" w:rsidRDefault="00E419DB" w:rsidP="00321DEC">
      <w:pPr>
        <w:spacing w:line="360" w:lineRule="auto"/>
        <w:jc w:val="both"/>
        <w:rPr>
          <w:rFonts w:ascii="Times New Roman" w:hAnsi="Times New Roman" w:cs="Times New Roman"/>
        </w:rPr>
      </w:pPr>
    </w:p>
    <w:p w14:paraId="4DDA0B90" w14:textId="77777777" w:rsidR="00705325" w:rsidRPr="00321DEC" w:rsidRDefault="00705325" w:rsidP="00321DEC">
      <w:pPr>
        <w:spacing w:line="360" w:lineRule="auto"/>
        <w:jc w:val="both"/>
        <w:rPr>
          <w:rFonts w:ascii="Times New Roman" w:hAnsi="Times New Roman" w:cs="Times New Roman"/>
          <w:b/>
          <w:bCs/>
        </w:rPr>
      </w:pPr>
    </w:p>
    <w:p w14:paraId="41295A0A" w14:textId="77777777" w:rsidR="008157B7" w:rsidRDefault="008157B7" w:rsidP="00321DEC">
      <w:pPr>
        <w:spacing w:line="360" w:lineRule="auto"/>
        <w:jc w:val="both"/>
        <w:rPr>
          <w:rFonts w:ascii="Times New Roman" w:hAnsi="Times New Roman" w:cs="Times New Roman"/>
          <w:b/>
          <w:bCs/>
        </w:rPr>
      </w:pPr>
    </w:p>
    <w:p w14:paraId="73FD559A" w14:textId="77777777" w:rsidR="006866F9" w:rsidRDefault="006866F9" w:rsidP="00FD4865">
      <w:pPr>
        <w:spacing w:line="360" w:lineRule="auto"/>
        <w:ind w:firstLine="720"/>
        <w:jc w:val="both"/>
        <w:rPr>
          <w:rFonts w:ascii="Times New Roman" w:hAnsi="Times New Roman" w:cs="Times New Roman"/>
          <w:b/>
          <w:bCs/>
        </w:rPr>
      </w:pPr>
    </w:p>
    <w:p w14:paraId="79C49CEB" w14:textId="56A78745" w:rsidR="003D42FC" w:rsidRPr="008157B7" w:rsidRDefault="008157B7" w:rsidP="00FD4865">
      <w:pPr>
        <w:spacing w:line="360" w:lineRule="auto"/>
        <w:ind w:firstLine="720"/>
        <w:jc w:val="both"/>
        <w:rPr>
          <w:rFonts w:ascii="Times New Roman" w:hAnsi="Times New Roman" w:cs="Times New Roman"/>
          <w:b/>
          <w:bCs/>
        </w:rPr>
      </w:pPr>
      <w:bookmarkStart w:id="23" w:name="_Toc188056530"/>
      <w:r w:rsidRPr="00006981">
        <w:rPr>
          <w:rStyle w:val="Heading2Char"/>
        </w:rPr>
        <w:lastRenderedPageBreak/>
        <w:t>4.</w:t>
      </w:r>
      <w:r w:rsidR="00FD4865" w:rsidRPr="00006981">
        <w:rPr>
          <w:rStyle w:val="Heading2Char"/>
        </w:rPr>
        <w:t xml:space="preserve">4 </w:t>
      </w:r>
      <w:r w:rsidR="00F50BB3" w:rsidRPr="00006981">
        <w:rPr>
          <w:rStyle w:val="Heading2Char"/>
        </w:rPr>
        <w:t xml:space="preserve">Economic </w:t>
      </w:r>
      <w:r w:rsidR="002A2389" w:rsidRPr="00006981">
        <w:rPr>
          <w:rStyle w:val="Heading2Char"/>
        </w:rPr>
        <w:t>Value-Added</w:t>
      </w:r>
      <w:r w:rsidR="00F50BB3" w:rsidRPr="00006981">
        <w:rPr>
          <w:rStyle w:val="Heading2Char"/>
        </w:rPr>
        <w:t xml:space="preserve"> Statement:</w:t>
      </w:r>
      <w:bookmarkEnd w:id="23"/>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321DEC">
        <w:rPr>
          <w:rFonts w:ascii="Times New Roman" w:hAnsi="Times New Roman" w:cs="Times New Roman"/>
          <w:b/>
          <w:bCs/>
        </w:rPr>
        <w:tab/>
      </w:r>
      <w:r w:rsidR="00264EDD" w:rsidRPr="008157B7">
        <w:rPr>
          <w:rFonts w:ascii="Times New Roman" w:hAnsi="Times New Roman" w:cs="Times New Roman"/>
          <w:b/>
          <w:bCs/>
          <w:sz w:val="20"/>
          <w:szCs w:val="20"/>
        </w:rPr>
        <w:t>BDT i</w:t>
      </w:r>
      <w:r w:rsidR="00FD4865">
        <w:rPr>
          <w:rFonts w:ascii="Times New Roman" w:hAnsi="Times New Roman" w:cs="Times New Roman"/>
          <w:b/>
          <w:bCs/>
          <w:sz w:val="20"/>
          <w:szCs w:val="20"/>
        </w:rPr>
        <w:t xml:space="preserve">n </w:t>
      </w:r>
      <w:r w:rsidR="00264EDD" w:rsidRPr="008157B7">
        <w:rPr>
          <w:rFonts w:ascii="Times New Roman" w:hAnsi="Times New Roman" w:cs="Times New Roman"/>
          <w:b/>
          <w:bCs/>
          <w:sz w:val="20"/>
          <w:szCs w:val="20"/>
        </w:rPr>
        <w:t xml:space="preserve">Million </w:t>
      </w:r>
    </w:p>
    <w:tbl>
      <w:tblPr>
        <w:tblStyle w:val="GridTable4-Accent1"/>
        <w:tblW w:w="0" w:type="auto"/>
        <w:tblLook w:val="04A0" w:firstRow="1" w:lastRow="0" w:firstColumn="1" w:lastColumn="0" w:noHBand="0" w:noVBand="1"/>
      </w:tblPr>
      <w:tblGrid>
        <w:gridCol w:w="1500"/>
        <w:gridCol w:w="1500"/>
        <w:gridCol w:w="1499"/>
        <w:gridCol w:w="1499"/>
        <w:gridCol w:w="1499"/>
        <w:gridCol w:w="2578"/>
      </w:tblGrid>
      <w:tr w:rsidR="000D7BF1" w:rsidRPr="008157B7" w14:paraId="3A44E64C" w14:textId="77777777" w:rsidTr="008157B7">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00" w:type="dxa"/>
          </w:tcPr>
          <w:p w14:paraId="06C4DCAF" w14:textId="77777777" w:rsidR="000D7BF1" w:rsidRPr="008157B7" w:rsidRDefault="00D369EA" w:rsidP="00321DEC">
            <w:pPr>
              <w:spacing w:line="360" w:lineRule="auto"/>
              <w:jc w:val="both"/>
              <w:rPr>
                <w:rFonts w:ascii="Times New Roman" w:hAnsi="Times New Roman" w:cs="Times New Roman"/>
                <w:sz w:val="20"/>
                <w:szCs w:val="20"/>
              </w:rPr>
            </w:pPr>
            <w:r w:rsidRPr="008157B7">
              <w:rPr>
                <w:rFonts w:ascii="Times New Roman" w:hAnsi="Times New Roman" w:cs="Times New Roman"/>
                <w:sz w:val="20"/>
                <w:szCs w:val="20"/>
              </w:rPr>
              <w:t>Particulars</w:t>
            </w:r>
          </w:p>
        </w:tc>
        <w:tc>
          <w:tcPr>
            <w:tcW w:w="1500" w:type="dxa"/>
          </w:tcPr>
          <w:p w14:paraId="4952DC0C"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2018</w:t>
            </w:r>
          </w:p>
        </w:tc>
        <w:tc>
          <w:tcPr>
            <w:tcW w:w="1499" w:type="dxa"/>
          </w:tcPr>
          <w:p w14:paraId="0AD0943A"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2019</w:t>
            </w:r>
          </w:p>
        </w:tc>
        <w:tc>
          <w:tcPr>
            <w:tcW w:w="1499" w:type="dxa"/>
          </w:tcPr>
          <w:p w14:paraId="7ED31CB4"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2020</w:t>
            </w:r>
          </w:p>
        </w:tc>
        <w:tc>
          <w:tcPr>
            <w:tcW w:w="1499" w:type="dxa"/>
          </w:tcPr>
          <w:p w14:paraId="040128F8" w14:textId="77777777" w:rsidR="000D7BF1"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157B7">
              <w:rPr>
                <w:rFonts w:ascii="Times New Roman" w:hAnsi="Times New Roman" w:cs="Times New Roman"/>
                <w:b w:val="0"/>
                <w:bCs w:val="0"/>
                <w:sz w:val="20"/>
                <w:szCs w:val="20"/>
              </w:rPr>
              <w:t>2021</w:t>
            </w:r>
          </w:p>
        </w:tc>
        <w:tc>
          <w:tcPr>
            <w:tcW w:w="2578" w:type="dxa"/>
          </w:tcPr>
          <w:p w14:paraId="3B8D6412" w14:textId="77777777" w:rsidR="000F528E" w:rsidRPr="008157B7" w:rsidRDefault="000F528E" w:rsidP="00321DE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157B7">
              <w:rPr>
                <w:rFonts w:ascii="Times New Roman" w:hAnsi="Times New Roman" w:cs="Times New Roman"/>
                <w:b w:val="0"/>
                <w:bCs w:val="0"/>
                <w:sz w:val="20"/>
                <w:szCs w:val="20"/>
              </w:rPr>
              <w:t>2022</w:t>
            </w:r>
          </w:p>
        </w:tc>
      </w:tr>
      <w:tr w:rsidR="000D7BF1" w:rsidRPr="008157B7" w14:paraId="3F670838" w14:textId="77777777" w:rsidTr="008157B7">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500" w:type="dxa"/>
          </w:tcPr>
          <w:p w14:paraId="0043D0B3" w14:textId="5B6450B5" w:rsidR="000D7BF1" w:rsidRPr="008157B7" w:rsidRDefault="00D241A1"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Market </w:t>
            </w:r>
            <w:r w:rsidR="008157B7" w:rsidRPr="008157B7">
              <w:rPr>
                <w:rFonts w:ascii="Times New Roman" w:hAnsi="Times New Roman" w:cs="Times New Roman"/>
                <w:b w:val="0"/>
                <w:bCs w:val="0"/>
                <w:sz w:val="20"/>
                <w:szCs w:val="20"/>
              </w:rPr>
              <w:t>value of</w:t>
            </w:r>
            <w:r w:rsidRPr="008157B7">
              <w:rPr>
                <w:rFonts w:ascii="Times New Roman" w:hAnsi="Times New Roman" w:cs="Times New Roman"/>
                <w:b w:val="0"/>
                <w:bCs w:val="0"/>
                <w:sz w:val="20"/>
                <w:szCs w:val="20"/>
              </w:rPr>
              <w:t xml:space="preserve"> total</w:t>
            </w:r>
            <w:r w:rsidR="00B21A57" w:rsidRPr="008157B7">
              <w:rPr>
                <w:rFonts w:ascii="Times New Roman" w:hAnsi="Times New Roman" w:cs="Times New Roman"/>
                <w:b w:val="0"/>
                <w:bCs w:val="0"/>
                <w:sz w:val="20"/>
                <w:szCs w:val="20"/>
              </w:rPr>
              <w:t xml:space="preserve"> </w:t>
            </w:r>
            <w:r w:rsidRPr="008157B7">
              <w:rPr>
                <w:rFonts w:ascii="Times New Roman" w:hAnsi="Times New Roman" w:cs="Times New Roman"/>
                <w:b w:val="0"/>
                <w:bCs w:val="0"/>
                <w:sz w:val="20"/>
                <w:szCs w:val="20"/>
              </w:rPr>
              <w:t xml:space="preserve">Equity </w:t>
            </w:r>
          </w:p>
        </w:tc>
        <w:tc>
          <w:tcPr>
            <w:tcW w:w="1500" w:type="dxa"/>
          </w:tcPr>
          <w:p w14:paraId="44AA0365" w14:textId="77777777" w:rsidR="000D7BF1" w:rsidRPr="008157B7" w:rsidRDefault="0049512B"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23,462.45</w:t>
            </w:r>
          </w:p>
        </w:tc>
        <w:tc>
          <w:tcPr>
            <w:tcW w:w="1499" w:type="dxa"/>
          </w:tcPr>
          <w:p w14:paraId="49512584" w14:textId="77777777" w:rsidR="000D7BF1" w:rsidRPr="008157B7" w:rsidRDefault="00873F13"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27,228.17</w:t>
            </w:r>
          </w:p>
        </w:tc>
        <w:tc>
          <w:tcPr>
            <w:tcW w:w="1499" w:type="dxa"/>
          </w:tcPr>
          <w:p w14:paraId="4919096D" w14:textId="77777777" w:rsidR="000D7BF1" w:rsidRPr="008157B7" w:rsidRDefault="009E4F81"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w:t>
            </w:r>
            <w:r w:rsidR="001A2CE8" w:rsidRPr="008157B7">
              <w:rPr>
                <w:rFonts w:ascii="Times New Roman" w:hAnsi="Times New Roman" w:cs="Times New Roman"/>
                <w:bCs/>
                <w:sz w:val="20"/>
                <w:szCs w:val="20"/>
              </w:rPr>
              <w:t>7,61</w:t>
            </w:r>
            <w:r w:rsidRPr="008157B7">
              <w:rPr>
                <w:rFonts w:ascii="Times New Roman" w:hAnsi="Times New Roman" w:cs="Times New Roman"/>
                <w:bCs/>
                <w:sz w:val="20"/>
                <w:szCs w:val="20"/>
              </w:rPr>
              <w:t>8.84</w:t>
            </w:r>
          </w:p>
        </w:tc>
        <w:tc>
          <w:tcPr>
            <w:tcW w:w="1499" w:type="dxa"/>
          </w:tcPr>
          <w:p w14:paraId="608B7795" w14:textId="77777777" w:rsidR="000D7BF1" w:rsidRPr="008157B7" w:rsidRDefault="00CC347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23,939.95</w:t>
            </w:r>
          </w:p>
        </w:tc>
        <w:tc>
          <w:tcPr>
            <w:tcW w:w="2578" w:type="dxa"/>
          </w:tcPr>
          <w:p w14:paraId="617778ED" w14:textId="77777777" w:rsidR="000D7BF1" w:rsidRPr="008157B7" w:rsidRDefault="00766D66"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157B7">
              <w:rPr>
                <w:rFonts w:ascii="Times New Roman" w:hAnsi="Times New Roman" w:cs="Times New Roman"/>
                <w:sz w:val="20"/>
                <w:szCs w:val="20"/>
              </w:rPr>
              <w:t>19</w:t>
            </w:r>
            <w:r w:rsidR="00384D20" w:rsidRPr="008157B7">
              <w:rPr>
                <w:rFonts w:ascii="Times New Roman" w:hAnsi="Times New Roman" w:cs="Times New Roman"/>
                <w:sz w:val="20"/>
                <w:szCs w:val="20"/>
              </w:rPr>
              <w:t>,</w:t>
            </w:r>
            <w:r w:rsidRPr="008157B7">
              <w:rPr>
                <w:rFonts w:ascii="Times New Roman" w:hAnsi="Times New Roman" w:cs="Times New Roman"/>
                <w:sz w:val="20"/>
                <w:szCs w:val="20"/>
              </w:rPr>
              <w:t>425.43</w:t>
            </w:r>
          </w:p>
        </w:tc>
      </w:tr>
      <w:tr w:rsidR="00C8281B" w:rsidRPr="008157B7" w14:paraId="4CD912B3" w14:textId="77777777" w:rsidTr="008157B7">
        <w:trPr>
          <w:trHeight w:val="612"/>
        </w:trPr>
        <w:tc>
          <w:tcPr>
            <w:cnfStyle w:val="001000000000" w:firstRow="0" w:lastRow="0" w:firstColumn="1" w:lastColumn="0" w:oddVBand="0" w:evenVBand="0" w:oddHBand="0" w:evenHBand="0" w:firstRowFirstColumn="0" w:firstRowLastColumn="0" w:lastRowFirstColumn="0" w:lastRowLastColumn="0"/>
            <w:tcW w:w="1500" w:type="dxa"/>
          </w:tcPr>
          <w:p w14:paraId="6EB32A4D" w14:textId="77777777" w:rsidR="00C8281B" w:rsidRPr="008157B7" w:rsidRDefault="00DC4B67"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Less Book value of Equity </w:t>
            </w:r>
          </w:p>
        </w:tc>
        <w:tc>
          <w:tcPr>
            <w:tcW w:w="1500" w:type="dxa"/>
          </w:tcPr>
          <w:p w14:paraId="6A6AC3A2" w14:textId="77777777" w:rsidR="00C8281B" w:rsidRPr="008157B7" w:rsidRDefault="002D6D0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c>
          <w:tcPr>
            <w:tcW w:w="1499" w:type="dxa"/>
          </w:tcPr>
          <w:p w14:paraId="1CDFFAD7" w14:textId="77777777" w:rsidR="00C8281B" w:rsidRPr="008157B7" w:rsidRDefault="002D6D0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c>
          <w:tcPr>
            <w:tcW w:w="1499" w:type="dxa"/>
          </w:tcPr>
          <w:p w14:paraId="57A6CD8A" w14:textId="77777777" w:rsidR="00C8281B" w:rsidRPr="008157B7" w:rsidRDefault="002D6D0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c>
          <w:tcPr>
            <w:tcW w:w="1499" w:type="dxa"/>
          </w:tcPr>
          <w:p w14:paraId="35281341" w14:textId="77777777" w:rsidR="00C8281B" w:rsidRPr="008157B7" w:rsidRDefault="002A6B6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w:t>
            </w:r>
            <w:r w:rsidR="002D6D00" w:rsidRPr="008157B7">
              <w:rPr>
                <w:rFonts w:ascii="Times New Roman" w:hAnsi="Times New Roman" w:cs="Times New Roman"/>
                <w:bCs/>
                <w:sz w:val="20"/>
                <w:szCs w:val="20"/>
              </w:rPr>
              <w:t>085.22</w:t>
            </w:r>
          </w:p>
        </w:tc>
        <w:tc>
          <w:tcPr>
            <w:tcW w:w="2578" w:type="dxa"/>
          </w:tcPr>
          <w:p w14:paraId="5D778292" w14:textId="77777777" w:rsidR="00C8281B" w:rsidRPr="008157B7" w:rsidRDefault="002A6B6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1085.22</w:t>
            </w:r>
          </w:p>
        </w:tc>
      </w:tr>
      <w:tr w:rsidR="00C8281B" w:rsidRPr="008157B7" w14:paraId="472C8A55" w14:textId="77777777" w:rsidTr="008157B7">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500" w:type="dxa"/>
          </w:tcPr>
          <w:p w14:paraId="3EAF39F0" w14:textId="77777777" w:rsidR="00C8281B" w:rsidRPr="008157B7" w:rsidRDefault="00DC4B67"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Market Value Added </w:t>
            </w:r>
          </w:p>
        </w:tc>
        <w:tc>
          <w:tcPr>
            <w:tcW w:w="1500" w:type="dxa"/>
          </w:tcPr>
          <w:p w14:paraId="634E8F04" w14:textId="77777777" w:rsidR="00C8281B" w:rsidRPr="008157B7" w:rsidRDefault="00495770"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22,377.23 </w:t>
            </w:r>
          </w:p>
        </w:tc>
        <w:tc>
          <w:tcPr>
            <w:tcW w:w="1499" w:type="dxa"/>
          </w:tcPr>
          <w:p w14:paraId="57D17CB2" w14:textId="77777777" w:rsidR="00C8281B" w:rsidRPr="008157B7" w:rsidRDefault="00E12E8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26,142.95 </w:t>
            </w:r>
          </w:p>
        </w:tc>
        <w:tc>
          <w:tcPr>
            <w:tcW w:w="1499" w:type="dxa"/>
          </w:tcPr>
          <w:p w14:paraId="1AA99641" w14:textId="77777777" w:rsidR="00C8281B" w:rsidRPr="008157B7" w:rsidRDefault="00E12E8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26,533.62 </w:t>
            </w:r>
          </w:p>
        </w:tc>
        <w:tc>
          <w:tcPr>
            <w:tcW w:w="1499" w:type="dxa"/>
          </w:tcPr>
          <w:p w14:paraId="76F5EA11" w14:textId="77777777" w:rsidR="00C8281B" w:rsidRPr="008157B7" w:rsidRDefault="00E12E89"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22,854.73 </w:t>
            </w:r>
          </w:p>
        </w:tc>
        <w:tc>
          <w:tcPr>
            <w:tcW w:w="2578" w:type="dxa"/>
          </w:tcPr>
          <w:p w14:paraId="53217FB1" w14:textId="77777777" w:rsidR="00C8281B" w:rsidRPr="008157B7" w:rsidRDefault="00787884"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18</w:t>
            </w:r>
            <w:r w:rsidR="00384D20" w:rsidRPr="008157B7">
              <w:rPr>
                <w:rFonts w:ascii="Times New Roman" w:hAnsi="Times New Roman" w:cs="Times New Roman"/>
                <w:bCs/>
                <w:sz w:val="20"/>
                <w:szCs w:val="20"/>
              </w:rPr>
              <w:t>,34</w:t>
            </w:r>
            <w:r w:rsidRPr="008157B7">
              <w:rPr>
                <w:rFonts w:ascii="Times New Roman" w:hAnsi="Times New Roman" w:cs="Times New Roman"/>
                <w:bCs/>
                <w:sz w:val="20"/>
                <w:szCs w:val="20"/>
              </w:rPr>
              <w:t>0.21</w:t>
            </w:r>
          </w:p>
        </w:tc>
      </w:tr>
      <w:tr w:rsidR="00C8281B" w:rsidRPr="008157B7" w14:paraId="57490B4C" w14:textId="77777777" w:rsidTr="008157B7">
        <w:trPr>
          <w:trHeight w:val="1225"/>
        </w:trPr>
        <w:tc>
          <w:tcPr>
            <w:cnfStyle w:val="001000000000" w:firstRow="0" w:lastRow="0" w:firstColumn="1" w:lastColumn="0" w:oddVBand="0" w:evenVBand="0" w:oddHBand="0" w:evenHBand="0" w:firstRowFirstColumn="0" w:firstRowLastColumn="0" w:lastRowFirstColumn="0" w:lastRowLastColumn="0"/>
            <w:tcW w:w="1500" w:type="dxa"/>
          </w:tcPr>
          <w:p w14:paraId="03C9FEC6" w14:textId="1B40B774" w:rsidR="00DC4B67" w:rsidRPr="008157B7" w:rsidRDefault="00DC4B67" w:rsidP="00321DEC">
            <w:pPr>
              <w:spacing w:line="360" w:lineRule="auto"/>
              <w:jc w:val="both"/>
              <w:rPr>
                <w:rFonts w:ascii="Times New Roman" w:hAnsi="Times New Roman" w:cs="Times New Roman"/>
                <w:b w:val="0"/>
                <w:sz w:val="20"/>
                <w:szCs w:val="20"/>
              </w:rPr>
            </w:pPr>
            <w:r w:rsidRPr="008157B7">
              <w:rPr>
                <w:rFonts w:ascii="Times New Roman" w:hAnsi="Times New Roman" w:cs="Times New Roman"/>
                <w:b w:val="0"/>
                <w:bCs w:val="0"/>
                <w:sz w:val="20"/>
                <w:szCs w:val="20"/>
              </w:rPr>
              <w:t>Total Number of Shares</w:t>
            </w:r>
            <w:r w:rsidR="008157B7">
              <w:rPr>
                <w:rFonts w:ascii="Times New Roman" w:hAnsi="Times New Roman" w:cs="Times New Roman"/>
                <w:b w:val="0"/>
                <w:bCs w:val="0"/>
                <w:sz w:val="20"/>
                <w:szCs w:val="20"/>
              </w:rPr>
              <w:t xml:space="preserve"> </w:t>
            </w:r>
            <w:r w:rsidRPr="008157B7">
              <w:rPr>
                <w:rFonts w:ascii="Times New Roman" w:hAnsi="Times New Roman" w:cs="Times New Roman"/>
                <w:b w:val="0"/>
                <w:bCs w:val="0"/>
                <w:sz w:val="20"/>
                <w:szCs w:val="20"/>
              </w:rPr>
              <w:t xml:space="preserve">Outstanding </w:t>
            </w:r>
          </w:p>
        </w:tc>
        <w:tc>
          <w:tcPr>
            <w:tcW w:w="1500" w:type="dxa"/>
          </w:tcPr>
          <w:p w14:paraId="773F9E82" w14:textId="77777777" w:rsidR="00C8281B" w:rsidRPr="008157B7" w:rsidRDefault="00B36867"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1499" w:type="dxa"/>
          </w:tcPr>
          <w:p w14:paraId="5EB0E459" w14:textId="77777777" w:rsidR="00C8281B" w:rsidRPr="008157B7" w:rsidRDefault="00B36867"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1499" w:type="dxa"/>
          </w:tcPr>
          <w:p w14:paraId="433525BD" w14:textId="77777777" w:rsidR="00C8281B" w:rsidRPr="008157B7" w:rsidRDefault="00050DE1"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1499" w:type="dxa"/>
          </w:tcPr>
          <w:p w14:paraId="68F5A3B7" w14:textId="77777777" w:rsidR="00C8281B" w:rsidRPr="008157B7" w:rsidRDefault="00050DE1"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108,521,981 </w:t>
            </w:r>
          </w:p>
        </w:tc>
        <w:tc>
          <w:tcPr>
            <w:tcW w:w="2578" w:type="dxa"/>
          </w:tcPr>
          <w:p w14:paraId="32969E70" w14:textId="77777777" w:rsidR="00C8281B" w:rsidRPr="008157B7" w:rsidRDefault="005D48DF"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108</w:t>
            </w:r>
            <w:r w:rsidR="00CD7F92" w:rsidRPr="008157B7">
              <w:rPr>
                <w:rFonts w:ascii="Times New Roman" w:hAnsi="Times New Roman" w:cs="Times New Roman"/>
                <w:bCs/>
                <w:sz w:val="20"/>
                <w:szCs w:val="20"/>
              </w:rPr>
              <w:t>,</w:t>
            </w:r>
            <w:r w:rsidRPr="008157B7">
              <w:rPr>
                <w:rFonts w:ascii="Times New Roman" w:hAnsi="Times New Roman" w:cs="Times New Roman"/>
                <w:bCs/>
                <w:sz w:val="20"/>
                <w:szCs w:val="20"/>
              </w:rPr>
              <w:t>521</w:t>
            </w:r>
            <w:r w:rsidR="00CD7F92" w:rsidRPr="008157B7">
              <w:rPr>
                <w:rFonts w:ascii="Times New Roman" w:hAnsi="Times New Roman" w:cs="Times New Roman"/>
                <w:bCs/>
                <w:sz w:val="20"/>
                <w:szCs w:val="20"/>
              </w:rPr>
              <w:t>,</w:t>
            </w:r>
            <w:r w:rsidR="00095326" w:rsidRPr="008157B7">
              <w:rPr>
                <w:rFonts w:ascii="Times New Roman" w:hAnsi="Times New Roman" w:cs="Times New Roman"/>
                <w:bCs/>
                <w:sz w:val="20"/>
                <w:szCs w:val="20"/>
              </w:rPr>
              <w:t>981</w:t>
            </w:r>
          </w:p>
        </w:tc>
      </w:tr>
      <w:tr w:rsidR="00C8281B" w:rsidRPr="008157B7" w14:paraId="2AA93430" w14:textId="77777777" w:rsidTr="008157B7">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1500" w:type="dxa"/>
          </w:tcPr>
          <w:p w14:paraId="6E9075BD" w14:textId="2856F8E2" w:rsidR="00A4792A" w:rsidRPr="008157B7" w:rsidRDefault="00A4792A" w:rsidP="00321DEC">
            <w:pPr>
              <w:spacing w:line="360" w:lineRule="auto"/>
              <w:jc w:val="both"/>
              <w:rPr>
                <w:rFonts w:ascii="Times New Roman" w:hAnsi="Times New Roman" w:cs="Times New Roman"/>
                <w:sz w:val="20"/>
                <w:szCs w:val="20"/>
              </w:rPr>
            </w:pPr>
            <w:r w:rsidRPr="008157B7">
              <w:rPr>
                <w:rFonts w:ascii="Times New Roman" w:hAnsi="Times New Roman" w:cs="Times New Roman"/>
                <w:bCs w:val="0"/>
                <w:sz w:val="20"/>
                <w:szCs w:val="20"/>
              </w:rPr>
              <w:t xml:space="preserve">Market value per Share (in BDT) </w:t>
            </w:r>
            <w:r w:rsidR="008157B7" w:rsidRPr="008157B7">
              <w:rPr>
                <w:rFonts w:ascii="Times New Roman" w:hAnsi="Times New Roman" w:cs="Times New Roman"/>
                <w:sz w:val="20"/>
                <w:szCs w:val="20"/>
              </w:rPr>
              <w:t>a</w:t>
            </w:r>
            <w:r w:rsidRPr="008157B7">
              <w:rPr>
                <w:rFonts w:ascii="Times New Roman" w:hAnsi="Times New Roman" w:cs="Times New Roman"/>
                <w:bCs w:val="0"/>
                <w:sz w:val="20"/>
                <w:szCs w:val="20"/>
              </w:rPr>
              <w:t xml:space="preserve">t year end </w:t>
            </w:r>
          </w:p>
        </w:tc>
        <w:tc>
          <w:tcPr>
            <w:tcW w:w="1500" w:type="dxa"/>
          </w:tcPr>
          <w:p w14:paraId="3701B691" w14:textId="77777777" w:rsidR="00C8281B" w:rsidRPr="008157B7" w:rsidRDefault="007B48C6"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216.20</w:t>
            </w:r>
          </w:p>
        </w:tc>
        <w:tc>
          <w:tcPr>
            <w:tcW w:w="1499" w:type="dxa"/>
          </w:tcPr>
          <w:p w14:paraId="57C5A986" w14:textId="77777777" w:rsidR="00C8281B" w:rsidRPr="008157B7" w:rsidRDefault="007B48C6"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250.90</w:t>
            </w:r>
          </w:p>
        </w:tc>
        <w:tc>
          <w:tcPr>
            <w:tcW w:w="1499" w:type="dxa"/>
          </w:tcPr>
          <w:p w14:paraId="55055325" w14:textId="77777777" w:rsidR="00C8281B" w:rsidRPr="008157B7" w:rsidRDefault="00AD2398"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254.5</w:t>
            </w:r>
            <w:r w:rsidR="00924D4C" w:rsidRPr="008157B7">
              <w:rPr>
                <w:rFonts w:ascii="Times New Roman" w:hAnsi="Times New Roman" w:cs="Times New Roman"/>
                <w:b/>
                <w:bCs/>
                <w:sz w:val="20"/>
                <w:szCs w:val="20"/>
              </w:rPr>
              <w:t>0</w:t>
            </w:r>
          </w:p>
        </w:tc>
        <w:tc>
          <w:tcPr>
            <w:tcW w:w="1499" w:type="dxa"/>
          </w:tcPr>
          <w:p w14:paraId="485387A2" w14:textId="77777777" w:rsidR="00C8281B" w:rsidRPr="008157B7" w:rsidRDefault="00AD2398"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222.6</w:t>
            </w:r>
            <w:r w:rsidR="007B48C6" w:rsidRPr="008157B7">
              <w:rPr>
                <w:rFonts w:ascii="Times New Roman" w:hAnsi="Times New Roman" w:cs="Times New Roman"/>
                <w:b/>
                <w:bCs/>
                <w:sz w:val="20"/>
                <w:szCs w:val="20"/>
              </w:rPr>
              <w:t>0</w:t>
            </w:r>
          </w:p>
        </w:tc>
        <w:tc>
          <w:tcPr>
            <w:tcW w:w="2578" w:type="dxa"/>
          </w:tcPr>
          <w:p w14:paraId="47873FD9" w14:textId="77777777" w:rsidR="00C8281B" w:rsidRPr="008157B7" w:rsidRDefault="00B525BD" w:rsidP="00321DE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8157B7">
              <w:rPr>
                <w:rFonts w:ascii="Times New Roman" w:hAnsi="Times New Roman" w:cs="Times New Roman"/>
                <w:b/>
                <w:bCs/>
                <w:sz w:val="20"/>
                <w:szCs w:val="20"/>
              </w:rPr>
              <w:t>179.00</w:t>
            </w:r>
          </w:p>
        </w:tc>
      </w:tr>
      <w:tr w:rsidR="00C8281B" w:rsidRPr="008157B7" w14:paraId="30110E5C" w14:textId="77777777" w:rsidTr="008157B7">
        <w:trPr>
          <w:trHeight w:val="612"/>
        </w:trPr>
        <w:tc>
          <w:tcPr>
            <w:cnfStyle w:val="001000000000" w:firstRow="0" w:lastRow="0" w:firstColumn="1" w:lastColumn="0" w:oddVBand="0" w:evenVBand="0" w:oddHBand="0" w:evenHBand="0" w:firstRowFirstColumn="0" w:firstRowLastColumn="0" w:lastRowFirstColumn="0" w:lastRowLastColumn="0"/>
            <w:tcW w:w="1500" w:type="dxa"/>
          </w:tcPr>
          <w:p w14:paraId="3843CC70" w14:textId="77777777" w:rsidR="00C8281B" w:rsidRPr="008157B7" w:rsidRDefault="00A4792A" w:rsidP="00321DEC">
            <w:pPr>
              <w:spacing w:line="360" w:lineRule="auto"/>
              <w:jc w:val="both"/>
              <w:rPr>
                <w:rFonts w:ascii="Times New Roman" w:hAnsi="Times New Roman" w:cs="Times New Roman"/>
                <w:b w:val="0"/>
                <w:bCs w:val="0"/>
                <w:sz w:val="20"/>
                <w:szCs w:val="20"/>
              </w:rPr>
            </w:pPr>
            <w:r w:rsidRPr="008157B7">
              <w:rPr>
                <w:rFonts w:ascii="Times New Roman" w:hAnsi="Times New Roman" w:cs="Times New Roman"/>
                <w:b w:val="0"/>
                <w:bCs w:val="0"/>
                <w:sz w:val="20"/>
                <w:szCs w:val="20"/>
              </w:rPr>
              <w:t xml:space="preserve">Book value per share </w:t>
            </w:r>
          </w:p>
        </w:tc>
        <w:tc>
          <w:tcPr>
            <w:tcW w:w="1500" w:type="dxa"/>
          </w:tcPr>
          <w:p w14:paraId="1C06A49B" w14:textId="77777777" w:rsidR="00C8281B" w:rsidRPr="008157B7" w:rsidRDefault="007A5670"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1499" w:type="dxa"/>
          </w:tcPr>
          <w:p w14:paraId="45E57F76" w14:textId="77777777" w:rsidR="00C8281B" w:rsidRPr="008157B7" w:rsidRDefault="00BB522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1499" w:type="dxa"/>
          </w:tcPr>
          <w:p w14:paraId="1057B1B4" w14:textId="77777777" w:rsidR="00C8281B" w:rsidRPr="008157B7" w:rsidRDefault="00BB522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1499" w:type="dxa"/>
          </w:tcPr>
          <w:p w14:paraId="0F490615" w14:textId="77777777" w:rsidR="00C8281B" w:rsidRPr="008157B7" w:rsidRDefault="00BB5228"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 xml:space="preserve">10.00 </w:t>
            </w:r>
          </w:p>
        </w:tc>
        <w:tc>
          <w:tcPr>
            <w:tcW w:w="2578" w:type="dxa"/>
          </w:tcPr>
          <w:p w14:paraId="7F7B163D" w14:textId="77777777" w:rsidR="00C8281B" w:rsidRPr="008157B7" w:rsidRDefault="00B525BD" w:rsidP="00321DE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157B7">
              <w:rPr>
                <w:rFonts w:ascii="Times New Roman" w:hAnsi="Times New Roman" w:cs="Times New Roman"/>
                <w:bCs/>
                <w:sz w:val="20"/>
                <w:szCs w:val="20"/>
              </w:rPr>
              <w:t>10.00</w:t>
            </w:r>
          </w:p>
        </w:tc>
      </w:tr>
    </w:tbl>
    <w:p w14:paraId="44D16482" w14:textId="77777777" w:rsidR="00902151" w:rsidRDefault="00902151" w:rsidP="00902151">
      <w:pPr>
        <w:spacing w:line="360" w:lineRule="auto"/>
        <w:jc w:val="center"/>
        <w:rPr>
          <w:rFonts w:ascii="Times New Roman" w:hAnsi="Times New Roman" w:cs="Times New Roman"/>
          <w:b/>
          <w:bCs/>
        </w:rPr>
      </w:pPr>
    </w:p>
    <w:p w14:paraId="2AA0CDEC" w14:textId="02E1AB3C" w:rsidR="008157B7" w:rsidRPr="008157B7" w:rsidRDefault="00902151" w:rsidP="00902151">
      <w:pPr>
        <w:spacing w:line="360" w:lineRule="auto"/>
        <w:jc w:val="center"/>
        <w:rPr>
          <w:rFonts w:ascii="Times New Roman" w:hAnsi="Times New Roman" w:cs="Times New Roman"/>
          <w:b/>
          <w:bCs/>
        </w:rPr>
      </w:pPr>
      <w:r w:rsidRPr="00321DEC">
        <w:rPr>
          <w:rFonts w:ascii="Times New Roman" w:hAnsi="Times New Roman" w:cs="Times New Roman"/>
          <w:noProof/>
        </w:rPr>
        <w:drawing>
          <wp:anchor distT="0" distB="0" distL="114300" distR="114300" simplePos="0" relativeHeight="251658252" behindDoc="1" locked="0" layoutInCell="1" allowOverlap="1" wp14:anchorId="5190A184" wp14:editId="3CB1B249">
            <wp:simplePos x="0" y="0"/>
            <wp:positionH relativeFrom="margin">
              <wp:align>center</wp:align>
            </wp:positionH>
            <wp:positionV relativeFrom="paragraph">
              <wp:posOffset>340360</wp:posOffset>
            </wp:positionV>
            <wp:extent cx="4888230" cy="2707640"/>
            <wp:effectExtent l="0" t="0" r="7620" b="16510"/>
            <wp:wrapTight wrapText="bothSides">
              <wp:wrapPolygon edited="0">
                <wp:start x="0" y="0"/>
                <wp:lineTo x="0" y="21580"/>
                <wp:lineTo x="21549" y="21580"/>
                <wp:lineTo x="21549" y="0"/>
                <wp:lineTo x="0" y="0"/>
              </wp:wrapPolygon>
            </wp:wrapTight>
            <wp:docPr id="14" name="Chart 14">
              <a:extLst xmlns:a="http://schemas.openxmlformats.org/drawingml/2006/main">
                <a:ext uri="{FF2B5EF4-FFF2-40B4-BE49-F238E27FC236}">
                  <a16:creationId xmlns:a16="http://schemas.microsoft.com/office/drawing/2014/main" id="{79B5C1AB-CD93-55B4-A8BF-0BE02CEFE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1F6DD3" w:rsidRPr="00321DEC">
        <w:rPr>
          <w:rFonts w:ascii="Times New Roman" w:hAnsi="Times New Roman" w:cs="Times New Roman"/>
          <w:b/>
          <w:bCs/>
        </w:rPr>
        <w:t>Trend of Market Value Per Share in Graphical Presentation:</w:t>
      </w:r>
    </w:p>
    <w:p w14:paraId="43BEA7DB" w14:textId="10702493" w:rsidR="008157B7" w:rsidRDefault="008157B7" w:rsidP="00321DEC">
      <w:pPr>
        <w:spacing w:line="360" w:lineRule="auto"/>
        <w:jc w:val="both"/>
        <w:rPr>
          <w:rFonts w:ascii="Times New Roman" w:hAnsi="Times New Roman" w:cs="Times New Roman"/>
        </w:rPr>
      </w:pPr>
    </w:p>
    <w:p w14:paraId="4A81F636" w14:textId="77777777" w:rsidR="008157B7" w:rsidRDefault="008157B7" w:rsidP="00321DEC">
      <w:pPr>
        <w:spacing w:line="360" w:lineRule="auto"/>
        <w:jc w:val="both"/>
        <w:rPr>
          <w:rFonts w:ascii="Times New Roman" w:hAnsi="Times New Roman" w:cs="Times New Roman"/>
        </w:rPr>
      </w:pPr>
    </w:p>
    <w:p w14:paraId="0CEB2D5D" w14:textId="77777777" w:rsidR="008157B7" w:rsidRDefault="008157B7" w:rsidP="00321DEC">
      <w:pPr>
        <w:spacing w:line="360" w:lineRule="auto"/>
        <w:jc w:val="both"/>
        <w:rPr>
          <w:rFonts w:ascii="Times New Roman" w:hAnsi="Times New Roman" w:cs="Times New Roman"/>
        </w:rPr>
      </w:pPr>
    </w:p>
    <w:p w14:paraId="431142C4" w14:textId="77777777" w:rsidR="008157B7" w:rsidRDefault="008157B7" w:rsidP="00321DEC">
      <w:pPr>
        <w:spacing w:line="360" w:lineRule="auto"/>
        <w:jc w:val="both"/>
        <w:rPr>
          <w:rFonts w:ascii="Times New Roman" w:hAnsi="Times New Roman" w:cs="Times New Roman"/>
        </w:rPr>
      </w:pPr>
    </w:p>
    <w:p w14:paraId="626CBB4E" w14:textId="77777777" w:rsidR="008157B7" w:rsidRDefault="008157B7" w:rsidP="00321DEC">
      <w:pPr>
        <w:spacing w:line="360" w:lineRule="auto"/>
        <w:jc w:val="both"/>
        <w:rPr>
          <w:rFonts w:ascii="Times New Roman" w:hAnsi="Times New Roman" w:cs="Times New Roman"/>
        </w:rPr>
      </w:pPr>
    </w:p>
    <w:p w14:paraId="2B06F817" w14:textId="77777777" w:rsidR="008157B7" w:rsidRDefault="008157B7" w:rsidP="00321DEC">
      <w:pPr>
        <w:spacing w:line="360" w:lineRule="auto"/>
        <w:jc w:val="both"/>
        <w:rPr>
          <w:rFonts w:ascii="Times New Roman" w:hAnsi="Times New Roman" w:cs="Times New Roman"/>
        </w:rPr>
      </w:pPr>
    </w:p>
    <w:p w14:paraId="4C832424" w14:textId="77777777" w:rsidR="008157B7" w:rsidRDefault="008157B7" w:rsidP="00321DEC">
      <w:pPr>
        <w:spacing w:line="360" w:lineRule="auto"/>
        <w:jc w:val="both"/>
        <w:rPr>
          <w:rFonts w:ascii="Times New Roman" w:hAnsi="Times New Roman" w:cs="Times New Roman"/>
        </w:rPr>
      </w:pPr>
    </w:p>
    <w:p w14:paraId="034B5DF0" w14:textId="07657B94" w:rsidR="00E95D73" w:rsidRDefault="008C4DBA" w:rsidP="00820403">
      <w:pPr>
        <w:spacing w:line="360" w:lineRule="auto"/>
        <w:jc w:val="both"/>
        <w:rPr>
          <w:rFonts w:ascii="Times New Roman" w:hAnsi="Times New Roman" w:cs="Times New Roman"/>
          <w:b/>
          <w:bCs/>
        </w:rPr>
      </w:pPr>
      <w:r w:rsidRPr="00321DEC">
        <w:rPr>
          <w:rFonts w:ascii="Times New Roman" w:hAnsi="Times New Roman" w:cs="Times New Roman"/>
        </w:rPr>
        <w:tab/>
      </w:r>
    </w:p>
    <w:p w14:paraId="502D4638" w14:textId="77777777" w:rsidR="00E95D73" w:rsidRDefault="00E95D73" w:rsidP="00321DEC">
      <w:pPr>
        <w:spacing w:line="360" w:lineRule="auto"/>
        <w:rPr>
          <w:rFonts w:ascii="Times New Roman" w:hAnsi="Times New Roman" w:cs="Times New Roman"/>
          <w:b/>
          <w:bCs/>
        </w:rPr>
      </w:pPr>
    </w:p>
    <w:p w14:paraId="78632716" w14:textId="77777777" w:rsidR="00820403" w:rsidRDefault="00820403" w:rsidP="00321DEC">
      <w:pPr>
        <w:spacing w:line="360" w:lineRule="auto"/>
        <w:rPr>
          <w:rFonts w:ascii="Times New Roman" w:hAnsi="Times New Roman" w:cs="Times New Roman"/>
          <w:b/>
        </w:rPr>
      </w:pPr>
    </w:p>
    <w:p w14:paraId="68B5D4D5" w14:textId="4C6837C7" w:rsidR="00790D47" w:rsidRPr="00321DEC" w:rsidRDefault="00F448EE" w:rsidP="00DA5636">
      <w:pPr>
        <w:pStyle w:val="Heading2"/>
      </w:pPr>
      <w:bookmarkStart w:id="24" w:name="_Toc188056531"/>
      <w:r>
        <w:lastRenderedPageBreak/>
        <w:t>4.</w:t>
      </w:r>
      <w:r w:rsidR="00820403">
        <w:t xml:space="preserve">5 </w:t>
      </w:r>
      <w:r w:rsidR="001A1788" w:rsidRPr="00321DEC">
        <w:t>Vertical Analysis</w:t>
      </w:r>
      <w:bookmarkEnd w:id="24"/>
    </w:p>
    <w:p w14:paraId="76F9EAAD" w14:textId="50718857" w:rsidR="007450A8" w:rsidRPr="00321DEC" w:rsidRDefault="007450A8" w:rsidP="00F448EE">
      <w:pPr>
        <w:pStyle w:val="BodyText"/>
        <w:spacing w:before="182" w:line="360" w:lineRule="auto"/>
        <w:ind w:left="1" w:right="1"/>
        <w:jc w:val="center"/>
        <w:rPr>
          <w:b/>
          <w:bCs/>
          <w:color w:val="000000" w:themeColor="text1"/>
        </w:rPr>
      </w:pPr>
      <w:r w:rsidRPr="00321DEC">
        <w:rPr>
          <w:b/>
          <w:bCs/>
          <w:color w:val="000000" w:themeColor="text1"/>
        </w:rPr>
        <w:t>Balance</w:t>
      </w:r>
      <w:r w:rsidRPr="00321DEC">
        <w:rPr>
          <w:b/>
          <w:bCs/>
          <w:color w:val="000000" w:themeColor="text1"/>
          <w:spacing w:val="-2"/>
        </w:rPr>
        <w:t xml:space="preserve"> </w:t>
      </w:r>
      <w:r w:rsidRPr="00321DEC">
        <w:rPr>
          <w:b/>
          <w:bCs/>
          <w:color w:val="000000" w:themeColor="text1"/>
        </w:rPr>
        <w:t>Sheet</w:t>
      </w:r>
      <w:r w:rsidRPr="00321DEC">
        <w:rPr>
          <w:b/>
          <w:bCs/>
          <w:color w:val="000000" w:themeColor="text1"/>
          <w:spacing w:val="-3"/>
        </w:rPr>
        <w:t xml:space="preserve"> </w:t>
      </w:r>
      <w:r w:rsidRPr="00321DEC">
        <w:rPr>
          <w:b/>
          <w:bCs/>
          <w:color w:val="000000" w:themeColor="text1"/>
        </w:rPr>
        <w:t>(Statement</w:t>
      </w:r>
      <w:r w:rsidRPr="00321DEC">
        <w:rPr>
          <w:b/>
          <w:bCs/>
          <w:color w:val="000000" w:themeColor="text1"/>
          <w:spacing w:val="-2"/>
        </w:rPr>
        <w:t xml:space="preserve"> </w:t>
      </w:r>
      <w:r w:rsidRPr="00321DEC">
        <w:rPr>
          <w:b/>
          <w:bCs/>
          <w:color w:val="000000" w:themeColor="text1"/>
        </w:rPr>
        <w:t>of</w:t>
      </w:r>
      <w:r w:rsidRPr="00321DEC">
        <w:rPr>
          <w:b/>
          <w:bCs/>
          <w:color w:val="000000" w:themeColor="text1"/>
          <w:spacing w:val="-2"/>
        </w:rPr>
        <w:t xml:space="preserve"> </w:t>
      </w:r>
      <w:r w:rsidRPr="00321DEC">
        <w:rPr>
          <w:b/>
          <w:bCs/>
          <w:color w:val="000000" w:themeColor="text1"/>
        </w:rPr>
        <w:t>Financial</w:t>
      </w:r>
      <w:r w:rsidRPr="00321DEC">
        <w:rPr>
          <w:b/>
          <w:bCs/>
          <w:color w:val="000000" w:themeColor="text1"/>
          <w:spacing w:val="-2"/>
        </w:rPr>
        <w:t xml:space="preserve"> position)</w:t>
      </w:r>
    </w:p>
    <w:tbl>
      <w:tblPr>
        <w:tblW w:w="0" w:type="auto"/>
        <w:tblInd w:w="390"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CellMar>
          <w:left w:w="0" w:type="dxa"/>
          <w:right w:w="0" w:type="dxa"/>
        </w:tblCellMar>
        <w:tblLook w:val="01E0" w:firstRow="1" w:lastRow="1" w:firstColumn="1" w:lastColumn="1" w:noHBand="0" w:noVBand="0"/>
      </w:tblPr>
      <w:tblGrid>
        <w:gridCol w:w="4040"/>
        <w:gridCol w:w="1062"/>
        <w:gridCol w:w="1062"/>
        <w:gridCol w:w="1062"/>
        <w:gridCol w:w="1062"/>
        <w:gridCol w:w="1062"/>
      </w:tblGrid>
      <w:tr w:rsidR="00994415" w:rsidRPr="00F448EE" w14:paraId="318F8AA2" w14:textId="77777777" w:rsidTr="00820403">
        <w:trPr>
          <w:trHeight w:val="248"/>
        </w:trPr>
        <w:tc>
          <w:tcPr>
            <w:tcW w:w="4040" w:type="dxa"/>
            <w:tcBorders>
              <w:top w:val="nil"/>
              <w:bottom w:val="nil"/>
              <w:right w:val="nil"/>
            </w:tcBorders>
            <w:shd w:val="clear" w:color="auto" w:fill="5B9BD4"/>
          </w:tcPr>
          <w:p w14:paraId="6CACEEE6" w14:textId="77777777" w:rsidR="007450A8" w:rsidRPr="00F448EE" w:rsidRDefault="007450A8" w:rsidP="00321DEC">
            <w:pPr>
              <w:pStyle w:val="TableParagraph"/>
              <w:spacing w:before="10" w:line="360" w:lineRule="auto"/>
              <w:ind w:left="107"/>
              <w:jc w:val="both"/>
              <w:rPr>
                <w:b/>
                <w:bCs/>
                <w:color w:val="FFFFFF" w:themeColor="background1"/>
                <w:sz w:val="20"/>
                <w:szCs w:val="20"/>
              </w:rPr>
            </w:pPr>
            <w:r w:rsidRPr="00F448EE">
              <w:rPr>
                <w:b/>
                <w:bCs/>
                <w:color w:val="FFFFFF" w:themeColor="background1"/>
                <w:spacing w:val="-2"/>
                <w:sz w:val="20"/>
                <w:szCs w:val="20"/>
              </w:rPr>
              <w:t>Particular</w:t>
            </w:r>
          </w:p>
        </w:tc>
        <w:tc>
          <w:tcPr>
            <w:tcW w:w="1062" w:type="dxa"/>
            <w:tcBorders>
              <w:top w:val="nil"/>
              <w:left w:val="nil"/>
              <w:bottom w:val="nil"/>
              <w:right w:val="nil"/>
            </w:tcBorders>
            <w:shd w:val="clear" w:color="auto" w:fill="5B9BD4"/>
          </w:tcPr>
          <w:p w14:paraId="4155D7BA" w14:textId="77777777" w:rsidR="007450A8" w:rsidRPr="00F448EE" w:rsidRDefault="007450A8" w:rsidP="00321DEC">
            <w:pPr>
              <w:pStyle w:val="TableParagraph"/>
              <w:spacing w:before="10" w:line="360" w:lineRule="auto"/>
              <w:ind w:left="113"/>
              <w:jc w:val="both"/>
              <w:rPr>
                <w:b/>
                <w:bCs/>
                <w:color w:val="FFFFFF" w:themeColor="background1"/>
                <w:sz w:val="20"/>
                <w:szCs w:val="20"/>
              </w:rPr>
            </w:pPr>
            <w:r w:rsidRPr="00F448EE">
              <w:rPr>
                <w:b/>
                <w:bCs/>
                <w:color w:val="FFFFFF" w:themeColor="background1"/>
                <w:spacing w:val="-4"/>
                <w:sz w:val="20"/>
                <w:szCs w:val="20"/>
              </w:rPr>
              <w:t>2022</w:t>
            </w:r>
          </w:p>
        </w:tc>
        <w:tc>
          <w:tcPr>
            <w:tcW w:w="1062" w:type="dxa"/>
            <w:tcBorders>
              <w:top w:val="nil"/>
              <w:left w:val="nil"/>
              <w:bottom w:val="nil"/>
              <w:right w:val="nil"/>
            </w:tcBorders>
            <w:shd w:val="clear" w:color="auto" w:fill="5B9BD4"/>
          </w:tcPr>
          <w:p w14:paraId="1541E340" w14:textId="77777777" w:rsidR="007450A8" w:rsidRPr="00F448EE" w:rsidRDefault="007450A8" w:rsidP="00321DEC">
            <w:pPr>
              <w:pStyle w:val="TableParagraph"/>
              <w:spacing w:before="10" w:line="360" w:lineRule="auto"/>
              <w:ind w:left="113"/>
              <w:jc w:val="both"/>
              <w:rPr>
                <w:b/>
                <w:bCs/>
                <w:color w:val="FFFFFF" w:themeColor="background1"/>
                <w:sz w:val="20"/>
                <w:szCs w:val="20"/>
              </w:rPr>
            </w:pPr>
            <w:r w:rsidRPr="00F448EE">
              <w:rPr>
                <w:b/>
                <w:bCs/>
                <w:color w:val="FFFFFF" w:themeColor="background1"/>
                <w:spacing w:val="-4"/>
                <w:sz w:val="20"/>
                <w:szCs w:val="20"/>
              </w:rPr>
              <w:t>2021</w:t>
            </w:r>
          </w:p>
        </w:tc>
        <w:tc>
          <w:tcPr>
            <w:tcW w:w="1062" w:type="dxa"/>
            <w:tcBorders>
              <w:top w:val="nil"/>
              <w:left w:val="nil"/>
              <w:bottom w:val="nil"/>
              <w:right w:val="nil"/>
            </w:tcBorders>
            <w:shd w:val="clear" w:color="auto" w:fill="5B9BD4"/>
          </w:tcPr>
          <w:p w14:paraId="1BB7B836" w14:textId="77777777" w:rsidR="007450A8" w:rsidRPr="00F448EE" w:rsidRDefault="007450A8" w:rsidP="00321DEC">
            <w:pPr>
              <w:pStyle w:val="TableParagraph"/>
              <w:spacing w:before="10" w:line="360" w:lineRule="auto"/>
              <w:ind w:left="113"/>
              <w:jc w:val="both"/>
              <w:rPr>
                <w:b/>
                <w:bCs/>
                <w:color w:val="FFFFFF" w:themeColor="background1"/>
                <w:sz w:val="20"/>
                <w:szCs w:val="20"/>
              </w:rPr>
            </w:pPr>
            <w:r w:rsidRPr="00F448EE">
              <w:rPr>
                <w:b/>
                <w:bCs/>
                <w:color w:val="FFFFFF" w:themeColor="background1"/>
                <w:spacing w:val="-4"/>
                <w:sz w:val="20"/>
                <w:szCs w:val="20"/>
              </w:rPr>
              <w:t>2020</w:t>
            </w:r>
          </w:p>
        </w:tc>
        <w:tc>
          <w:tcPr>
            <w:tcW w:w="1062" w:type="dxa"/>
            <w:tcBorders>
              <w:top w:val="nil"/>
              <w:left w:val="nil"/>
              <w:bottom w:val="nil"/>
              <w:right w:val="nil"/>
            </w:tcBorders>
            <w:shd w:val="clear" w:color="auto" w:fill="5B9BD4"/>
          </w:tcPr>
          <w:p w14:paraId="7222BEAA" w14:textId="77777777" w:rsidR="007450A8" w:rsidRPr="00F448EE" w:rsidRDefault="007450A8" w:rsidP="00321DEC">
            <w:pPr>
              <w:pStyle w:val="TableParagraph"/>
              <w:spacing w:before="10" w:line="360" w:lineRule="auto"/>
              <w:ind w:left="113"/>
              <w:jc w:val="both"/>
              <w:rPr>
                <w:b/>
                <w:bCs/>
                <w:color w:val="FFFFFF" w:themeColor="background1"/>
                <w:sz w:val="20"/>
                <w:szCs w:val="20"/>
              </w:rPr>
            </w:pPr>
            <w:r w:rsidRPr="00F448EE">
              <w:rPr>
                <w:b/>
                <w:bCs/>
                <w:color w:val="FFFFFF" w:themeColor="background1"/>
                <w:spacing w:val="-4"/>
                <w:sz w:val="20"/>
                <w:szCs w:val="20"/>
              </w:rPr>
              <w:t>2019</w:t>
            </w:r>
          </w:p>
        </w:tc>
        <w:tc>
          <w:tcPr>
            <w:tcW w:w="1062" w:type="dxa"/>
            <w:tcBorders>
              <w:top w:val="nil"/>
              <w:left w:val="nil"/>
              <w:bottom w:val="nil"/>
            </w:tcBorders>
            <w:shd w:val="clear" w:color="auto" w:fill="5B9BD4"/>
          </w:tcPr>
          <w:p w14:paraId="39F971CD" w14:textId="77777777" w:rsidR="007450A8" w:rsidRPr="00F448EE" w:rsidRDefault="007450A8" w:rsidP="00321DEC">
            <w:pPr>
              <w:pStyle w:val="TableParagraph"/>
              <w:spacing w:before="10" w:line="360" w:lineRule="auto"/>
              <w:ind w:left="113"/>
              <w:jc w:val="both"/>
              <w:rPr>
                <w:b/>
                <w:bCs/>
                <w:color w:val="FFFFFF" w:themeColor="background1"/>
                <w:sz w:val="20"/>
                <w:szCs w:val="20"/>
              </w:rPr>
            </w:pPr>
            <w:r w:rsidRPr="00F448EE">
              <w:rPr>
                <w:b/>
                <w:bCs/>
                <w:color w:val="FFFFFF" w:themeColor="background1"/>
                <w:spacing w:val="-4"/>
                <w:sz w:val="20"/>
                <w:szCs w:val="20"/>
              </w:rPr>
              <w:t>2018</w:t>
            </w:r>
          </w:p>
        </w:tc>
      </w:tr>
      <w:tr w:rsidR="007450A8" w:rsidRPr="00E95D73" w14:paraId="520ECFDB" w14:textId="77777777" w:rsidTr="00820403">
        <w:trPr>
          <w:trHeight w:val="231"/>
        </w:trPr>
        <w:tc>
          <w:tcPr>
            <w:tcW w:w="4040" w:type="dxa"/>
            <w:tcBorders>
              <w:top w:val="nil"/>
              <w:left w:val="single" w:sz="4" w:space="0" w:color="9CC2E4"/>
              <w:bottom w:val="single" w:sz="4" w:space="0" w:color="9CC2E4"/>
              <w:right w:val="single" w:sz="4" w:space="0" w:color="9CC2E4"/>
            </w:tcBorders>
            <w:shd w:val="clear" w:color="auto" w:fill="DEEAF6"/>
          </w:tcPr>
          <w:p w14:paraId="6AC6356D" w14:textId="77777777" w:rsidR="007450A8" w:rsidRPr="00E95D73" w:rsidRDefault="007450A8" w:rsidP="00321DEC">
            <w:pPr>
              <w:pStyle w:val="TableParagraph"/>
              <w:spacing w:line="360" w:lineRule="auto"/>
              <w:ind w:left="107"/>
              <w:jc w:val="both"/>
              <w:rPr>
                <w:b/>
                <w:sz w:val="20"/>
                <w:szCs w:val="20"/>
              </w:rPr>
            </w:pPr>
            <w:r w:rsidRPr="00E95D73">
              <w:rPr>
                <w:b/>
                <w:sz w:val="20"/>
                <w:szCs w:val="20"/>
              </w:rPr>
              <w:t>Capital</w:t>
            </w:r>
            <w:r w:rsidRPr="00E95D73">
              <w:rPr>
                <w:b/>
                <w:spacing w:val="-2"/>
                <w:sz w:val="20"/>
                <w:szCs w:val="20"/>
              </w:rPr>
              <w:t xml:space="preserve"> </w:t>
            </w:r>
            <w:r w:rsidRPr="00E95D73">
              <w:rPr>
                <w:b/>
                <w:sz w:val="20"/>
                <w:szCs w:val="20"/>
              </w:rPr>
              <w:t>and</w:t>
            </w:r>
            <w:r w:rsidRPr="00E95D73">
              <w:rPr>
                <w:b/>
                <w:spacing w:val="-2"/>
                <w:sz w:val="20"/>
                <w:szCs w:val="20"/>
              </w:rPr>
              <w:t xml:space="preserve"> Liabilities</w:t>
            </w:r>
          </w:p>
        </w:tc>
        <w:tc>
          <w:tcPr>
            <w:tcW w:w="1062" w:type="dxa"/>
            <w:tcBorders>
              <w:top w:val="nil"/>
              <w:left w:val="single" w:sz="4" w:space="0" w:color="9CC2E4"/>
              <w:bottom w:val="single" w:sz="4" w:space="0" w:color="9CC2E4"/>
              <w:right w:val="single" w:sz="4" w:space="0" w:color="9CC2E4"/>
            </w:tcBorders>
            <w:shd w:val="clear" w:color="auto" w:fill="DEEAF6"/>
          </w:tcPr>
          <w:p w14:paraId="50FC88DD" w14:textId="77777777" w:rsidR="007450A8" w:rsidRPr="00E95D73" w:rsidRDefault="007450A8" w:rsidP="00321DEC">
            <w:pPr>
              <w:pStyle w:val="TableParagraph"/>
              <w:spacing w:line="360" w:lineRule="auto"/>
              <w:ind w:left="0"/>
              <w:jc w:val="both"/>
              <w:rPr>
                <w:sz w:val="20"/>
                <w:szCs w:val="20"/>
              </w:rPr>
            </w:pPr>
          </w:p>
        </w:tc>
        <w:tc>
          <w:tcPr>
            <w:tcW w:w="1062" w:type="dxa"/>
            <w:tcBorders>
              <w:top w:val="nil"/>
              <w:left w:val="single" w:sz="4" w:space="0" w:color="9CC2E4"/>
              <w:bottom w:val="single" w:sz="4" w:space="0" w:color="9CC2E4"/>
              <w:right w:val="single" w:sz="4" w:space="0" w:color="9CC2E4"/>
            </w:tcBorders>
            <w:shd w:val="clear" w:color="auto" w:fill="DEEAF6"/>
          </w:tcPr>
          <w:p w14:paraId="031B6047" w14:textId="77777777" w:rsidR="007450A8" w:rsidRPr="00E95D73" w:rsidRDefault="007450A8" w:rsidP="00321DEC">
            <w:pPr>
              <w:pStyle w:val="TableParagraph"/>
              <w:spacing w:line="360" w:lineRule="auto"/>
              <w:ind w:left="0"/>
              <w:jc w:val="both"/>
              <w:rPr>
                <w:sz w:val="20"/>
                <w:szCs w:val="20"/>
              </w:rPr>
            </w:pPr>
          </w:p>
        </w:tc>
        <w:tc>
          <w:tcPr>
            <w:tcW w:w="1062" w:type="dxa"/>
            <w:tcBorders>
              <w:top w:val="nil"/>
              <w:left w:val="single" w:sz="4" w:space="0" w:color="9CC2E4"/>
              <w:bottom w:val="single" w:sz="4" w:space="0" w:color="9CC2E4"/>
              <w:right w:val="single" w:sz="4" w:space="0" w:color="9CC2E4"/>
            </w:tcBorders>
            <w:shd w:val="clear" w:color="auto" w:fill="DEEAF6"/>
          </w:tcPr>
          <w:p w14:paraId="4C493D0A" w14:textId="77777777" w:rsidR="007450A8" w:rsidRPr="00E95D73" w:rsidRDefault="007450A8" w:rsidP="00321DEC">
            <w:pPr>
              <w:pStyle w:val="TableParagraph"/>
              <w:spacing w:line="360" w:lineRule="auto"/>
              <w:ind w:left="0"/>
              <w:jc w:val="both"/>
              <w:rPr>
                <w:sz w:val="20"/>
                <w:szCs w:val="20"/>
              </w:rPr>
            </w:pPr>
          </w:p>
        </w:tc>
        <w:tc>
          <w:tcPr>
            <w:tcW w:w="1062" w:type="dxa"/>
            <w:tcBorders>
              <w:top w:val="nil"/>
              <w:left w:val="single" w:sz="4" w:space="0" w:color="9CC2E4"/>
              <w:bottom w:val="single" w:sz="4" w:space="0" w:color="9CC2E4"/>
              <w:right w:val="single" w:sz="4" w:space="0" w:color="9CC2E4"/>
            </w:tcBorders>
            <w:shd w:val="clear" w:color="auto" w:fill="DEEAF6"/>
          </w:tcPr>
          <w:p w14:paraId="30B779C9" w14:textId="77777777" w:rsidR="007450A8" w:rsidRPr="00E95D73" w:rsidRDefault="007450A8" w:rsidP="00321DEC">
            <w:pPr>
              <w:pStyle w:val="TableParagraph"/>
              <w:spacing w:line="360" w:lineRule="auto"/>
              <w:ind w:left="0"/>
              <w:jc w:val="both"/>
              <w:rPr>
                <w:sz w:val="20"/>
                <w:szCs w:val="20"/>
              </w:rPr>
            </w:pPr>
          </w:p>
        </w:tc>
        <w:tc>
          <w:tcPr>
            <w:tcW w:w="1062" w:type="dxa"/>
            <w:tcBorders>
              <w:top w:val="nil"/>
              <w:left w:val="single" w:sz="4" w:space="0" w:color="9CC2E4"/>
              <w:bottom w:val="single" w:sz="4" w:space="0" w:color="9CC2E4"/>
              <w:right w:val="single" w:sz="4" w:space="0" w:color="9CC2E4"/>
            </w:tcBorders>
            <w:shd w:val="clear" w:color="auto" w:fill="DEEAF6"/>
          </w:tcPr>
          <w:p w14:paraId="09C7D3A3" w14:textId="77777777" w:rsidR="007450A8" w:rsidRPr="00E95D73" w:rsidRDefault="007450A8" w:rsidP="00321DEC">
            <w:pPr>
              <w:pStyle w:val="TableParagraph"/>
              <w:spacing w:line="360" w:lineRule="auto"/>
              <w:ind w:left="0"/>
              <w:jc w:val="both"/>
              <w:rPr>
                <w:sz w:val="20"/>
                <w:szCs w:val="20"/>
              </w:rPr>
            </w:pPr>
          </w:p>
        </w:tc>
      </w:tr>
      <w:tr w:rsidR="007450A8" w:rsidRPr="00E95D73" w14:paraId="4BF2CE8B" w14:textId="77777777" w:rsidTr="00820403">
        <w:trPr>
          <w:trHeight w:val="231"/>
        </w:trPr>
        <w:tc>
          <w:tcPr>
            <w:tcW w:w="4040" w:type="dxa"/>
            <w:tcBorders>
              <w:top w:val="single" w:sz="4" w:space="0" w:color="9CC2E4"/>
              <w:left w:val="single" w:sz="4" w:space="0" w:color="9CC2E4"/>
              <w:bottom w:val="single" w:sz="4" w:space="0" w:color="9CC2E4"/>
              <w:right w:val="single" w:sz="4" w:space="0" w:color="9CC2E4"/>
            </w:tcBorders>
          </w:tcPr>
          <w:p w14:paraId="1D48F4E1" w14:textId="77777777" w:rsidR="007450A8" w:rsidRPr="00E95D73" w:rsidRDefault="007450A8" w:rsidP="00321DEC">
            <w:pPr>
              <w:pStyle w:val="TableParagraph"/>
              <w:spacing w:line="360" w:lineRule="auto"/>
              <w:ind w:left="107"/>
              <w:jc w:val="both"/>
              <w:rPr>
                <w:sz w:val="20"/>
                <w:szCs w:val="20"/>
              </w:rPr>
            </w:pPr>
            <w:r w:rsidRPr="00E95D73">
              <w:rPr>
                <w:sz w:val="20"/>
                <w:szCs w:val="20"/>
              </w:rPr>
              <w:t>Share</w:t>
            </w:r>
            <w:r w:rsidRPr="00E95D73">
              <w:rPr>
                <w:spacing w:val="-4"/>
                <w:sz w:val="20"/>
                <w:szCs w:val="20"/>
              </w:rPr>
              <w:t xml:space="preserve"> </w:t>
            </w:r>
            <w:r w:rsidRPr="00E95D73">
              <w:rPr>
                <w:sz w:val="20"/>
                <w:szCs w:val="20"/>
              </w:rPr>
              <w:t>Holder’s</w:t>
            </w:r>
            <w:r w:rsidRPr="00E95D73">
              <w:rPr>
                <w:spacing w:val="-4"/>
                <w:sz w:val="20"/>
                <w:szCs w:val="20"/>
              </w:rPr>
              <w:t xml:space="preserve"> </w:t>
            </w:r>
            <w:r w:rsidRPr="00E95D73">
              <w:rPr>
                <w:spacing w:val="-2"/>
                <w:sz w:val="20"/>
                <w:szCs w:val="20"/>
              </w:rPr>
              <w:t>Capital</w:t>
            </w:r>
          </w:p>
        </w:tc>
        <w:tc>
          <w:tcPr>
            <w:tcW w:w="1062" w:type="dxa"/>
            <w:tcBorders>
              <w:top w:val="single" w:sz="4" w:space="0" w:color="9CC2E4"/>
              <w:left w:val="single" w:sz="4" w:space="0" w:color="9CC2E4"/>
              <w:bottom w:val="single" w:sz="4" w:space="0" w:color="9CC2E4"/>
              <w:right w:val="single" w:sz="4" w:space="0" w:color="9CC2E4"/>
            </w:tcBorders>
          </w:tcPr>
          <w:p w14:paraId="12E719EF"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46DA9029"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49D9406C"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2E894CAC"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644F295D" w14:textId="77777777" w:rsidR="007450A8" w:rsidRPr="00E95D73" w:rsidRDefault="007450A8" w:rsidP="00321DEC">
            <w:pPr>
              <w:pStyle w:val="TableParagraph"/>
              <w:spacing w:line="360" w:lineRule="auto"/>
              <w:ind w:left="0"/>
              <w:jc w:val="both"/>
              <w:rPr>
                <w:sz w:val="20"/>
                <w:szCs w:val="20"/>
              </w:rPr>
            </w:pPr>
          </w:p>
        </w:tc>
      </w:tr>
      <w:tr w:rsidR="007450A8" w:rsidRPr="00E95D73" w14:paraId="50D1A1C6" w14:textId="77777777" w:rsidTr="00820403">
        <w:trPr>
          <w:trHeight w:val="231"/>
        </w:trPr>
        <w:tc>
          <w:tcPr>
            <w:tcW w:w="4040" w:type="dxa"/>
            <w:tcBorders>
              <w:top w:val="single" w:sz="4" w:space="0" w:color="9CC2E4"/>
              <w:left w:val="single" w:sz="4" w:space="0" w:color="9CC2E4"/>
              <w:bottom w:val="single" w:sz="4" w:space="0" w:color="9CC2E4"/>
              <w:right w:val="single" w:sz="4" w:space="0" w:color="9CC2E4"/>
            </w:tcBorders>
            <w:shd w:val="clear" w:color="auto" w:fill="DEEAF6"/>
          </w:tcPr>
          <w:p w14:paraId="3CEA8AB4" w14:textId="77777777" w:rsidR="007450A8" w:rsidRPr="00E95D73" w:rsidRDefault="007450A8" w:rsidP="00321DEC">
            <w:pPr>
              <w:pStyle w:val="TableParagraph"/>
              <w:spacing w:line="360" w:lineRule="auto"/>
              <w:ind w:left="107"/>
              <w:jc w:val="both"/>
              <w:rPr>
                <w:sz w:val="20"/>
                <w:szCs w:val="20"/>
              </w:rPr>
            </w:pPr>
            <w:r w:rsidRPr="00E95D73">
              <w:rPr>
                <w:spacing w:val="-2"/>
                <w:sz w:val="20"/>
                <w:szCs w:val="20"/>
              </w:rPr>
              <w:t>Authorized</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CD7FDED"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5351B1A"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15DA283"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30307546"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E0FD7AB" w14:textId="77777777" w:rsidR="007450A8" w:rsidRPr="00E95D73" w:rsidRDefault="007450A8" w:rsidP="00321DEC">
            <w:pPr>
              <w:pStyle w:val="TableParagraph"/>
              <w:spacing w:line="360" w:lineRule="auto"/>
              <w:ind w:left="0"/>
              <w:jc w:val="both"/>
              <w:rPr>
                <w:sz w:val="20"/>
                <w:szCs w:val="20"/>
              </w:rPr>
            </w:pPr>
          </w:p>
        </w:tc>
      </w:tr>
      <w:tr w:rsidR="007450A8" w:rsidRPr="00E95D73" w14:paraId="2C91D170" w14:textId="77777777" w:rsidTr="00820403">
        <w:trPr>
          <w:trHeight w:val="463"/>
        </w:trPr>
        <w:tc>
          <w:tcPr>
            <w:tcW w:w="4040" w:type="dxa"/>
            <w:tcBorders>
              <w:top w:val="single" w:sz="4" w:space="0" w:color="9CC2E4"/>
              <w:left w:val="single" w:sz="4" w:space="0" w:color="9CC2E4"/>
              <w:bottom w:val="single" w:sz="4" w:space="0" w:color="9CC2E4"/>
              <w:right w:val="single" w:sz="4" w:space="0" w:color="9CC2E4"/>
            </w:tcBorders>
          </w:tcPr>
          <w:p w14:paraId="1537FCED" w14:textId="77777777" w:rsidR="007450A8" w:rsidRPr="00E95D73" w:rsidRDefault="007450A8" w:rsidP="00321DEC">
            <w:pPr>
              <w:pStyle w:val="TableParagraph"/>
              <w:spacing w:line="360" w:lineRule="auto"/>
              <w:ind w:left="107"/>
              <w:jc w:val="both"/>
              <w:rPr>
                <w:sz w:val="20"/>
                <w:szCs w:val="20"/>
              </w:rPr>
            </w:pPr>
            <w:r w:rsidRPr="00E95D73">
              <w:rPr>
                <w:sz w:val="20"/>
                <w:szCs w:val="20"/>
              </w:rPr>
              <w:t xml:space="preserve">2000000000 Ordinary Share of Tk.10/- </w:t>
            </w:r>
            <w:r w:rsidRPr="00E95D73">
              <w:rPr>
                <w:spacing w:val="-4"/>
                <w:sz w:val="20"/>
                <w:szCs w:val="20"/>
              </w:rPr>
              <w:t>each</w:t>
            </w:r>
          </w:p>
        </w:tc>
        <w:tc>
          <w:tcPr>
            <w:tcW w:w="1062" w:type="dxa"/>
            <w:tcBorders>
              <w:top w:val="single" w:sz="4" w:space="0" w:color="9CC2E4"/>
              <w:left w:val="single" w:sz="4" w:space="0" w:color="9CC2E4"/>
              <w:bottom w:val="single" w:sz="4" w:space="0" w:color="9CC2E4"/>
              <w:right w:val="single" w:sz="4" w:space="0" w:color="9CC2E4"/>
            </w:tcBorders>
          </w:tcPr>
          <w:p w14:paraId="1FEEDB54" w14:textId="77777777" w:rsidR="007450A8" w:rsidRPr="00E95D73" w:rsidRDefault="007450A8" w:rsidP="00321DEC">
            <w:pPr>
              <w:pStyle w:val="TableParagraph"/>
              <w:spacing w:before="1" w:line="360" w:lineRule="auto"/>
              <w:jc w:val="both"/>
              <w:rPr>
                <w:sz w:val="20"/>
                <w:szCs w:val="20"/>
              </w:rPr>
            </w:pPr>
            <w:r w:rsidRPr="00E95D73">
              <w:rPr>
                <w:spacing w:val="-2"/>
                <w:sz w:val="20"/>
                <w:szCs w:val="20"/>
              </w:rPr>
              <w:t>0.00%</w:t>
            </w:r>
          </w:p>
        </w:tc>
        <w:tc>
          <w:tcPr>
            <w:tcW w:w="1062" w:type="dxa"/>
            <w:tcBorders>
              <w:top w:val="single" w:sz="4" w:space="0" w:color="9CC2E4"/>
              <w:left w:val="single" w:sz="4" w:space="0" w:color="9CC2E4"/>
              <w:bottom w:val="single" w:sz="4" w:space="0" w:color="9CC2E4"/>
              <w:right w:val="single" w:sz="4" w:space="0" w:color="9CC2E4"/>
            </w:tcBorders>
          </w:tcPr>
          <w:p w14:paraId="2960E714" w14:textId="77777777" w:rsidR="007450A8" w:rsidRPr="00E95D73" w:rsidRDefault="007450A8" w:rsidP="00321DEC">
            <w:pPr>
              <w:pStyle w:val="TableParagraph"/>
              <w:spacing w:before="1" w:line="360" w:lineRule="auto"/>
              <w:jc w:val="both"/>
              <w:rPr>
                <w:sz w:val="20"/>
                <w:szCs w:val="20"/>
              </w:rPr>
            </w:pPr>
            <w:r w:rsidRPr="00E95D73">
              <w:rPr>
                <w:spacing w:val="-2"/>
                <w:sz w:val="20"/>
                <w:szCs w:val="20"/>
              </w:rPr>
              <w:t>0.00%</w:t>
            </w:r>
          </w:p>
        </w:tc>
        <w:tc>
          <w:tcPr>
            <w:tcW w:w="1062" w:type="dxa"/>
            <w:tcBorders>
              <w:top w:val="single" w:sz="4" w:space="0" w:color="9CC2E4"/>
              <w:left w:val="single" w:sz="4" w:space="0" w:color="9CC2E4"/>
              <w:bottom w:val="single" w:sz="4" w:space="0" w:color="9CC2E4"/>
              <w:right w:val="single" w:sz="4" w:space="0" w:color="9CC2E4"/>
            </w:tcBorders>
          </w:tcPr>
          <w:p w14:paraId="058DC1A3" w14:textId="77777777" w:rsidR="007450A8" w:rsidRPr="00E95D73" w:rsidRDefault="007450A8" w:rsidP="00321DEC">
            <w:pPr>
              <w:pStyle w:val="TableParagraph"/>
              <w:spacing w:before="1" w:line="360" w:lineRule="auto"/>
              <w:jc w:val="both"/>
              <w:rPr>
                <w:sz w:val="20"/>
                <w:szCs w:val="20"/>
              </w:rPr>
            </w:pPr>
            <w:r w:rsidRPr="00E95D73">
              <w:rPr>
                <w:spacing w:val="-2"/>
                <w:sz w:val="20"/>
                <w:szCs w:val="20"/>
              </w:rPr>
              <w:t>0.00%</w:t>
            </w:r>
          </w:p>
        </w:tc>
        <w:tc>
          <w:tcPr>
            <w:tcW w:w="1062" w:type="dxa"/>
            <w:tcBorders>
              <w:top w:val="single" w:sz="4" w:space="0" w:color="9CC2E4"/>
              <w:left w:val="single" w:sz="4" w:space="0" w:color="9CC2E4"/>
              <w:bottom w:val="single" w:sz="4" w:space="0" w:color="9CC2E4"/>
              <w:right w:val="single" w:sz="4" w:space="0" w:color="9CC2E4"/>
            </w:tcBorders>
          </w:tcPr>
          <w:p w14:paraId="2A4A35C0" w14:textId="77777777" w:rsidR="007450A8" w:rsidRPr="00E95D73" w:rsidRDefault="007450A8" w:rsidP="00321DEC">
            <w:pPr>
              <w:pStyle w:val="TableParagraph"/>
              <w:spacing w:before="1" w:line="360" w:lineRule="auto"/>
              <w:jc w:val="both"/>
              <w:rPr>
                <w:sz w:val="20"/>
                <w:szCs w:val="20"/>
              </w:rPr>
            </w:pPr>
            <w:r w:rsidRPr="00E95D73">
              <w:rPr>
                <w:spacing w:val="-2"/>
                <w:sz w:val="20"/>
                <w:szCs w:val="20"/>
              </w:rPr>
              <w:t>0.00%</w:t>
            </w:r>
          </w:p>
        </w:tc>
        <w:tc>
          <w:tcPr>
            <w:tcW w:w="1062" w:type="dxa"/>
            <w:tcBorders>
              <w:top w:val="single" w:sz="4" w:space="0" w:color="9CC2E4"/>
              <w:left w:val="single" w:sz="4" w:space="0" w:color="9CC2E4"/>
              <w:bottom w:val="single" w:sz="4" w:space="0" w:color="9CC2E4"/>
              <w:right w:val="single" w:sz="4" w:space="0" w:color="9CC2E4"/>
            </w:tcBorders>
          </w:tcPr>
          <w:p w14:paraId="7BFCCEAE" w14:textId="77777777" w:rsidR="007450A8" w:rsidRPr="00E95D73" w:rsidRDefault="007450A8" w:rsidP="00321DEC">
            <w:pPr>
              <w:pStyle w:val="TableParagraph"/>
              <w:spacing w:before="1" w:line="360" w:lineRule="auto"/>
              <w:jc w:val="both"/>
              <w:rPr>
                <w:sz w:val="20"/>
                <w:szCs w:val="20"/>
              </w:rPr>
            </w:pPr>
            <w:r w:rsidRPr="00E95D73">
              <w:rPr>
                <w:spacing w:val="-2"/>
                <w:sz w:val="20"/>
                <w:szCs w:val="20"/>
              </w:rPr>
              <w:t>0.00%</w:t>
            </w:r>
          </w:p>
        </w:tc>
      </w:tr>
      <w:tr w:rsidR="007450A8" w:rsidRPr="00E95D73" w14:paraId="0611BF00" w14:textId="77777777" w:rsidTr="00820403">
        <w:trPr>
          <w:trHeight w:val="231"/>
        </w:trPr>
        <w:tc>
          <w:tcPr>
            <w:tcW w:w="4040" w:type="dxa"/>
            <w:tcBorders>
              <w:top w:val="single" w:sz="4" w:space="0" w:color="9CC2E4"/>
              <w:left w:val="single" w:sz="4" w:space="0" w:color="9CC2E4"/>
              <w:bottom w:val="single" w:sz="4" w:space="0" w:color="9CC2E4"/>
              <w:right w:val="single" w:sz="4" w:space="0" w:color="9CC2E4"/>
            </w:tcBorders>
          </w:tcPr>
          <w:p w14:paraId="7CF7CAE3" w14:textId="77777777" w:rsidR="007450A8" w:rsidRPr="00E95D73" w:rsidRDefault="007450A8" w:rsidP="00321DEC">
            <w:pPr>
              <w:pStyle w:val="TableParagraph"/>
              <w:spacing w:line="360" w:lineRule="auto"/>
              <w:ind w:left="107"/>
              <w:jc w:val="both"/>
              <w:rPr>
                <w:sz w:val="20"/>
                <w:szCs w:val="20"/>
              </w:rPr>
            </w:pPr>
            <w:r w:rsidRPr="00E95D73">
              <w:rPr>
                <w:sz w:val="20"/>
                <w:szCs w:val="20"/>
              </w:rPr>
              <w:t>Issued,</w:t>
            </w:r>
            <w:r w:rsidRPr="00E95D73">
              <w:rPr>
                <w:spacing w:val="-3"/>
                <w:sz w:val="20"/>
                <w:szCs w:val="20"/>
              </w:rPr>
              <w:t xml:space="preserve"> </w:t>
            </w:r>
            <w:r w:rsidRPr="00E95D73">
              <w:rPr>
                <w:sz w:val="20"/>
                <w:szCs w:val="20"/>
              </w:rPr>
              <w:t>Subscribe</w:t>
            </w:r>
            <w:r w:rsidRPr="00E95D73">
              <w:rPr>
                <w:spacing w:val="-2"/>
                <w:sz w:val="20"/>
                <w:szCs w:val="20"/>
              </w:rPr>
              <w:t xml:space="preserve"> </w:t>
            </w:r>
            <w:r w:rsidRPr="00E95D73">
              <w:rPr>
                <w:sz w:val="20"/>
                <w:szCs w:val="20"/>
              </w:rPr>
              <w:t>and</w:t>
            </w:r>
            <w:r w:rsidRPr="00E95D73">
              <w:rPr>
                <w:spacing w:val="-3"/>
                <w:sz w:val="20"/>
                <w:szCs w:val="20"/>
              </w:rPr>
              <w:t xml:space="preserve"> </w:t>
            </w:r>
            <w:r w:rsidRPr="00E95D73">
              <w:rPr>
                <w:sz w:val="20"/>
                <w:szCs w:val="20"/>
              </w:rPr>
              <w:t>Paid</w:t>
            </w:r>
            <w:r w:rsidRPr="00E95D73">
              <w:rPr>
                <w:spacing w:val="-3"/>
                <w:sz w:val="20"/>
                <w:szCs w:val="20"/>
              </w:rPr>
              <w:t xml:space="preserve"> </w:t>
            </w:r>
            <w:r w:rsidRPr="00E95D73">
              <w:rPr>
                <w:spacing w:val="-5"/>
                <w:sz w:val="20"/>
                <w:szCs w:val="20"/>
              </w:rPr>
              <w:t>up</w:t>
            </w:r>
          </w:p>
        </w:tc>
        <w:tc>
          <w:tcPr>
            <w:tcW w:w="1062" w:type="dxa"/>
            <w:tcBorders>
              <w:top w:val="single" w:sz="4" w:space="0" w:color="9CC2E4"/>
              <w:left w:val="single" w:sz="4" w:space="0" w:color="9CC2E4"/>
              <w:bottom w:val="single" w:sz="4" w:space="0" w:color="9CC2E4"/>
              <w:right w:val="single" w:sz="4" w:space="0" w:color="9CC2E4"/>
            </w:tcBorders>
          </w:tcPr>
          <w:p w14:paraId="492F4E64"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36DF29C5"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2A52436F"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30F1BD23" w14:textId="77777777" w:rsidR="007450A8" w:rsidRPr="00E95D73" w:rsidRDefault="007450A8" w:rsidP="00321DEC">
            <w:pPr>
              <w:pStyle w:val="TableParagraph"/>
              <w:spacing w:line="360" w:lineRule="auto"/>
              <w:ind w:left="0"/>
              <w:jc w:val="both"/>
              <w:rPr>
                <w:sz w:val="20"/>
                <w:szCs w:val="20"/>
              </w:rPr>
            </w:pPr>
          </w:p>
        </w:tc>
        <w:tc>
          <w:tcPr>
            <w:tcW w:w="1062" w:type="dxa"/>
            <w:tcBorders>
              <w:top w:val="single" w:sz="4" w:space="0" w:color="9CC2E4"/>
              <w:left w:val="single" w:sz="4" w:space="0" w:color="9CC2E4"/>
              <w:bottom w:val="single" w:sz="4" w:space="0" w:color="9CC2E4"/>
              <w:right w:val="single" w:sz="4" w:space="0" w:color="9CC2E4"/>
            </w:tcBorders>
          </w:tcPr>
          <w:p w14:paraId="44F1A9F4" w14:textId="77777777" w:rsidR="007450A8" w:rsidRPr="00E95D73" w:rsidRDefault="007450A8" w:rsidP="00321DEC">
            <w:pPr>
              <w:pStyle w:val="TableParagraph"/>
              <w:spacing w:line="360" w:lineRule="auto"/>
              <w:ind w:left="0"/>
              <w:jc w:val="both"/>
              <w:rPr>
                <w:sz w:val="20"/>
                <w:szCs w:val="20"/>
              </w:rPr>
            </w:pPr>
          </w:p>
        </w:tc>
      </w:tr>
      <w:tr w:rsidR="007450A8" w:rsidRPr="00E95D73" w14:paraId="4E1563C8" w14:textId="77777777" w:rsidTr="00820403">
        <w:trPr>
          <w:trHeight w:val="463"/>
        </w:trPr>
        <w:tc>
          <w:tcPr>
            <w:tcW w:w="4040" w:type="dxa"/>
            <w:tcBorders>
              <w:top w:val="single" w:sz="4" w:space="0" w:color="9CC2E4"/>
              <w:left w:val="single" w:sz="4" w:space="0" w:color="9CC2E4"/>
              <w:bottom w:val="single" w:sz="4" w:space="0" w:color="9CC2E4"/>
              <w:right w:val="single" w:sz="4" w:space="0" w:color="9CC2E4"/>
            </w:tcBorders>
            <w:shd w:val="clear" w:color="auto" w:fill="DEEAF6"/>
          </w:tcPr>
          <w:p w14:paraId="71D90FCE" w14:textId="77777777" w:rsidR="007450A8" w:rsidRPr="00E95D73" w:rsidRDefault="007450A8" w:rsidP="00321DEC">
            <w:pPr>
              <w:pStyle w:val="TableParagraph"/>
              <w:spacing w:line="360" w:lineRule="auto"/>
              <w:ind w:left="107"/>
              <w:jc w:val="both"/>
              <w:rPr>
                <w:sz w:val="20"/>
                <w:szCs w:val="20"/>
              </w:rPr>
            </w:pPr>
            <w:r w:rsidRPr="00E95D73">
              <w:rPr>
                <w:sz w:val="20"/>
                <w:szCs w:val="20"/>
              </w:rPr>
              <w:t>108,521,981</w:t>
            </w:r>
            <w:r w:rsidRPr="00E95D73">
              <w:rPr>
                <w:spacing w:val="-7"/>
                <w:sz w:val="20"/>
                <w:szCs w:val="20"/>
              </w:rPr>
              <w:t xml:space="preserve"> </w:t>
            </w:r>
            <w:r w:rsidRPr="00E95D73">
              <w:rPr>
                <w:sz w:val="20"/>
                <w:szCs w:val="20"/>
              </w:rPr>
              <w:t>Ordinary</w:t>
            </w:r>
            <w:r w:rsidRPr="00E95D73">
              <w:rPr>
                <w:spacing w:val="-7"/>
                <w:sz w:val="20"/>
                <w:szCs w:val="20"/>
              </w:rPr>
              <w:t xml:space="preserve"> </w:t>
            </w:r>
            <w:r w:rsidRPr="00E95D73">
              <w:rPr>
                <w:sz w:val="20"/>
                <w:szCs w:val="20"/>
              </w:rPr>
              <w:t>Share</w:t>
            </w:r>
            <w:r w:rsidRPr="00E95D73">
              <w:rPr>
                <w:spacing w:val="-7"/>
                <w:sz w:val="20"/>
                <w:szCs w:val="20"/>
              </w:rPr>
              <w:t xml:space="preserve"> </w:t>
            </w:r>
            <w:r w:rsidRPr="00E95D73">
              <w:rPr>
                <w:sz w:val="20"/>
                <w:szCs w:val="20"/>
              </w:rPr>
              <w:t>of</w:t>
            </w:r>
            <w:r w:rsidRPr="00E95D73">
              <w:rPr>
                <w:spacing w:val="-13"/>
                <w:sz w:val="20"/>
                <w:szCs w:val="20"/>
              </w:rPr>
              <w:t xml:space="preserve"> </w:t>
            </w:r>
            <w:r w:rsidRPr="00E95D73">
              <w:rPr>
                <w:sz w:val="20"/>
                <w:szCs w:val="20"/>
              </w:rPr>
              <w:t>Tk.</w:t>
            </w:r>
            <w:r w:rsidRPr="00E95D73">
              <w:rPr>
                <w:spacing w:val="-7"/>
                <w:sz w:val="20"/>
                <w:szCs w:val="20"/>
              </w:rPr>
              <w:t xml:space="preserve"> </w:t>
            </w:r>
            <w:r w:rsidRPr="00E95D73">
              <w:rPr>
                <w:sz w:val="20"/>
                <w:szCs w:val="20"/>
              </w:rPr>
              <w:t xml:space="preserve">10/- </w:t>
            </w:r>
            <w:r w:rsidRPr="00E95D73">
              <w:rPr>
                <w:spacing w:val="-4"/>
                <w:sz w:val="20"/>
                <w:szCs w:val="20"/>
              </w:rPr>
              <w:t>each</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F404381" w14:textId="77777777" w:rsidR="007450A8" w:rsidRPr="00E95D73" w:rsidRDefault="007450A8" w:rsidP="00321DEC">
            <w:pPr>
              <w:pStyle w:val="TableParagraph"/>
              <w:spacing w:line="360" w:lineRule="auto"/>
              <w:jc w:val="both"/>
              <w:rPr>
                <w:sz w:val="20"/>
                <w:szCs w:val="20"/>
              </w:rPr>
            </w:pPr>
            <w:r w:rsidRPr="00E95D73">
              <w:rPr>
                <w:spacing w:val="-2"/>
                <w:sz w:val="20"/>
                <w:szCs w:val="20"/>
              </w:rPr>
              <w:t>1.97%</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F6A7478" w14:textId="77777777" w:rsidR="007450A8" w:rsidRPr="00E95D73" w:rsidRDefault="007450A8" w:rsidP="00321DEC">
            <w:pPr>
              <w:pStyle w:val="TableParagraph"/>
              <w:spacing w:line="360" w:lineRule="auto"/>
              <w:jc w:val="both"/>
              <w:rPr>
                <w:sz w:val="20"/>
                <w:szCs w:val="20"/>
              </w:rPr>
            </w:pPr>
            <w:r w:rsidRPr="00E95D73">
              <w:rPr>
                <w:spacing w:val="-2"/>
                <w:sz w:val="20"/>
                <w:szCs w:val="20"/>
              </w:rPr>
              <w:t>2.05%</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202F9CF" w14:textId="77777777" w:rsidR="007450A8" w:rsidRPr="00E95D73" w:rsidRDefault="007450A8" w:rsidP="00321DEC">
            <w:pPr>
              <w:pStyle w:val="TableParagraph"/>
              <w:spacing w:line="360" w:lineRule="auto"/>
              <w:jc w:val="both"/>
              <w:rPr>
                <w:sz w:val="20"/>
                <w:szCs w:val="20"/>
              </w:rPr>
            </w:pPr>
            <w:r w:rsidRPr="00E95D73">
              <w:rPr>
                <w:spacing w:val="-2"/>
                <w:sz w:val="20"/>
                <w:szCs w:val="20"/>
              </w:rPr>
              <w:t>2.21%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736485A" w14:textId="77777777" w:rsidR="007450A8" w:rsidRPr="00E95D73" w:rsidRDefault="007450A8" w:rsidP="00321DEC">
            <w:pPr>
              <w:pStyle w:val="TableParagraph"/>
              <w:spacing w:line="360" w:lineRule="auto"/>
              <w:jc w:val="both"/>
              <w:rPr>
                <w:sz w:val="20"/>
                <w:szCs w:val="20"/>
              </w:rPr>
            </w:pPr>
            <w:r w:rsidRPr="00E95D73">
              <w:rPr>
                <w:spacing w:val="-2"/>
                <w:sz w:val="20"/>
                <w:szCs w:val="20"/>
              </w:rPr>
              <w:t>2.39%</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4882697B" w14:textId="77777777" w:rsidR="007450A8" w:rsidRPr="00E95D73" w:rsidRDefault="007450A8" w:rsidP="00321DEC">
            <w:pPr>
              <w:pStyle w:val="TableParagraph"/>
              <w:spacing w:line="360" w:lineRule="auto"/>
              <w:jc w:val="both"/>
              <w:rPr>
                <w:sz w:val="20"/>
                <w:szCs w:val="20"/>
              </w:rPr>
            </w:pPr>
            <w:r w:rsidRPr="00E95D73">
              <w:rPr>
                <w:spacing w:val="-2"/>
                <w:sz w:val="20"/>
                <w:szCs w:val="20"/>
              </w:rPr>
              <w:t>2.55%</w:t>
            </w:r>
          </w:p>
        </w:tc>
      </w:tr>
      <w:tr w:rsidR="007450A8" w:rsidRPr="00E95D73" w14:paraId="7F0EF269" w14:textId="77777777" w:rsidTr="00820403">
        <w:trPr>
          <w:trHeight w:val="231"/>
        </w:trPr>
        <w:tc>
          <w:tcPr>
            <w:tcW w:w="4040" w:type="dxa"/>
            <w:tcBorders>
              <w:top w:val="single" w:sz="4" w:space="0" w:color="9CC2E4"/>
              <w:left w:val="single" w:sz="4" w:space="0" w:color="9CC2E4"/>
              <w:bottom w:val="single" w:sz="4" w:space="0" w:color="9CC2E4"/>
              <w:right w:val="single" w:sz="4" w:space="0" w:color="9CC2E4"/>
            </w:tcBorders>
          </w:tcPr>
          <w:p w14:paraId="30082650" w14:textId="77777777" w:rsidR="007450A8" w:rsidRPr="00E95D73" w:rsidRDefault="007450A8" w:rsidP="00321DEC">
            <w:pPr>
              <w:pStyle w:val="TableParagraph"/>
              <w:spacing w:line="360" w:lineRule="auto"/>
              <w:ind w:left="107"/>
              <w:jc w:val="both"/>
              <w:rPr>
                <w:sz w:val="20"/>
                <w:szCs w:val="20"/>
              </w:rPr>
            </w:pPr>
            <w:r w:rsidRPr="00E95D73">
              <w:rPr>
                <w:sz w:val="20"/>
                <w:szCs w:val="20"/>
              </w:rPr>
              <w:t>Life</w:t>
            </w:r>
            <w:r w:rsidRPr="00E95D73">
              <w:rPr>
                <w:spacing w:val="-3"/>
                <w:sz w:val="20"/>
                <w:szCs w:val="20"/>
              </w:rPr>
              <w:t xml:space="preserve"> </w:t>
            </w:r>
            <w:r w:rsidRPr="00E95D73">
              <w:rPr>
                <w:sz w:val="20"/>
                <w:szCs w:val="20"/>
              </w:rPr>
              <w:t>Insurance</w:t>
            </w:r>
            <w:r w:rsidRPr="00E95D73">
              <w:rPr>
                <w:spacing w:val="-3"/>
                <w:sz w:val="20"/>
                <w:szCs w:val="20"/>
              </w:rPr>
              <w:t xml:space="preserve"> </w:t>
            </w:r>
            <w:r w:rsidRPr="00E95D73">
              <w:rPr>
                <w:spacing w:val="-4"/>
                <w:sz w:val="20"/>
                <w:szCs w:val="20"/>
              </w:rPr>
              <w:t>Fund</w:t>
            </w:r>
          </w:p>
        </w:tc>
        <w:tc>
          <w:tcPr>
            <w:tcW w:w="1062" w:type="dxa"/>
            <w:tcBorders>
              <w:top w:val="single" w:sz="4" w:space="0" w:color="9CC2E4"/>
              <w:left w:val="single" w:sz="4" w:space="0" w:color="9CC2E4"/>
              <w:bottom w:val="single" w:sz="4" w:space="0" w:color="9CC2E4"/>
              <w:right w:val="single" w:sz="4" w:space="0" w:color="9CC2E4"/>
            </w:tcBorders>
          </w:tcPr>
          <w:p w14:paraId="43B2886E" w14:textId="77777777" w:rsidR="007450A8" w:rsidRPr="00E95D73" w:rsidRDefault="007450A8" w:rsidP="00321DEC">
            <w:pPr>
              <w:pStyle w:val="TableParagraph"/>
              <w:spacing w:line="360" w:lineRule="auto"/>
              <w:jc w:val="both"/>
              <w:rPr>
                <w:sz w:val="20"/>
                <w:szCs w:val="20"/>
              </w:rPr>
            </w:pPr>
            <w:r w:rsidRPr="00E95D73">
              <w:rPr>
                <w:spacing w:val="-2"/>
                <w:sz w:val="20"/>
                <w:szCs w:val="20"/>
              </w:rPr>
              <w:t>87.08%</w:t>
            </w:r>
          </w:p>
        </w:tc>
        <w:tc>
          <w:tcPr>
            <w:tcW w:w="1062" w:type="dxa"/>
            <w:tcBorders>
              <w:top w:val="single" w:sz="4" w:space="0" w:color="9CC2E4"/>
              <w:left w:val="single" w:sz="4" w:space="0" w:color="9CC2E4"/>
              <w:bottom w:val="single" w:sz="4" w:space="0" w:color="9CC2E4"/>
              <w:right w:val="single" w:sz="4" w:space="0" w:color="9CC2E4"/>
            </w:tcBorders>
          </w:tcPr>
          <w:p w14:paraId="3328B4BC" w14:textId="77777777" w:rsidR="007450A8" w:rsidRPr="00E95D73" w:rsidRDefault="007450A8" w:rsidP="00321DEC">
            <w:pPr>
              <w:pStyle w:val="TableParagraph"/>
              <w:spacing w:line="360" w:lineRule="auto"/>
              <w:jc w:val="both"/>
              <w:rPr>
                <w:sz w:val="20"/>
                <w:szCs w:val="20"/>
              </w:rPr>
            </w:pPr>
            <w:r w:rsidRPr="00E95D73">
              <w:rPr>
                <w:spacing w:val="-2"/>
                <w:sz w:val="20"/>
                <w:szCs w:val="20"/>
              </w:rPr>
              <w:t>82.78%</w:t>
            </w:r>
          </w:p>
        </w:tc>
        <w:tc>
          <w:tcPr>
            <w:tcW w:w="1062" w:type="dxa"/>
            <w:tcBorders>
              <w:top w:val="single" w:sz="4" w:space="0" w:color="9CC2E4"/>
              <w:left w:val="single" w:sz="4" w:space="0" w:color="9CC2E4"/>
              <w:bottom w:val="single" w:sz="4" w:space="0" w:color="9CC2E4"/>
              <w:right w:val="single" w:sz="4" w:space="0" w:color="9CC2E4"/>
            </w:tcBorders>
          </w:tcPr>
          <w:p w14:paraId="3BAA62CB" w14:textId="77777777" w:rsidR="007450A8" w:rsidRPr="00E95D73" w:rsidRDefault="007450A8" w:rsidP="00321DEC">
            <w:pPr>
              <w:pStyle w:val="TableParagraph"/>
              <w:spacing w:line="360" w:lineRule="auto"/>
              <w:jc w:val="both"/>
              <w:rPr>
                <w:sz w:val="20"/>
                <w:szCs w:val="20"/>
              </w:rPr>
            </w:pPr>
            <w:r w:rsidRPr="00E95D73">
              <w:rPr>
                <w:spacing w:val="-2"/>
                <w:sz w:val="20"/>
                <w:szCs w:val="20"/>
              </w:rPr>
              <w:t>81.62%</w:t>
            </w:r>
          </w:p>
        </w:tc>
        <w:tc>
          <w:tcPr>
            <w:tcW w:w="1062" w:type="dxa"/>
            <w:tcBorders>
              <w:top w:val="single" w:sz="4" w:space="0" w:color="9CC2E4"/>
              <w:left w:val="single" w:sz="4" w:space="0" w:color="9CC2E4"/>
              <w:bottom w:val="single" w:sz="4" w:space="0" w:color="9CC2E4"/>
              <w:right w:val="single" w:sz="4" w:space="0" w:color="9CC2E4"/>
            </w:tcBorders>
          </w:tcPr>
          <w:p w14:paraId="129CDF10" w14:textId="77777777" w:rsidR="007450A8" w:rsidRPr="00E95D73" w:rsidRDefault="007450A8" w:rsidP="00321DEC">
            <w:pPr>
              <w:pStyle w:val="TableParagraph"/>
              <w:spacing w:line="360" w:lineRule="auto"/>
              <w:jc w:val="both"/>
              <w:rPr>
                <w:sz w:val="20"/>
                <w:szCs w:val="20"/>
              </w:rPr>
            </w:pPr>
            <w:r w:rsidRPr="00E95D73">
              <w:rPr>
                <w:spacing w:val="-2"/>
                <w:sz w:val="20"/>
                <w:szCs w:val="20"/>
              </w:rPr>
              <w:t>81.54%</w:t>
            </w:r>
          </w:p>
        </w:tc>
        <w:tc>
          <w:tcPr>
            <w:tcW w:w="1062" w:type="dxa"/>
            <w:tcBorders>
              <w:top w:val="single" w:sz="4" w:space="0" w:color="9CC2E4"/>
              <w:left w:val="single" w:sz="4" w:space="0" w:color="9CC2E4"/>
              <w:bottom w:val="single" w:sz="4" w:space="0" w:color="9CC2E4"/>
              <w:right w:val="single" w:sz="4" w:space="0" w:color="9CC2E4"/>
            </w:tcBorders>
          </w:tcPr>
          <w:p w14:paraId="27263012" w14:textId="77777777" w:rsidR="007450A8" w:rsidRPr="00E95D73" w:rsidRDefault="007450A8" w:rsidP="00321DEC">
            <w:pPr>
              <w:pStyle w:val="TableParagraph"/>
              <w:spacing w:line="360" w:lineRule="auto"/>
              <w:jc w:val="both"/>
              <w:rPr>
                <w:sz w:val="20"/>
                <w:szCs w:val="20"/>
              </w:rPr>
            </w:pPr>
            <w:r w:rsidRPr="00E95D73">
              <w:rPr>
                <w:spacing w:val="-2"/>
                <w:sz w:val="20"/>
                <w:szCs w:val="20"/>
              </w:rPr>
              <w:t>81.20%</w:t>
            </w:r>
          </w:p>
        </w:tc>
      </w:tr>
      <w:tr w:rsidR="007450A8" w:rsidRPr="00E95D73" w14:paraId="60C909CB" w14:textId="77777777" w:rsidTr="00820403">
        <w:trPr>
          <w:trHeight w:val="695"/>
        </w:trPr>
        <w:tc>
          <w:tcPr>
            <w:tcW w:w="4040" w:type="dxa"/>
            <w:tcBorders>
              <w:top w:val="single" w:sz="4" w:space="0" w:color="9CC2E4"/>
              <w:left w:val="single" w:sz="4" w:space="0" w:color="9CC2E4"/>
              <w:bottom w:val="single" w:sz="4" w:space="0" w:color="9CC2E4"/>
              <w:right w:val="single" w:sz="4" w:space="0" w:color="9CC2E4"/>
            </w:tcBorders>
          </w:tcPr>
          <w:p w14:paraId="135FB51F" w14:textId="58783362" w:rsidR="007450A8" w:rsidRPr="00E95D73" w:rsidRDefault="007450A8" w:rsidP="00321DEC">
            <w:pPr>
              <w:pStyle w:val="TableParagraph"/>
              <w:spacing w:line="360" w:lineRule="auto"/>
              <w:ind w:left="0" w:right="92"/>
              <w:jc w:val="both"/>
              <w:rPr>
                <w:sz w:val="20"/>
                <w:szCs w:val="20"/>
              </w:rPr>
            </w:pPr>
            <w:r w:rsidRPr="00E95D73">
              <w:rPr>
                <w:sz w:val="20"/>
                <w:szCs w:val="20"/>
              </w:rPr>
              <w:t xml:space="preserve">Due </w:t>
            </w:r>
            <w:r w:rsidR="00E95D73" w:rsidRPr="00E95D73">
              <w:rPr>
                <w:sz w:val="20"/>
                <w:szCs w:val="20"/>
              </w:rPr>
              <w:t>to</w:t>
            </w:r>
            <w:r w:rsidRPr="00E95D73">
              <w:rPr>
                <w:sz w:val="20"/>
                <w:szCs w:val="20"/>
              </w:rPr>
              <w:t xml:space="preserve"> Other Persons or Bodies </w:t>
            </w:r>
          </w:p>
        </w:tc>
        <w:tc>
          <w:tcPr>
            <w:tcW w:w="1062" w:type="dxa"/>
            <w:tcBorders>
              <w:top w:val="single" w:sz="4" w:space="0" w:color="9CC2E4"/>
              <w:left w:val="single" w:sz="4" w:space="0" w:color="9CC2E4"/>
              <w:bottom w:val="single" w:sz="4" w:space="0" w:color="9CC2E4"/>
              <w:right w:val="single" w:sz="4" w:space="0" w:color="9CC2E4"/>
            </w:tcBorders>
          </w:tcPr>
          <w:p w14:paraId="59B42DD1" w14:textId="77777777" w:rsidR="007450A8" w:rsidRPr="00E95D73" w:rsidRDefault="007450A8" w:rsidP="00321DEC">
            <w:pPr>
              <w:pStyle w:val="TableParagraph"/>
              <w:spacing w:line="360" w:lineRule="auto"/>
              <w:jc w:val="both"/>
              <w:rPr>
                <w:sz w:val="20"/>
                <w:szCs w:val="20"/>
              </w:rPr>
            </w:pPr>
            <w:r w:rsidRPr="00E95D73">
              <w:rPr>
                <w:spacing w:val="-2"/>
                <w:sz w:val="20"/>
                <w:szCs w:val="20"/>
              </w:rPr>
              <w:t>0.30%</w:t>
            </w:r>
          </w:p>
        </w:tc>
        <w:tc>
          <w:tcPr>
            <w:tcW w:w="1062" w:type="dxa"/>
            <w:tcBorders>
              <w:top w:val="single" w:sz="4" w:space="0" w:color="9CC2E4"/>
              <w:left w:val="single" w:sz="4" w:space="0" w:color="9CC2E4"/>
              <w:bottom w:val="single" w:sz="4" w:space="0" w:color="9CC2E4"/>
              <w:right w:val="single" w:sz="4" w:space="0" w:color="9CC2E4"/>
            </w:tcBorders>
          </w:tcPr>
          <w:p w14:paraId="704E96AC" w14:textId="77777777" w:rsidR="007450A8" w:rsidRPr="00E95D73" w:rsidRDefault="007450A8" w:rsidP="00321DEC">
            <w:pPr>
              <w:pStyle w:val="TableParagraph"/>
              <w:spacing w:line="360" w:lineRule="auto"/>
              <w:jc w:val="both"/>
              <w:rPr>
                <w:sz w:val="20"/>
                <w:szCs w:val="20"/>
              </w:rPr>
            </w:pPr>
            <w:r w:rsidRPr="00E95D73">
              <w:rPr>
                <w:spacing w:val="-2"/>
                <w:sz w:val="20"/>
                <w:szCs w:val="20"/>
              </w:rPr>
              <w:t>0.28%</w:t>
            </w:r>
          </w:p>
        </w:tc>
        <w:tc>
          <w:tcPr>
            <w:tcW w:w="1062" w:type="dxa"/>
            <w:tcBorders>
              <w:top w:val="single" w:sz="4" w:space="0" w:color="9CC2E4"/>
              <w:left w:val="single" w:sz="4" w:space="0" w:color="9CC2E4"/>
              <w:bottom w:val="single" w:sz="4" w:space="0" w:color="9CC2E4"/>
              <w:right w:val="single" w:sz="4" w:space="0" w:color="9CC2E4"/>
            </w:tcBorders>
          </w:tcPr>
          <w:p w14:paraId="11F725F8" w14:textId="77777777" w:rsidR="007450A8" w:rsidRPr="00E95D73" w:rsidRDefault="007450A8" w:rsidP="00321DEC">
            <w:pPr>
              <w:pStyle w:val="TableParagraph"/>
              <w:spacing w:line="360" w:lineRule="auto"/>
              <w:jc w:val="both"/>
              <w:rPr>
                <w:sz w:val="20"/>
                <w:szCs w:val="20"/>
              </w:rPr>
            </w:pPr>
            <w:r w:rsidRPr="00E95D73">
              <w:rPr>
                <w:spacing w:val="-2"/>
                <w:sz w:val="20"/>
                <w:szCs w:val="20"/>
              </w:rPr>
              <w:t>0.23%</w:t>
            </w:r>
          </w:p>
        </w:tc>
        <w:tc>
          <w:tcPr>
            <w:tcW w:w="1062" w:type="dxa"/>
            <w:tcBorders>
              <w:top w:val="single" w:sz="4" w:space="0" w:color="9CC2E4"/>
              <w:left w:val="single" w:sz="4" w:space="0" w:color="9CC2E4"/>
              <w:bottom w:val="single" w:sz="4" w:space="0" w:color="9CC2E4"/>
              <w:right w:val="single" w:sz="4" w:space="0" w:color="9CC2E4"/>
            </w:tcBorders>
          </w:tcPr>
          <w:p w14:paraId="51785AB5" w14:textId="77777777" w:rsidR="007450A8" w:rsidRPr="00E95D73" w:rsidRDefault="007450A8" w:rsidP="00321DEC">
            <w:pPr>
              <w:pStyle w:val="TableParagraph"/>
              <w:spacing w:line="360" w:lineRule="auto"/>
              <w:jc w:val="both"/>
              <w:rPr>
                <w:sz w:val="20"/>
                <w:szCs w:val="20"/>
              </w:rPr>
            </w:pPr>
            <w:r w:rsidRPr="00E95D73">
              <w:rPr>
                <w:spacing w:val="-2"/>
                <w:sz w:val="20"/>
                <w:szCs w:val="20"/>
              </w:rPr>
              <w:t>0.19%</w:t>
            </w:r>
          </w:p>
        </w:tc>
        <w:tc>
          <w:tcPr>
            <w:tcW w:w="1062" w:type="dxa"/>
            <w:tcBorders>
              <w:top w:val="single" w:sz="4" w:space="0" w:color="9CC2E4"/>
              <w:left w:val="single" w:sz="4" w:space="0" w:color="9CC2E4"/>
              <w:bottom w:val="single" w:sz="4" w:space="0" w:color="9CC2E4"/>
              <w:right w:val="single" w:sz="4" w:space="0" w:color="9CC2E4"/>
            </w:tcBorders>
          </w:tcPr>
          <w:p w14:paraId="113CB3C3" w14:textId="77777777" w:rsidR="007450A8" w:rsidRPr="00E95D73" w:rsidRDefault="007450A8" w:rsidP="00321DEC">
            <w:pPr>
              <w:pStyle w:val="TableParagraph"/>
              <w:spacing w:line="360" w:lineRule="auto"/>
              <w:jc w:val="both"/>
              <w:rPr>
                <w:sz w:val="20"/>
                <w:szCs w:val="20"/>
              </w:rPr>
            </w:pPr>
            <w:r w:rsidRPr="00E95D73">
              <w:rPr>
                <w:spacing w:val="-2"/>
                <w:sz w:val="20"/>
                <w:szCs w:val="20"/>
              </w:rPr>
              <w:t>0.16%</w:t>
            </w:r>
          </w:p>
        </w:tc>
      </w:tr>
      <w:tr w:rsidR="007450A8" w:rsidRPr="00E95D73" w14:paraId="7ECA5DCD" w14:textId="77777777" w:rsidTr="00820403">
        <w:trPr>
          <w:trHeight w:val="231"/>
        </w:trPr>
        <w:tc>
          <w:tcPr>
            <w:tcW w:w="4040" w:type="dxa"/>
            <w:tcBorders>
              <w:top w:val="single" w:sz="4" w:space="0" w:color="9CC2E4"/>
              <w:left w:val="single" w:sz="4" w:space="0" w:color="9CC2E4"/>
              <w:bottom w:val="single" w:sz="4" w:space="0" w:color="9CC2E4"/>
              <w:right w:val="single" w:sz="4" w:space="0" w:color="9CC2E4"/>
            </w:tcBorders>
          </w:tcPr>
          <w:p w14:paraId="3E5127CF" w14:textId="77777777" w:rsidR="007450A8" w:rsidRPr="00E95D73" w:rsidRDefault="007450A8" w:rsidP="00321DEC">
            <w:pPr>
              <w:pStyle w:val="TableParagraph"/>
              <w:spacing w:before="1" w:line="360" w:lineRule="auto"/>
              <w:ind w:left="107"/>
              <w:jc w:val="both"/>
              <w:rPr>
                <w:sz w:val="20"/>
                <w:szCs w:val="20"/>
              </w:rPr>
            </w:pPr>
            <w:r w:rsidRPr="00E95D73">
              <w:rPr>
                <w:spacing w:val="-2"/>
                <w:sz w:val="20"/>
                <w:szCs w:val="20"/>
              </w:rPr>
              <w:t>Fair</w:t>
            </w:r>
            <w:r w:rsidRPr="00E95D73">
              <w:rPr>
                <w:spacing w:val="-9"/>
                <w:sz w:val="20"/>
                <w:szCs w:val="20"/>
              </w:rPr>
              <w:t xml:space="preserve"> </w:t>
            </w:r>
            <w:r w:rsidRPr="00E95D73">
              <w:rPr>
                <w:spacing w:val="-2"/>
                <w:sz w:val="20"/>
                <w:szCs w:val="20"/>
              </w:rPr>
              <w:t>Value</w:t>
            </w:r>
            <w:r w:rsidRPr="00E95D73">
              <w:rPr>
                <w:spacing w:val="1"/>
                <w:sz w:val="20"/>
                <w:szCs w:val="20"/>
              </w:rPr>
              <w:t xml:space="preserve"> </w:t>
            </w:r>
            <w:r w:rsidRPr="00E95D73">
              <w:rPr>
                <w:spacing w:val="-2"/>
                <w:sz w:val="20"/>
                <w:szCs w:val="20"/>
              </w:rPr>
              <w:t>Changes</w:t>
            </w:r>
            <w:r w:rsidRPr="00E95D73">
              <w:rPr>
                <w:spacing w:val="-11"/>
                <w:sz w:val="20"/>
                <w:szCs w:val="20"/>
              </w:rPr>
              <w:t xml:space="preserve"> </w:t>
            </w:r>
            <w:r w:rsidRPr="00E95D73">
              <w:rPr>
                <w:spacing w:val="-2"/>
                <w:sz w:val="20"/>
                <w:szCs w:val="20"/>
              </w:rPr>
              <w:t>Account</w:t>
            </w:r>
          </w:p>
        </w:tc>
        <w:tc>
          <w:tcPr>
            <w:tcW w:w="1062" w:type="dxa"/>
            <w:tcBorders>
              <w:top w:val="single" w:sz="4" w:space="0" w:color="9CC2E4"/>
              <w:left w:val="single" w:sz="4" w:space="0" w:color="9CC2E4"/>
              <w:bottom w:val="single" w:sz="4" w:space="0" w:color="9CC2E4"/>
              <w:right w:val="single" w:sz="4" w:space="0" w:color="9CC2E4"/>
            </w:tcBorders>
          </w:tcPr>
          <w:p w14:paraId="4A71016C" w14:textId="77777777" w:rsidR="007450A8" w:rsidRPr="00E95D73" w:rsidRDefault="007450A8" w:rsidP="00321DEC">
            <w:pPr>
              <w:pStyle w:val="TableParagraph"/>
              <w:spacing w:before="1" w:line="360" w:lineRule="auto"/>
              <w:jc w:val="both"/>
              <w:rPr>
                <w:sz w:val="20"/>
                <w:szCs w:val="20"/>
              </w:rPr>
            </w:pPr>
            <w:r w:rsidRPr="00E95D73">
              <w:rPr>
                <w:spacing w:val="-6"/>
                <w:sz w:val="20"/>
                <w:szCs w:val="20"/>
              </w:rPr>
              <w:t>-</w:t>
            </w:r>
            <w:r w:rsidRPr="00E95D73">
              <w:rPr>
                <w:spacing w:val="-2"/>
                <w:sz w:val="20"/>
                <w:szCs w:val="20"/>
              </w:rPr>
              <w:t>0.59%</w:t>
            </w:r>
          </w:p>
        </w:tc>
        <w:tc>
          <w:tcPr>
            <w:tcW w:w="1062" w:type="dxa"/>
            <w:tcBorders>
              <w:top w:val="single" w:sz="4" w:space="0" w:color="9CC2E4"/>
              <w:left w:val="single" w:sz="4" w:space="0" w:color="9CC2E4"/>
              <w:bottom w:val="single" w:sz="4" w:space="0" w:color="9CC2E4"/>
              <w:right w:val="single" w:sz="4" w:space="0" w:color="9CC2E4"/>
            </w:tcBorders>
          </w:tcPr>
          <w:p w14:paraId="6C50622D" w14:textId="77777777" w:rsidR="007450A8" w:rsidRPr="00E95D73" w:rsidRDefault="007450A8" w:rsidP="00321DEC">
            <w:pPr>
              <w:pStyle w:val="TableParagraph"/>
              <w:spacing w:before="1" w:line="360" w:lineRule="auto"/>
              <w:jc w:val="both"/>
              <w:rPr>
                <w:sz w:val="20"/>
                <w:szCs w:val="20"/>
              </w:rPr>
            </w:pPr>
            <w:r w:rsidRPr="00E95D73">
              <w:rPr>
                <w:spacing w:val="-2"/>
                <w:sz w:val="20"/>
                <w:szCs w:val="20"/>
              </w:rPr>
              <w:t>0.03%</w:t>
            </w:r>
          </w:p>
        </w:tc>
        <w:tc>
          <w:tcPr>
            <w:tcW w:w="1062" w:type="dxa"/>
            <w:tcBorders>
              <w:top w:val="single" w:sz="4" w:space="0" w:color="9CC2E4"/>
              <w:left w:val="single" w:sz="4" w:space="0" w:color="9CC2E4"/>
              <w:bottom w:val="single" w:sz="4" w:space="0" w:color="9CC2E4"/>
              <w:right w:val="single" w:sz="4" w:space="0" w:color="9CC2E4"/>
            </w:tcBorders>
          </w:tcPr>
          <w:p w14:paraId="62D33F4C" w14:textId="77777777" w:rsidR="007450A8" w:rsidRPr="00E95D73" w:rsidRDefault="007450A8" w:rsidP="00321DEC">
            <w:pPr>
              <w:pStyle w:val="TableParagraph"/>
              <w:spacing w:before="1" w:line="360" w:lineRule="auto"/>
              <w:jc w:val="both"/>
              <w:rPr>
                <w:sz w:val="20"/>
                <w:szCs w:val="20"/>
              </w:rPr>
            </w:pPr>
            <w:r w:rsidRPr="00E95D73">
              <w:rPr>
                <w:spacing w:val="-6"/>
                <w:sz w:val="20"/>
                <w:szCs w:val="20"/>
              </w:rPr>
              <w:t>-</w:t>
            </w:r>
            <w:r w:rsidRPr="00E95D73">
              <w:rPr>
                <w:spacing w:val="-2"/>
                <w:sz w:val="20"/>
                <w:szCs w:val="20"/>
              </w:rPr>
              <w:t>0.37%</w:t>
            </w:r>
          </w:p>
        </w:tc>
        <w:tc>
          <w:tcPr>
            <w:tcW w:w="1062" w:type="dxa"/>
            <w:tcBorders>
              <w:top w:val="single" w:sz="4" w:space="0" w:color="9CC2E4"/>
              <w:left w:val="single" w:sz="4" w:space="0" w:color="9CC2E4"/>
              <w:bottom w:val="single" w:sz="4" w:space="0" w:color="9CC2E4"/>
              <w:right w:val="single" w:sz="4" w:space="0" w:color="9CC2E4"/>
            </w:tcBorders>
          </w:tcPr>
          <w:p w14:paraId="5D3036A0" w14:textId="77777777" w:rsidR="007450A8" w:rsidRPr="00E95D73" w:rsidRDefault="007450A8" w:rsidP="00321DEC">
            <w:pPr>
              <w:pStyle w:val="TableParagraph"/>
              <w:spacing w:before="1" w:line="360" w:lineRule="auto"/>
              <w:jc w:val="both"/>
              <w:rPr>
                <w:sz w:val="20"/>
                <w:szCs w:val="20"/>
              </w:rPr>
            </w:pPr>
            <w:r w:rsidRPr="00E95D73">
              <w:rPr>
                <w:spacing w:val="-6"/>
                <w:sz w:val="20"/>
                <w:szCs w:val="20"/>
              </w:rPr>
              <w:t>-</w:t>
            </w:r>
            <w:r w:rsidRPr="00E95D73">
              <w:rPr>
                <w:spacing w:val="-2"/>
                <w:sz w:val="20"/>
                <w:szCs w:val="20"/>
              </w:rPr>
              <w:t>1.07%</w:t>
            </w:r>
          </w:p>
        </w:tc>
        <w:tc>
          <w:tcPr>
            <w:tcW w:w="1062" w:type="dxa"/>
            <w:tcBorders>
              <w:top w:val="single" w:sz="4" w:space="0" w:color="9CC2E4"/>
              <w:left w:val="single" w:sz="4" w:space="0" w:color="9CC2E4"/>
              <w:bottom w:val="single" w:sz="4" w:space="0" w:color="9CC2E4"/>
              <w:right w:val="single" w:sz="4" w:space="0" w:color="9CC2E4"/>
            </w:tcBorders>
          </w:tcPr>
          <w:p w14:paraId="1DAC872C" w14:textId="77777777" w:rsidR="007450A8" w:rsidRPr="00E95D73" w:rsidRDefault="007450A8" w:rsidP="00321DEC">
            <w:pPr>
              <w:pStyle w:val="TableParagraph"/>
              <w:spacing w:before="1" w:line="360" w:lineRule="auto"/>
              <w:jc w:val="both"/>
              <w:rPr>
                <w:sz w:val="20"/>
                <w:szCs w:val="20"/>
              </w:rPr>
            </w:pPr>
            <w:r w:rsidRPr="00E95D73">
              <w:rPr>
                <w:spacing w:val="-6"/>
                <w:sz w:val="20"/>
                <w:szCs w:val="20"/>
              </w:rPr>
              <w:t>-</w:t>
            </w:r>
            <w:r w:rsidRPr="00E95D73">
              <w:rPr>
                <w:spacing w:val="-2"/>
                <w:sz w:val="20"/>
                <w:szCs w:val="20"/>
              </w:rPr>
              <w:t>0.16%</w:t>
            </w:r>
          </w:p>
        </w:tc>
      </w:tr>
      <w:tr w:rsidR="007450A8" w:rsidRPr="00E95D73" w14:paraId="238583A0" w14:textId="77777777" w:rsidTr="00820403">
        <w:trPr>
          <w:trHeight w:val="231"/>
        </w:trPr>
        <w:tc>
          <w:tcPr>
            <w:tcW w:w="4040" w:type="dxa"/>
            <w:tcBorders>
              <w:top w:val="single" w:sz="4" w:space="0" w:color="9CC2E4"/>
              <w:left w:val="single" w:sz="4" w:space="0" w:color="9CC2E4"/>
              <w:bottom w:val="single" w:sz="4" w:space="0" w:color="9CC2E4"/>
              <w:right w:val="single" w:sz="4" w:space="0" w:color="9CC2E4"/>
            </w:tcBorders>
            <w:shd w:val="clear" w:color="auto" w:fill="DEEAF6"/>
          </w:tcPr>
          <w:p w14:paraId="2DC19D7E" w14:textId="4B852F47" w:rsidR="007450A8" w:rsidRPr="00E95D73" w:rsidRDefault="001D2E74" w:rsidP="00321DEC">
            <w:pPr>
              <w:pStyle w:val="TableParagraph"/>
              <w:spacing w:line="360" w:lineRule="auto"/>
              <w:ind w:left="0"/>
              <w:jc w:val="both"/>
              <w:rPr>
                <w:sz w:val="20"/>
                <w:szCs w:val="20"/>
              </w:rPr>
            </w:pPr>
            <w:r w:rsidRPr="00E95D73">
              <w:rPr>
                <w:sz w:val="20"/>
                <w:szCs w:val="20"/>
              </w:rPr>
              <w:t xml:space="preserve">Liabilities and provisions </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7C3C3B6" w14:textId="77777777" w:rsidR="007450A8" w:rsidRPr="00E95D73" w:rsidRDefault="007450A8" w:rsidP="00321DEC">
            <w:pPr>
              <w:pStyle w:val="TableParagraph"/>
              <w:spacing w:line="360" w:lineRule="auto"/>
              <w:jc w:val="both"/>
              <w:rPr>
                <w:sz w:val="20"/>
                <w:szCs w:val="20"/>
              </w:rPr>
            </w:pPr>
            <w:r w:rsidRPr="00E95D73">
              <w:rPr>
                <w:spacing w:val="-2"/>
                <w:sz w:val="20"/>
                <w:szCs w:val="20"/>
              </w:rPr>
              <w:t>11.24%</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C380E43" w14:textId="77777777" w:rsidR="007450A8" w:rsidRPr="00E95D73" w:rsidRDefault="007450A8" w:rsidP="00321DEC">
            <w:pPr>
              <w:pStyle w:val="TableParagraph"/>
              <w:spacing w:line="360" w:lineRule="auto"/>
              <w:jc w:val="both"/>
              <w:rPr>
                <w:sz w:val="20"/>
                <w:szCs w:val="20"/>
              </w:rPr>
            </w:pPr>
            <w:r w:rsidRPr="00E95D73">
              <w:rPr>
                <w:spacing w:val="-2"/>
                <w:sz w:val="20"/>
                <w:szCs w:val="20"/>
              </w:rPr>
              <w:t>14.85%</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D87DE9A" w14:textId="77777777" w:rsidR="007450A8" w:rsidRPr="00E95D73" w:rsidRDefault="007450A8" w:rsidP="00321DEC">
            <w:pPr>
              <w:pStyle w:val="TableParagraph"/>
              <w:spacing w:line="360" w:lineRule="auto"/>
              <w:jc w:val="both"/>
              <w:rPr>
                <w:sz w:val="20"/>
                <w:szCs w:val="20"/>
              </w:rPr>
            </w:pPr>
            <w:r w:rsidRPr="00E95D73">
              <w:rPr>
                <w:spacing w:val="-2"/>
                <w:sz w:val="20"/>
                <w:szCs w:val="20"/>
              </w:rPr>
              <w:t>16.31%</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073B7F9" w14:textId="77777777" w:rsidR="007450A8" w:rsidRPr="00E95D73" w:rsidRDefault="007450A8" w:rsidP="00321DEC">
            <w:pPr>
              <w:pStyle w:val="TableParagraph"/>
              <w:spacing w:line="360" w:lineRule="auto"/>
              <w:jc w:val="both"/>
              <w:rPr>
                <w:sz w:val="20"/>
                <w:szCs w:val="20"/>
              </w:rPr>
            </w:pPr>
            <w:r w:rsidRPr="00E95D73">
              <w:rPr>
                <w:spacing w:val="-2"/>
                <w:sz w:val="20"/>
                <w:szCs w:val="20"/>
              </w:rPr>
              <w:t>16.95%</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265B960" w14:textId="77777777" w:rsidR="007450A8" w:rsidRPr="00E95D73" w:rsidRDefault="007450A8" w:rsidP="00321DEC">
            <w:pPr>
              <w:pStyle w:val="TableParagraph"/>
              <w:spacing w:line="360" w:lineRule="auto"/>
              <w:jc w:val="both"/>
              <w:rPr>
                <w:sz w:val="20"/>
                <w:szCs w:val="20"/>
              </w:rPr>
            </w:pPr>
            <w:r w:rsidRPr="00E95D73">
              <w:rPr>
                <w:spacing w:val="-2"/>
                <w:sz w:val="20"/>
                <w:szCs w:val="20"/>
              </w:rPr>
              <w:t>16.26%</w:t>
            </w:r>
          </w:p>
        </w:tc>
      </w:tr>
      <w:tr w:rsidR="007450A8" w:rsidRPr="00E95D73" w14:paraId="27001FB1" w14:textId="77777777" w:rsidTr="00820403">
        <w:trPr>
          <w:trHeight w:val="231"/>
        </w:trPr>
        <w:tc>
          <w:tcPr>
            <w:tcW w:w="4040" w:type="dxa"/>
            <w:tcBorders>
              <w:top w:val="single" w:sz="4" w:space="0" w:color="9CC2E4"/>
              <w:left w:val="single" w:sz="4" w:space="0" w:color="9CC2E4"/>
              <w:bottom w:val="single" w:sz="4" w:space="0" w:color="9CC2E4"/>
              <w:right w:val="single" w:sz="4" w:space="0" w:color="9CC2E4"/>
            </w:tcBorders>
            <w:shd w:val="clear" w:color="auto" w:fill="DEEAF6"/>
          </w:tcPr>
          <w:p w14:paraId="4D433A32" w14:textId="77777777" w:rsidR="007450A8" w:rsidRPr="00E95D73" w:rsidRDefault="007450A8" w:rsidP="00321DEC">
            <w:pPr>
              <w:pStyle w:val="TableParagraph"/>
              <w:spacing w:line="360" w:lineRule="auto"/>
              <w:ind w:left="107"/>
              <w:jc w:val="both"/>
              <w:rPr>
                <w:b/>
                <w:sz w:val="20"/>
                <w:szCs w:val="20"/>
              </w:rPr>
            </w:pPr>
            <w:r w:rsidRPr="00E95D73">
              <w:rPr>
                <w:b/>
                <w:sz w:val="20"/>
                <w:szCs w:val="20"/>
              </w:rPr>
              <w:t>Total</w:t>
            </w:r>
            <w:r w:rsidRPr="00E95D73">
              <w:rPr>
                <w:b/>
                <w:spacing w:val="-10"/>
                <w:sz w:val="20"/>
                <w:szCs w:val="20"/>
              </w:rPr>
              <w:t xml:space="preserve"> </w:t>
            </w:r>
            <w:r w:rsidRPr="00E95D73">
              <w:rPr>
                <w:b/>
                <w:sz w:val="20"/>
                <w:szCs w:val="20"/>
              </w:rPr>
              <w:t>Capital</w:t>
            </w:r>
            <w:r w:rsidRPr="00E95D73">
              <w:rPr>
                <w:b/>
                <w:spacing w:val="-9"/>
                <w:sz w:val="20"/>
                <w:szCs w:val="20"/>
              </w:rPr>
              <w:t xml:space="preserve"> </w:t>
            </w:r>
            <w:r w:rsidRPr="00E95D73">
              <w:rPr>
                <w:b/>
                <w:sz w:val="20"/>
                <w:szCs w:val="20"/>
              </w:rPr>
              <w:t>and</w:t>
            </w:r>
            <w:r w:rsidRPr="00E95D73">
              <w:rPr>
                <w:b/>
                <w:spacing w:val="-9"/>
                <w:sz w:val="20"/>
                <w:szCs w:val="20"/>
              </w:rPr>
              <w:t xml:space="preserve"> </w:t>
            </w:r>
            <w:r w:rsidRPr="00E95D73">
              <w:rPr>
                <w:b/>
                <w:spacing w:val="-2"/>
                <w:sz w:val="20"/>
                <w:szCs w:val="20"/>
              </w:rPr>
              <w:t>Liabilities</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271C68A8" w14:textId="77777777" w:rsidR="007450A8" w:rsidRPr="00E95D73" w:rsidRDefault="007450A8" w:rsidP="00321DEC">
            <w:pPr>
              <w:pStyle w:val="TableParagraph"/>
              <w:spacing w:line="360" w:lineRule="auto"/>
              <w:jc w:val="both"/>
              <w:rPr>
                <w:sz w:val="20"/>
                <w:szCs w:val="20"/>
              </w:rPr>
            </w:pPr>
            <w:r w:rsidRPr="00E95D73">
              <w:rPr>
                <w:spacing w:val="-2"/>
                <w:sz w:val="20"/>
                <w:szCs w:val="20"/>
              </w:rPr>
              <w:t>100.00%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07E7BC5E" w14:textId="77777777" w:rsidR="007450A8" w:rsidRPr="00E95D73" w:rsidRDefault="007450A8" w:rsidP="00321DEC">
            <w:pPr>
              <w:pStyle w:val="TableParagraph"/>
              <w:spacing w:line="360" w:lineRule="auto"/>
              <w:jc w:val="both"/>
              <w:rPr>
                <w:sz w:val="20"/>
                <w:szCs w:val="20"/>
              </w:rPr>
            </w:pPr>
            <w:r w:rsidRPr="00E95D73">
              <w:rPr>
                <w:spacing w:val="-2"/>
                <w:sz w:val="20"/>
                <w:szCs w:val="20"/>
              </w:rPr>
              <w:t>100.00%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603212A0" w14:textId="77777777" w:rsidR="007450A8" w:rsidRPr="00E95D73" w:rsidRDefault="007450A8" w:rsidP="00321DEC">
            <w:pPr>
              <w:pStyle w:val="TableParagraph"/>
              <w:spacing w:line="360" w:lineRule="auto"/>
              <w:jc w:val="both"/>
              <w:rPr>
                <w:sz w:val="20"/>
                <w:szCs w:val="20"/>
              </w:rPr>
            </w:pPr>
            <w:r w:rsidRPr="00E95D73">
              <w:rPr>
                <w:spacing w:val="-2"/>
                <w:sz w:val="20"/>
                <w:szCs w:val="20"/>
              </w:rPr>
              <w:t>100.00%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7C0171F7" w14:textId="77777777" w:rsidR="007450A8" w:rsidRPr="00E95D73" w:rsidRDefault="007450A8" w:rsidP="00321DEC">
            <w:pPr>
              <w:pStyle w:val="TableParagraph"/>
              <w:spacing w:line="360" w:lineRule="auto"/>
              <w:jc w:val="both"/>
              <w:rPr>
                <w:sz w:val="20"/>
                <w:szCs w:val="20"/>
              </w:rPr>
            </w:pPr>
            <w:r w:rsidRPr="00E95D73">
              <w:rPr>
                <w:spacing w:val="-2"/>
                <w:sz w:val="20"/>
                <w:szCs w:val="20"/>
              </w:rPr>
              <w:t>100.00%</w:t>
            </w:r>
          </w:p>
        </w:tc>
        <w:tc>
          <w:tcPr>
            <w:tcW w:w="1062" w:type="dxa"/>
            <w:tcBorders>
              <w:top w:val="single" w:sz="4" w:space="0" w:color="9CC2E4"/>
              <w:left w:val="single" w:sz="4" w:space="0" w:color="9CC2E4"/>
              <w:bottom w:val="single" w:sz="4" w:space="0" w:color="9CC2E4"/>
              <w:right w:val="single" w:sz="4" w:space="0" w:color="9CC2E4"/>
            </w:tcBorders>
            <w:shd w:val="clear" w:color="auto" w:fill="DEEAF6"/>
          </w:tcPr>
          <w:p w14:paraId="5E7E1BDF" w14:textId="77777777" w:rsidR="007450A8" w:rsidRPr="00E95D73" w:rsidRDefault="007450A8" w:rsidP="00321DEC">
            <w:pPr>
              <w:pStyle w:val="TableParagraph"/>
              <w:spacing w:line="360" w:lineRule="auto"/>
              <w:jc w:val="both"/>
              <w:rPr>
                <w:sz w:val="20"/>
                <w:szCs w:val="20"/>
              </w:rPr>
            </w:pPr>
            <w:r w:rsidRPr="00E95D73">
              <w:rPr>
                <w:spacing w:val="-2"/>
                <w:sz w:val="20"/>
                <w:szCs w:val="20"/>
              </w:rPr>
              <w:t>100.00%</w:t>
            </w:r>
          </w:p>
        </w:tc>
      </w:tr>
    </w:tbl>
    <w:p w14:paraId="4ACC8F6F" w14:textId="77777777" w:rsidR="007450A8" w:rsidRPr="00E95D73" w:rsidRDefault="007450A8" w:rsidP="00321DEC">
      <w:pPr>
        <w:spacing w:line="360" w:lineRule="auto"/>
        <w:jc w:val="both"/>
        <w:rPr>
          <w:rFonts w:ascii="Times New Roman" w:hAnsi="Times New Roman" w:cs="Times New Roman"/>
          <w:sz w:val="20"/>
          <w:szCs w:val="20"/>
        </w:rPr>
        <w:sectPr w:rsidR="007450A8" w:rsidRPr="00E95D73" w:rsidSect="00820403">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382" w:right="1066" w:bottom="1382" w:left="1066" w:header="720" w:footer="720" w:gutter="0"/>
          <w:cols w:space="720"/>
        </w:sectPr>
      </w:pPr>
    </w:p>
    <w:p w14:paraId="4CE3F8F8" w14:textId="0B242D27" w:rsidR="00E52B7E" w:rsidRDefault="00820403" w:rsidP="00006981">
      <w:pPr>
        <w:pStyle w:val="Heading1"/>
      </w:pPr>
      <w:bookmarkStart w:id="25" w:name="_Toc188056532"/>
      <w:r>
        <w:lastRenderedPageBreak/>
        <w:t xml:space="preserve">Chapter 05: </w:t>
      </w:r>
      <w:r w:rsidRPr="00321DEC">
        <w:t>Recommendation</w:t>
      </w:r>
      <w:r>
        <w:t xml:space="preserve"> and </w:t>
      </w:r>
      <w:r w:rsidR="006866F9">
        <w:t>Conclusion</w:t>
      </w:r>
      <w:bookmarkEnd w:id="25"/>
    </w:p>
    <w:p w14:paraId="1122EEF6" w14:textId="0517BB6F" w:rsidR="00562DA4" w:rsidRPr="00321DEC" w:rsidRDefault="00562DA4" w:rsidP="00DA5636">
      <w:pPr>
        <w:pStyle w:val="Heading2"/>
      </w:pPr>
      <w:bookmarkStart w:id="26" w:name="_Toc188056533"/>
      <w:r w:rsidRPr="00321DEC">
        <w:t>5.</w:t>
      </w:r>
      <w:r w:rsidR="00820403">
        <w:t>1</w:t>
      </w:r>
      <w:r w:rsidRPr="00321DEC">
        <w:t xml:space="preserve"> Recommendations</w:t>
      </w:r>
      <w:bookmarkEnd w:id="26"/>
    </w:p>
    <w:p w14:paraId="375C1BA2" w14:textId="7A7E343D" w:rsidR="00EA73E9" w:rsidRPr="00321DEC" w:rsidRDefault="00EA73E9" w:rsidP="00321DEC">
      <w:pPr>
        <w:spacing w:line="360" w:lineRule="auto"/>
        <w:jc w:val="both"/>
        <w:rPr>
          <w:rFonts w:ascii="Times New Roman" w:hAnsi="Times New Roman" w:cs="Times New Roman"/>
        </w:rPr>
      </w:pPr>
      <w:r w:rsidRPr="00321DEC">
        <w:rPr>
          <w:rFonts w:ascii="Times New Roman" w:hAnsi="Times New Roman" w:cs="Times New Roman"/>
        </w:rPr>
        <w:t>Based on the comprehensive analysis and findings from your internship report on “Financial Trends and Growth Analysis of National Life Insurance Company Ltd.,” here are some tailored recommendations to guide the company’s future strategic decisions and ensure sustained growth and financial health:</w:t>
      </w:r>
    </w:p>
    <w:p w14:paraId="7CFF1354" w14:textId="77777777" w:rsidR="00CB79A4" w:rsidRPr="00321DEC" w:rsidRDefault="00EA73E9" w:rsidP="00786588">
      <w:pPr>
        <w:pStyle w:val="ListParagraph"/>
        <w:numPr>
          <w:ilvl w:val="0"/>
          <w:numId w:val="6"/>
        </w:numPr>
        <w:spacing w:line="360" w:lineRule="auto"/>
        <w:jc w:val="both"/>
        <w:rPr>
          <w:rFonts w:ascii="Times New Roman" w:hAnsi="Times New Roman" w:cs="Times New Roman"/>
          <w:b/>
          <w:bCs/>
        </w:rPr>
      </w:pPr>
      <w:r w:rsidRPr="00321DEC">
        <w:rPr>
          <w:rFonts w:ascii="Times New Roman" w:hAnsi="Times New Roman" w:cs="Times New Roman"/>
          <w:b/>
          <w:bCs/>
        </w:rPr>
        <w:t>Enhance Liquidity and Solvency Management</w:t>
      </w:r>
      <w:r w:rsidR="00071EA4" w:rsidRPr="00321DEC">
        <w:rPr>
          <w:rFonts w:ascii="Times New Roman" w:hAnsi="Times New Roman" w:cs="Times New Roman"/>
          <w:b/>
          <w:bCs/>
        </w:rPr>
        <w:t>:</w:t>
      </w:r>
    </w:p>
    <w:p w14:paraId="39045241" w14:textId="7F3E42F7" w:rsidR="00EA73E9" w:rsidRPr="00321DEC" w:rsidRDefault="00EA73E9" w:rsidP="00786588">
      <w:pPr>
        <w:pStyle w:val="ListParagraph"/>
        <w:numPr>
          <w:ilvl w:val="0"/>
          <w:numId w:val="4"/>
        </w:numPr>
        <w:spacing w:line="360" w:lineRule="auto"/>
        <w:jc w:val="both"/>
        <w:rPr>
          <w:rFonts w:ascii="Times New Roman" w:hAnsi="Times New Roman" w:cs="Times New Roman"/>
        </w:rPr>
      </w:pPr>
      <w:r w:rsidRPr="00321DEC">
        <w:rPr>
          <w:rFonts w:ascii="Times New Roman" w:hAnsi="Times New Roman" w:cs="Times New Roman"/>
          <w:b/>
          <w:bCs/>
        </w:rPr>
        <w:t>Optimize Asset Allocation:</w:t>
      </w:r>
      <w:r w:rsidR="00CB79A4" w:rsidRPr="00321DEC">
        <w:rPr>
          <w:rFonts w:ascii="Times New Roman" w:hAnsi="Times New Roman" w:cs="Times New Roman"/>
        </w:rPr>
        <w:t xml:space="preserve"> C</w:t>
      </w:r>
      <w:r w:rsidRPr="00321DEC">
        <w:rPr>
          <w:rFonts w:ascii="Times New Roman" w:hAnsi="Times New Roman" w:cs="Times New Roman"/>
        </w:rPr>
        <w:t>ontinue to improve asset allocation strategies to maintain or enhance liquidity and solvency ratios.</w:t>
      </w:r>
    </w:p>
    <w:p w14:paraId="227812EC" w14:textId="411EE335" w:rsidR="00071EA4" w:rsidRPr="00321DEC" w:rsidRDefault="00EA73E9" w:rsidP="00786588">
      <w:pPr>
        <w:pStyle w:val="ListParagraph"/>
        <w:numPr>
          <w:ilvl w:val="0"/>
          <w:numId w:val="4"/>
        </w:numPr>
        <w:spacing w:line="360" w:lineRule="auto"/>
        <w:jc w:val="both"/>
        <w:rPr>
          <w:rFonts w:ascii="Times New Roman" w:hAnsi="Times New Roman" w:cs="Times New Roman"/>
        </w:rPr>
      </w:pPr>
      <w:r w:rsidRPr="00321DEC">
        <w:rPr>
          <w:rFonts w:ascii="Times New Roman" w:hAnsi="Times New Roman" w:cs="Times New Roman"/>
          <w:b/>
          <w:bCs/>
        </w:rPr>
        <w:t>Robust Risk Assessment:</w:t>
      </w:r>
      <w:r w:rsidR="00226FC4" w:rsidRPr="00321DEC">
        <w:rPr>
          <w:rFonts w:ascii="Times New Roman" w:hAnsi="Times New Roman" w:cs="Times New Roman"/>
        </w:rPr>
        <w:t xml:space="preserve"> </w:t>
      </w:r>
      <w:r w:rsidRPr="00321DEC">
        <w:rPr>
          <w:rFonts w:ascii="Times New Roman" w:hAnsi="Times New Roman" w:cs="Times New Roman"/>
        </w:rPr>
        <w:t>Regularly update risk assessment protocols to reflect current market conditions and potential future risks, ensuring the company remains well-prepared for any adverse changes.</w:t>
      </w:r>
    </w:p>
    <w:p w14:paraId="646158D7" w14:textId="6E0A9DE5" w:rsidR="00F836C4" w:rsidRPr="00321DEC" w:rsidRDefault="00EA73E9" w:rsidP="00786588">
      <w:pPr>
        <w:pStyle w:val="ListParagraph"/>
        <w:numPr>
          <w:ilvl w:val="0"/>
          <w:numId w:val="6"/>
        </w:numPr>
        <w:spacing w:line="360" w:lineRule="auto"/>
        <w:jc w:val="both"/>
        <w:rPr>
          <w:rFonts w:ascii="Times New Roman" w:hAnsi="Times New Roman" w:cs="Times New Roman"/>
          <w:b/>
          <w:bCs/>
        </w:rPr>
      </w:pPr>
      <w:r w:rsidRPr="00321DEC">
        <w:rPr>
          <w:rFonts w:ascii="Times New Roman" w:hAnsi="Times New Roman" w:cs="Times New Roman"/>
          <w:b/>
          <w:bCs/>
        </w:rPr>
        <w:t>Strengthen Market Position Amid Economic Uncertainties:</w:t>
      </w:r>
    </w:p>
    <w:p w14:paraId="68159D13" w14:textId="4EADBBBC" w:rsidR="00EA73E9" w:rsidRPr="00321DEC" w:rsidRDefault="00EA73E9" w:rsidP="00786588">
      <w:pPr>
        <w:pStyle w:val="ListParagraph"/>
        <w:numPr>
          <w:ilvl w:val="0"/>
          <w:numId w:val="4"/>
        </w:numPr>
        <w:spacing w:line="360" w:lineRule="auto"/>
        <w:jc w:val="both"/>
        <w:rPr>
          <w:rFonts w:ascii="Times New Roman" w:hAnsi="Times New Roman" w:cs="Times New Roman"/>
        </w:rPr>
      </w:pPr>
      <w:r w:rsidRPr="00321DEC">
        <w:rPr>
          <w:rFonts w:ascii="Times New Roman" w:hAnsi="Times New Roman" w:cs="Times New Roman"/>
          <w:b/>
          <w:bCs/>
        </w:rPr>
        <w:t>Market Adaptation Strategies:</w:t>
      </w:r>
      <w:r w:rsidRPr="00321DEC">
        <w:rPr>
          <w:rFonts w:ascii="Times New Roman" w:hAnsi="Times New Roman" w:cs="Times New Roman"/>
        </w:rPr>
        <w:t xml:space="preserve"> Develop and implement strategies that allow rapid adaptation to changing market conditions</w:t>
      </w:r>
      <w:r w:rsidR="00717E2A">
        <w:rPr>
          <w:rFonts w:ascii="Times New Roman" w:hAnsi="Times New Roman" w:cs="Times New Roman"/>
        </w:rPr>
        <w:t>.</w:t>
      </w:r>
    </w:p>
    <w:p w14:paraId="6C12A580" w14:textId="3BF692E1" w:rsidR="00717E2A" w:rsidRPr="00820403" w:rsidRDefault="00EA73E9" w:rsidP="00321DEC">
      <w:pPr>
        <w:pStyle w:val="ListParagraph"/>
        <w:numPr>
          <w:ilvl w:val="0"/>
          <w:numId w:val="4"/>
        </w:numPr>
        <w:spacing w:line="360" w:lineRule="auto"/>
        <w:jc w:val="both"/>
        <w:rPr>
          <w:rFonts w:ascii="Times New Roman" w:hAnsi="Times New Roman" w:cs="Times New Roman"/>
        </w:rPr>
      </w:pPr>
      <w:r w:rsidRPr="00321DEC">
        <w:rPr>
          <w:rFonts w:ascii="Times New Roman" w:hAnsi="Times New Roman" w:cs="Times New Roman"/>
          <w:b/>
          <w:bCs/>
        </w:rPr>
        <w:t xml:space="preserve">Focus on Customer Retention: </w:t>
      </w:r>
      <w:r w:rsidRPr="00321DEC">
        <w:rPr>
          <w:rFonts w:ascii="Times New Roman" w:hAnsi="Times New Roman" w:cs="Times New Roman"/>
        </w:rPr>
        <w:t>Enhance customer service and retention strategies, possibly through personalized insurance products or loyalty programs, to sustain market</w:t>
      </w:r>
      <w:r w:rsidR="007324A9">
        <w:rPr>
          <w:rFonts w:ascii="Times New Roman" w:hAnsi="Times New Roman" w:cs="Times New Roman"/>
        </w:rPr>
        <w:t>.</w:t>
      </w:r>
    </w:p>
    <w:p w14:paraId="605AA6D8" w14:textId="5CA57267" w:rsidR="00717E2A" w:rsidRDefault="00562DA4" w:rsidP="00DA5636">
      <w:pPr>
        <w:pStyle w:val="Heading2"/>
      </w:pPr>
      <w:bookmarkStart w:id="27" w:name="_Toc188056534"/>
      <w:r w:rsidRPr="00321DEC">
        <w:t>5.</w:t>
      </w:r>
      <w:r w:rsidR="00820403">
        <w:t>2</w:t>
      </w:r>
      <w:r w:rsidRPr="00321DEC">
        <w:t xml:space="preserve"> Conclusion</w:t>
      </w:r>
      <w:bookmarkEnd w:id="27"/>
      <w:r w:rsidR="00E52B7E" w:rsidRPr="00321DEC">
        <w:t xml:space="preserve"> </w:t>
      </w:r>
    </w:p>
    <w:p w14:paraId="387EEB48" w14:textId="23D292E8" w:rsidR="00562DA4" w:rsidRDefault="00E52B7E" w:rsidP="00717E2A">
      <w:pPr>
        <w:spacing w:line="360" w:lineRule="auto"/>
        <w:ind w:firstLine="720"/>
        <w:jc w:val="both"/>
        <w:rPr>
          <w:rFonts w:ascii="Times New Roman" w:hAnsi="Times New Roman" w:cs="Times New Roman"/>
        </w:rPr>
      </w:pPr>
      <w:r w:rsidRPr="00321DEC">
        <w:rPr>
          <w:rFonts w:ascii="Times New Roman" w:hAnsi="Times New Roman" w:cs="Times New Roman"/>
        </w:rPr>
        <w:t>In</w:t>
      </w:r>
      <w:r w:rsidR="00321DEC" w:rsidRPr="00321DEC">
        <w:rPr>
          <w:rFonts w:ascii="Times New Roman" w:hAnsi="Times New Roman" w:cs="Times New Roman"/>
        </w:rPr>
        <w:t xml:space="preserve"> conclusion, National Life Insurance Company Ltd. stands as a resilient entity in the competitive insurance market of Bangladesh, with solid foundations and promising growth prospects. The insights derived from this internship will not only contribute to academic knowledge but also aid in strategic planning and decision-making within the company. As the insurance market continues to evolve, the company's ongoing adaptation to market conditions and regulatory environments will be crucial for its sustained success and long-term viability.</w:t>
      </w:r>
    </w:p>
    <w:p w14:paraId="496999FE" w14:textId="77777777" w:rsidR="004713F6" w:rsidRDefault="004713F6" w:rsidP="00717E2A">
      <w:pPr>
        <w:spacing w:line="360" w:lineRule="auto"/>
        <w:ind w:firstLine="720"/>
        <w:jc w:val="both"/>
        <w:rPr>
          <w:rFonts w:ascii="Times New Roman" w:hAnsi="Times New Roman" w:cs="Times New Roman"/>
        </w:rPr>
      </w:pPr>
    </w:p>
    <w:p w14:paraId="4BC5B1BC" w14:textId="77777777" w:rsidR="004713F6" w:rsidRDefault="004713F6" w:rsidP="00717E2A">
      <w:pPr>
        <w:spacing w:line="360" w:lineRule="auto"/>
        <w:ind w:firstLine="720"/>
        <w:jc w:val="both"/>
        <w:rPr>
          <w:rFonts w:ascii="Times New Roman" w:hAnsi="Times New Roman" w:cs="Times New Roman"/>
        </w:rPr>
      </w:pPr>
    </w:p>
    <w:p w14:paraId="0F5247F2" w14:textId="77777777" w:rsidR="004713F6" w:rsidRDefault="004713F6" w:rsidP="00717E2A">
      <w:pPr>
        <w:spacing w:line="360" w:lineRule="auto"/>
        <w:ind w:firstLine="720"/>
        <w:jc w:val="both"/>
        <w:rPr>
          <w:rFonts w:ascii="Times New Roman" w:hAnsi="Times New Roman" w:cs="Times New Roman"/>
        </w:rPr>
      </w:pPr>
    </w:p>
    <w:p w14:paraId="5E9B45D3" w14:textId="77777777" w:rsidR="004713F6" w:rsidRDefault="004713F6" w:rsidP="00717E2A">
      <w:pPr>
        <w:spacing w:line="360" w:lineRule="auto"/>
        <w:ind w:firstLine="720"/>
        <w:jc w:val="both"/>
        <w:rPr>
          <w:rFonts w:ascii="Times New Roman" w:hAnsi="Times New Roman" w:cs="Times New Roman"/>
        </w:rPr>
      </w:pPr>
    </w:p>
    <w:p w14:paraId="79A9702A" w14:textId="1B1C92CF" w:rsidR="004713F6" w:rsidRDefault="004713F6" w:rsidP="004713F6">
      <w:pPr>
        <w:pStyle w:val="Heading2"/>
      </w:pPr>
      <w:bookmarkStart w:id="28" w:name="_Toc188056535"/>
      <w:r w:rsidRPr="004713F6">
        <w:lastRenderedPageBreak/>
        <w:t>Reference</w:t>
      </w:r>
      <w:bookmarkEnd w:id="28"/>
    </w:p>
    <w:p w14:paraId="612397E5" w14:textId="77777777"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Azam, M., &amp; Khan, S. (2018). Threshold effects in the relationship between inflation and economic growth: Further empirical evidence from the developed and developing world.</w:t>
      </w:r>
    </w:p>
    <w:p w14:paraId="2D870E80" w14:textId="77777777"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Halim, H., Astuty, P., &amp; Hubei, M. (2022). Effect of inflation and consumption credit on purchase power of the community.</w:t>
      </w:r>
    </w:p>
    <w:p w14:paraId="314403F7" w14:textId="77777777"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Bagus, P., Gabriel, A., &amp; Howden, D. (2014). Causes and consequences of inflation.</w:t>
      </w:r>
    </w:p>
    <w:p w14:paraId="1958EECD" w14:textId="77777777"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Andiroba, G. A., Okolie, P. I. P., &amp; Oleka, D. C. (2018). Analysis of inflation and its effect on economic growth in Nigeria.</w:t>
      </w:r>
    </w:p>
    <w:p w14:paraId="03CE00AC" w14:textId="767A42A1"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 xml:space="preserve">Asaduzzaman, M. (n.d.). Analysis of inflation dynamics. Retrieved from </w:t>
      </w:r>
      <w:r w:rsidRPr="00AC7D30">
        <w:rPr>
          <w:rFonts w:ascii="Times New Roman" w:hAnsi="Times New Roman"/>
        </w:rPr>
        <w:t>https://mpra.ub.uni-muenchen.de/110333/</w:t>
      </w:r>
    </w:p>
    <w:p w14:paraId="10FC83EE" w14:textId="77777777"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Abidemi, O. I., &amp; Maliq, S. A. (2010). Analysis of inflation and its determination in Nigeria.</w:t>
      </w:r>
    </w:p>
    <w:p w14:paraId="425DF2D7" w14:textId="77777777"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 xml:space="preserve">Ahmed, N., &amp; Mortaza, M. (2005). Inflation and economic growth in Bangladesh: 1981–2005. </w:t>
      </w:r>
      <w:r w:rsidRPr="007E4BE7">
        <w:rPr>
          <w:rFonts w:ascii="Times New Roman" w:hAnsi="Times New Roman"/>
          <w:i/>
          <w:iCs/>
        </w:rPr>
        <w:t>Working Paper Series: WP 0604</w:t>
      </w:r>
      <w:r w:rsidRPr="007E4BE7">
        <w:rPr>
          <w:rFonts w:ascii="Times New Roman" w:hAnsi="Times New Roman"/>
        </w:rPr>
        <w:t>. Policy Analysis Unit, Research Department, Bangladesh Bank.</w:t>
      </w:r>
    </w:p>
    <w:p w14:paraId="2939F07B" w14:textId="77777777"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 xml:space="preserve">Barro, R. J. (1995). Inflation and economic growth. </w:t>
      </w:r>
      <w:r w:rsidRPr="007E4BE7">
        <w:rPr>
          <w:rFonts w:ascii="Times New Roman" w:hAnsi="Times New Roman"/>
          <w:i/>
          <w:iCs/>
        </w:rPr>
        <w:t>National Bureau of Economic Research (NBER) Working Paper No. 5326</w:t>
      </w:r>
      <w:r w:rsidRPr="007E4BE7">
        <w:rPr>
          <w:rFonts w:ascii="Times New Roman" w:hAnsi="Times New Roman"/>
        </w:rPr>
        <w:t>.</w:t>
      </w:r>
    </w:p>
    <w:p w14:paraId="2ECB7860" w14:textId="77777777"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 xml:space="preserve">Biswas, B. P., et al. (2016). Determining the growth-maximizing threshold level of inflation in Bangladesh. </w:t>
      </w:r>
      <w:r w:rsidRPr="007E4BE7">
        <w:rPr>
          <w:rFonts w:ascii="Times New Roman" w:hAnsi="Times New Roman"/>
          <w:i/>
          <w:iCs/>
        </w:rPr>
        <w:t>Working Paper Series</w:t>
      </w:r>
      <w:r w:rsidRPr="007E4BE7">
        <w:rPr>
          <w:rFonts w:ascii="Times New Roman" w:hAnsi="Times New Roman"/>
        </w:rPr>
        <w:t>. Research Department, Bangladesh Bank.</w:t>
      </w:r>
    </w:p>
    <w:p w14:paraId="4ED5BE9C" w14:textId="77777777" w:rsidR="007E4BE7" w:rsidRPr="007E4BE7" w:rsidRDefault="007E4BE7" w:rsidP="007E4BE7">
      <w:pPr>
        <w:spacing w:line="480" w:lineRule="auto"/>
        <w:ind w:left="994" w:hanging="720"/>
        <w:contextualSpacing/>
        <w:jc w:val="both"/>
        <w:rPr>
          <w:rFonts w:ascii="Times New Roman" w:hAnsi="Times New Roman"/>
        </w:rPr>
      </w:pPr>
      <w:r w:rsidRPr="007E4BE7">
        <w:rPr>
          <w:rFonts w:ascii="Times New Roman" w:hAnsi="Times New Roman"/>
        </w:rPr>
        <w:t xml:space="preserve">Bruno, M., &amp; Easterly, W. (1998). Inflation crises and long-run growth. </w:t>
      </w:r>
      <w:r w:rsidRPr="007E4BE7">
        <w:rPr>
          <w:rFonts w:ascii="Times New Roman" w:hAnsi="Times New Roman"/>
          <w:i/>
          <w:iCs/>
        </w:rPr>
        <w:t>Journal of Monetary Economics</w:t>
      </w:r>
      <w:r w:rsidRPr="007E4BE7">
        <w:rPr>
          <w:rFonts w:ascii="Times New Roman" w:hAnsi="Times New Roman"/>
        </w:rPr>
        <w:t>.</w:t>
      </w:r>
    </w:p>
    <w:p w14:paraId="6D30A109" w14:textId="4882E8A3" w:rsidR="004713F6" w:rsidRPr="004713F6" w:rsidRDefault="004713F6" w:rsidP="007E4BE7">
      <w:pPr>
        <w:spacing w:line="480" w:lineRule="auto"/>
        <w:ind w:left="994" w:hanging="720"/>
        <w:contextualSpacing/>
        <w:jc w:val="both"/>
      </w:pPr>
    </w:p>
    <w:sectPr w:rsidR="004713F6" w:rsidRPr="004713F6">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1FD40" w14:textId="77777777" w:rsidR="007C79DF" w:rsidRDefault="007C79DF" w:rsidP="00901B50">
      <w:pPr>
        <w:spacing w:after="0" w:line="240" w:lineRule="auto"/>
      </w:pPr>
      <w:r>
        <w:separator/>
      </w:r>
    </w:p>
  </w:endnote>
  <w:endnote w:type="continuationSeparator" w:id="0">
    <w:p w14:paraId="4AB8FB42" w14:textId="77777777" w:rsidR="007C79DF" w:rsidRDefault="007C79DF" w:rsidP="00901B50">
      <w:pPr>
        <w:spacing w:after="0" w:line="240" w:lineRule="auto"/>
      </w:pPr>
      <w:r>
        <w:continuationSeparator/>
      </w:r>
    </w:p>
  </w:endnote>
  <w:endnote w:type="continuationNotice" w:id="1">
    <w:p w14:paraId="529BD005" w14:textId="77777777" w:rsidR="007C79DF" w:rsidRDefault="007C79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9205355"/>
      <w:docPartObj>
        <w:docPartGallery w:val="Page Numbers (Bottom of Page)"/>
        <w:docPartUnique/>
      </w:docPartObj>
    </w:sdtPr>
    <w:sdtContent>
      <w:p w14:paraId="5A57F2D2" w14:textId="7B30B716" w:rsidR="002A2389" w:rsidRDefault="002A2389" w:rsidP="002A2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E6263A" w14:textId="77777777" w:rsidR="002A2389" w:rsidRDefault="002A2389" w:rsidP="002B65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721727"/>
      <w:docPartObj>
        <w:docPartGallery w:val="Page Numbers (Bottom of Page)"/>
        <w:docPartUnique/>
      </w:docPartObj>
    </w:sdtPr>
    <w:sdtEndPr>
      <w:rPr>
        <w:noProof/>
      </w:rPr>
    </w:sdtEndPr>
    <w:sdtContent>
      <w:p w14:paraId="0C0F23D8" w14:textId="555F7209" w:rsidR="00F32084" w:rsidRDefault="00F320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E2550" w14:textId="77777777" w:rsidR="002A2389" w:rsidRDefault="002A2389" w:rsidP="002B650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313EE" w14:textId="77777777" w:rsidR="006A15FB" w:rsidRDefault="006A15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0454356"/>
      <w:docPartObj>
        <w:docPartGallery w:val="Page Numbers (Bottom of Page)"/>
        <w:docPartUnique/>
      </w:docPartObj>
    </w:sdtPr>
    <w:sdtContent>
      <w:p w14:paraId="16C52761" w14:textId="07324547" w:rsidR="002A2389" w:rsidRDefault="002A2389" w:rsidP="002B6501">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02151">
          <w:rPr>
            <w:rStyle w:val="PageNumber"/>
            <w:noProof/>
          </w:rPr>
          <w:t>1</w:t>
        </w:r>
        <w:r>
          <w:rPr>
            <w:rStyle w:val="PageNumber"/>
          </w:rPr>
          <w:fldChar w:fldCharType="end"/>
        </w:r>
      </w:p>
    </w:sdtContent>
  </w:sdt>
  <w:p w14:paraId="2484629F" w14:textId="77777777" w:rsidR="002A2389" w:rsidRDefault="002A2389" w:rsidP="00901B5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3414670"/>
      <w:docPartObj>
        <w:docPartGallery w:val="Page Numbers (Bottom of Page)"/>
        <w:docPartUnique/>
      </w:docPartObj>
    </w:sdtPr>
    <w:sdtContent>
      <w:p w14:paraId="26C74691" w14:textId="0C17C8BC" w:rsidR="002A2389" w:rsidRDefault="002A2389" w:rsidP="002A23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47</w:t>
        </w:r>
        <w:r>
          <w:rPr>
            <w:rStyle w:val="PageNumber"/>
          </w:rPr>
          <w:fldChar w:fldCharType="end"/>
        </w:r>
      </w:p>
    </w:sdtContent>
  </w:sdt>
  <w:p w14:paraId="6C30F5FD" w14:textId="77777777" w:rsidR="002A2389" w:rsidRDefault="002A2389" w:rsidP="00901B50">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5CEC3" w14:textId="77777777" w:rsidR="002A2389" w:rsidRDefault="002A2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63372" w14:textId="77777777" w:rsidR="007C79DF" w:rsidRDefault="007C79DF" w:rsidP="00901B50">
      <w:pPr>
        <w:spacing w:after="0" w:line="240" w:lineRule="auto"/>
      </w:pPr>
      <w:r>
        <w:separator/>
      </w:r>
    </w:p>
  </w:footnote>
  <w:footnote w:type="continuationSeparator" w:id="0">
    <w:p w14:paraId="22C15458" w14:textId="77777777" w:rsidR="007C79DF" w:rsidRDefault="007C79DF" w:rsidP="00901B50">
      <w:pPr>
        <w:spacing w:after="0" w:line="240" w:lineRule="auto"/>
      </w:pPr>
      <w:r>
        <w:continuationSeparator/>
      </w:r>
    </w:p>
  </w:footnote>
  <w:footnote w:type="continuationNotice" w:id="1">
    <w:p w14:paraId="7E7EB5A1" w14:textId="77777777" w:rsidR="007C79DF" w:rsidRDefault="007C79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FC1D5" w14:textId="77777777" w:rsidR="006A15FB" w:rsidRDefault="006A1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0A7D8" w14:textId="37B2E518" w:rsidR="002A2389" w:rsidRPr="002C469B" w:rsidRDefault="002C469B" w:rsidP="007D71B3">
    <w:pPr>
      <w:pStyle w:val="Header"/>
      <w:rPr>
        <w:rFonts w:ascii="Times New Roman" w:hAnsi="Times New Roman" w:cs="Times New Roman"/>
        <w:bCs/>
        <w:sz w:val="18"/>
        <w:szCs w:val="18"/>
      </w:rPr>
    </w:pPr>
    <w:r>
      <w:rPr>
        <w:rFonts w:ascii="Times New Roman" w:hAnsi="Times New Roman" w:cs="Times New Roman"/>
        <w:bCs/>
        <w:sz w:val="18"/>
        <w:szCs w:val="18"/>
      </w:rPr>
      <w:t>EDGE: BU</w:t>
    </w:r>
    <w:r>
      <w:rPr>
        <w:rFonts w:ascii="Times New Roman" w:hAnsi="Times New Roman" w:cs="Times New Roman"/>
        <w:bCs/>
        <w:sz w:val="18"/>
        <w:szCs w:val="18"/>
      </w:rPr>
      <w:tab/>
      <w:t>Batch: 65</w:t>
    </w:r>
    <w:r>
      <w:rPr>
        <w:rFonts w:ascii="Times New Roman" w:hAnsi="Times New Roman" w:cs="Times New Roman"/>
        <w:bCs/>
        <w:sz w:val="18"/>
        <w:szCs w:val="18"/>
      </w:rPr>
      <w:tab/>
      <w:t>Roll: 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75936" w14:textId="77777777" w:rsidR="006A15FB" w:rsidRDefault="006A15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0584" w14:textId="77777777" w:rsidR="002A2389" w:rsidRDefault="002A238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4FEC2" w14:textId="267D96ED" w:rsidR="002A2389" w:rsidRDefault="006A15FB" w:rsidP="006A15FB">
    <w:pPr>
      <w:pStyle w:val="Header"/>
      <w:rPr>
        <w:rFonts w:ascii="Times New Roman" w:hAnsi="Times New Roman" w:cs="Times New Roman"/>
        <w:sz w:val="18"/>
        <w:szCs w:val="18"/>
      </w:rPr>
    </w:pPr>
    <w:r>
      <w:rPr>
        <w:rFonts w:ascii="Times New Roman" w:hAnsi="Times New Roman" w:cs="Times New Roman"/>
        <w:sz w:val="18"/>
        <w:szCs w:val="18"/>
      </w:rPr>
      <w:t>EDGE: BU</w:t>
    </w:r>
    <w:r>
      <w:rPr>
        <w:rFonts w:ascii="Times New Roman" w:hAnsi="Times New Roman" w:cs="Times New Roman"/>
        <w:sz w:val="18"/>
        <w:szCs w:val="18"/>
      </w:rPr>
      <w:tab/>
      <w:t>Batch: 65</w:t>
    </w:r>
    <w:r>
      <w:rPr>
        <w:rFonts w:ascii="Times New Roman" w:hAnsi="Times New Roman" w:cs="Times New Roman"/>
        <w:sz w:val="18"/>
        <w:szCs w:val="18"/>
      </w:rPr>
      <w:tab/>
      <w:t>Roll: 15</w:t>
    </w:r>
  </w:p>
  <w:p w14:paraId="7F0F8FB9" w14:textId="77777777" w:rsidR="006A15FB" w:rsidRPr="006A15FB" w:rsidRDefault="006A15FB" w:rsidP="006A15FB">
    <w:pPr>
      <w:pStyle w:val="Header"/>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E6702" w14:textId="77777777" w:rsidR="002A2389" w:rsidRDefault="002A2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3B5E"/>
    <w:multiLevelType w:val="hybridMultilevel"/>
    <w:tmpl w:val="9EF46F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67D0B53"/>
    <w:multiLevelType w:val="hybridMultilevel"/>
    <w:tmpl w:val="62A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F3C01"/>
    <w:multiLevelType w:val="multilevel"/>
    <w:tmpl w:val="5D32D17C"/>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8803C3A"/>
    <w:multiLevelType w:val="hybridMultilevel"/>
    <w:tmpl w:val="90CC6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54C08"/>
    <w:multiLevelType w:val="hybridMultilevel"/>
    <w:tmpl w:val="4606A8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3A2F22"/>
    <w:multiLevelType w:val="hybridMultilevel"/>
    <w:tmpl w:val="E14A6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45F62"/>
    <w:multiLevelType w:val="hybridMultilevel"/>
    <w:tmpl w:val="F4C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F2483"/>
    <w:multiLevelType w:val="hybridMultilevel"/>
    <w:tmpl w:val="F462123C"/>
    <w:lvl w:ilvl="0" w:tplc="D2465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85094"/>
    <w:multiLevelType w:val="hybridMultilevel"/>
    <w:tmpl w:val="CA98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7E26"/>
    <w:multiLevelType w:val="hybridMultilevel"/>
    <w:tmpl w:val="BDD0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B36F8"/>
    <w:multiLevelType w:val="hybridMultilevel"/>
    <w:tmpl w:val="329AC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F4762"/>
    <w:multiLevelType w:val="multilevel"/>
    <w:tmpl w:val="CDD04CF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422581C"/>
    <w:multiLevelType w:val="hybridMultilevel"/>
    <w:tmpl w:val="873ECB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FA228F"/>
    <w:multiLevelType w:val="multilevel"/>
    <w:tmpl w:val="EE909AA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9387A24"/>
    <w:multiLevelType w:val="hybridMultilevel"/>
    <w:tmpl w:val="140ECB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02ADD"/>
    <w:multiLevelType w:val="hybridMultilevel"/>
    <w:tmpl w:val="BD26F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D0768"/>
    <w:multiLevelType w:val="hybridMultilevel"/>
    <w:tmpl w:val="C4F0D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641267"/>
    <w:multiLevelType w:val="hybridMultilevel"/>
    <w:tmpl w:val="B870400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550983"/>
    <w:multiLevelType w:val="multilevel"/>
    <w:tmpl w:val="7402CF2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ED36EB"/>
    <w:multiLevelType w:val="hybridMultilevel"/>
    <w:tmpl w:val="3C108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56F01"/>
    <w:multiLevelType w:val="hybridMultilevel"/>
    <w:tmpl w:val="77509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C577B"/>
    <w:multiLevelType w:val="hybridMultilevel"/>
    <w:tmpl w:val="BDA85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92352"/>
    <w:multiLevelType w:val="hybridMultilevel"/>
    <w:tmpl w:val="95CA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26F35"/>
    <w:multiLevelType w:val="hybridMultilevel"/>
    <w:tmpl w:val="410E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162650"/>
    <w:multiLevelType w:val="hybridMultilevel"/>
    <w:tmpl w:val="1D3A9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B35CF"/>
    <w:multiLevelType w:val="hybridMultilevel"/>
    <w:tmpl w:val="624E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197C93"/>
    <w:multiLevelType w:val="hybridMultilevel"/>
    <w:tmpl w:val="362224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15B6965"/>
    <w:multiLevelType w:val="hybridMultilevel"/>
    <w:tmpl w:val="233064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351128A"/>
    <w:multiLevelType w:val="hybridMultilevel"/>
    <w:tmpl w:val="8B8AB0BA"/>
    <w:lvl w:ilvl="0" w:tplc="04090005">
      <w:start w:val="1"/>
      <w:numFmt w:val="bullet"/>
      <w:lvlText w:val=""/>
      <w:lvlJc w:val="left"/>
      <w:pPr>
        <w:ind w:left="720" w:hanging="360"/>
      </w:pPr>
      <w:rPr>
        <w:rFonts w:ascii="Wingdings" w:hAnsi="Wingdings" w:hint="default"/>
      </w:rPr>
    </w:lvl>
    <w:lvl w:ilvl="1" w:tplc="531E09E2">
      <w:start w:val="3"/>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D04120"/>
    <w:multiLevelType w:val="hybridMultilevel"/>
    <w:tmpl w:val="AF8AF86A"/>
    <w:lvl w:ilvl="0" w:tplc="04090001">
      <w:start w:val="1"/>
      <w:numFmt w:val="bullet"/>
      <w:lvlText w:val=""/>
      <w:lvlJc w:val="left"/>
      <w:pPr>
        <w:ind w:left="720" w:hanging="360"/>
      </w:pPr>
      <w:rPr>
        <w:rFonts w:ascii="Symbol" w:hAnsi="Symbol" w:hint="default"/>
      </w:rPr>
    </w:lvl>
    <w:lvl w:ilvl="1" w:tplc="E22AF58C">
      <w:start w:val="5"/>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13A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ED85576"/>
    <w:multiLevelType w:val="hybridMultilevel"/>
    <w:tmpl w:val="B7C6C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BB65A2"/>
    <w:multiLevelType w:val="multilevel"/>
    <w:tmpl w:val="A5A646EA"/>
    <w:lvl w:ilvl="0">
      <w:start w:val="1"/>
      <w:numFmt w:val="decimal"/>
      <w:lvlText w:val="%1."/>
      <w:lvlJc w:val="left"/>
      <w:pPr>
        <w:ind w:left="720" w:hanging="360"/>
      </w:pPr>
      <w:rPr>
        <w:rFonts w:hint="default"/>
      </w:rPr>
    </w:lvl>
    <w:lvl w:ilvl="1">
      <w:start w:val="1"/>
      <w:numFmt w:val="decimal"/>
      <w:isLgl/>
      <w:lvlText w:val="%1.%2"/>
      <w:lvlJc w:val="left"/>
      <w:pPr>
        <w:ind w:left="80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DE70604"/>
    <w:multiLevelType w:val="hybridMultilevel"/>
    <w:tmpl w:val="F478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E5F1D"/>
    <w:multiLevelType w:val="multilevel"/>
    <w:tmpl w:val="54DC02E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68F112A"/>
    <w:multiLevelType w:val="multilevel"/>
    <w:tmpl w:val="54DC02E4"/>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895463E"/>
    <w:multiLevelType w:val="multilevel"/>
    <w:tmpl w:val="DBBAF8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90D40BD"/>
    <w:multiLevelType w:val="multilevel"/>
    <w:tmpl w:val="BFFCAA52"/>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D2007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F856CA"/>
    <w:multiLevelType w:val="hybridMultilevel"/>
    <w:tmpl w:val="B544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0543C6"/>
    <w:multiLevelType w:val="multilevel"/>
    <w:tmpl w:val="FFFFFFFF"/>
    <w:lvl w:ilvl="0">
      <w:start w:val="2"/>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014840931">
    <w:abstractNumId w:val="32"/>
  </w:num>
  <w:num w:numId="2" w16cid:durableId="839926150">
    <w:abstractNumId w:val="1"/>
  </w:num>
  <w:num w:numId="3" w16cid:durableId="1058213777">
    <w:abstractNumId w:val="39"/>
  </w:num>
  <w:num w:numId="4" w16cid:durableId="1909071721">
    <w:abstractNumId w:val="29"/>
  </w:num>
  <w:num w:numId="5" w16cid:durableId="594021057">
    <w:abstractNumId w:val="27"/>
  </w:num>
  <w:num w:numId="6" w16cid:durableId="2023508006">
    <w:abstractNumId w:val="24"/>
  </w:num>
  <w:num w:numId="7" w16cid:durableId="908420626">
    <w:abstractNumId w:val="4"/>
  </w:num>
  <w:num w:numId="8" w16cid:durableId="2038893222">
    <w:abstractNumId w:val="40"/>
  </w:num>
  <w:num w:numId="9" w16cid:durableId="105202608">
    <w:abstractNumId w:val="25"/>
  </w:num>
  <w:num w:numId="10" w16cid:durableId="714892948">
    <w:abstractNumId w:val="0"/>
  </w:num>
  <w:num w:numId="11" w16cid:durableId="631980632">
    <w:abstractNumId w:val="3"/>
  </w:num>
  <w:num w:numId="12" w16cid:durableId="1855532397">
    <w:abstractNumId w:val="31"/>
  </w:num>
  <w:num w:numId="13" w16cid:durableId="202180164">
    <w:abstractNumId w:val="26"/>
  </w:num>
  <w:num w:numId="14" w16cid:durableId="1049381263">
    <w:abstractNumId w:val="9"/>
  </w:num>
  <w:num w:numId="15" w16cid:durableId="1394355482">
    <w:abstractNumId w:val="5"/>
  </w:num>
  <w:num w:numId="16" w16cid:durableId="1387804143">
    <w:abstractNumId w:val="20"/>
  </w:num>
  <w:num w:numId="17" w16cid:durableId="1697147523">
    <w:abstractNumId w:val="19"/>
  </w:num>
  <w:num w:numId="18" w16cid:durableId="1475292098">
    <w:abstractNumId w:val="14"/>
  </w:num>
  <w:num w:numId="19" w16cid:durableId="613485715">
    <w:abstractNumId w:val="28"/>
  </w:num>
  <w:num w:numId="20" w16cid:durableId="1011376419">
    <w:abstractNumId w:val="16"/>
  </w:num>
  <w:num w:numId="21" w16cid:durableId="1199854292">
    <w:abstractNumId w:val="17"/>
  </w:num>
  <w:num w:numId="22" w16cid:durableId="1771121478">
    <w:abstractNumId w:val="10"/>
  </w:num>
  <w:num w:numId="23" w16cid:durableId="352149685">
    <w:abstractNumId w:val="21"/>
  </w:num>
  <w:num w:numId="24" w16cid:durableId="916479477">
    <w:abstractNumId w:val="6"/>
  </w:num>
  <w:num w:numId="25" w16cid:durableId="1042513781">
    <w:abstractNumId w:val="23"/>
  </w:num>
  <w:num w:numId="26" w16cid:durableId="1972051857">
    <w:abstractNumId w:val="22"/>
  </w:num>
  <w:num w:numId="27" w16cid:durableId="490173974">
    <w:abstractNumId w:val="8"/>
  </w:num>
  <w:num w:numId="28" w16cid:durableId="681321431">
    <w:abstractNumId w:val="12"/>
  </w:num>
  <w:num w:numId="29" w16cid:durableId="934674838">
    <w:abstractNumId w:val="38"/>
  </w:num>
  <w:num w:numId="30" w16cid:durableId="1156146662">
    <w:abstractNumId w:val="36"/>
  </w:num>
  <w:num w:numId="31" w16cid:durableId="629701615">
    <w:abstractNumId w:val="35"/>
  </w:num>
  <w:num w:numId="32" w16cid:durableId="2017032649">
    <w:abstractNumId w:val="34"/>
  </w:num>
  <w:num w:numId="33" w16cid:durableId="909534126">
    <w:abstractNumId w:val="11"/>
  </w:num>
  <w:num w:numId="34" w16cid:durableId="1082144173">
    <w:abstractNumId w:val="30"/>
  </w:num>
  <w:num w:numId="35" w16cid:durableId="1102186486">
    <w:abstractNumId w:val="37"/>
  </w:num>
  <w:num w:numId="36" w16cid:durableId="1093863335">
    <w:abstractNumId w:val="13"/>
  </w:num>
  <w:num w:numId="37" w16cid:durableId="290521852">
    <w:abstractNumId w:val="2"/>
  </w:num>
  <w:num w:numId="38" w16cid:durableId="1655067856">
    <w:abstractNumId w:val="18"/>
  </w:num>
  <w:num w:numId="39" w16cid:durableId="52504123">
    <w:abstractNumId w:val="7"/>
  </w:num>
  <w:num w:numId="40" w16cid:durableId="4787451">
    <w:abstractNumId w:val="18"/>
    <w:lvlOverride w:ilvl="0">
      <w:startOverride w:val="2"/>
    </w:lvlOverride>
  </w:num>
  <w:num w:numId="41" w16cid:durableId="1951618969">
    <w:abstractNumId w:val="18"/>
    <w:lvlOverride w:ilvl="0">
      <w:startOverride w:val="3"/>
    </w:lvlOverride>
    <w:lvlOverride w:ilvl="1">
      <w:startOverride w:val="1"/>
    </w:lvlOverride>
  </w:num>
  <w:num w:numId="42" w16cid:durableId="795876085">
    <w:abstractNumId w:val="15"/>
  </w:num>
  <w:num w:numId="43" w16cid:durableId="680355896">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7D"/>
    <w:rsid w:val="000005C6"/>
    <w:rsid w:val="000015FE"/>
    <w:rsid w:val="0000380E"/>
    <w:rsid w:val="00006981"/>
    <w:rsid w:val="0001277B"/>
    <w:rsid w:val="000163B5"/>
    <w:rsid w:val="000214DD"/>
    <w:rsid w:val="00021A0D"/>
    <w:rsid w:val="00027BAD"/>
    <w:rsid w:val="00030A9F"/>
    <w:rsid w:val="00034105"/>
    <w:rsid w:val="000354E0"/>
    <w:rsid w:val="00035F93"/>
    <w:rsid w:val="00036B51"/>
    <w:rsid w:val="000413C0"/>
    <w:rsid w:val="00041B9F"/>
    <w:rsid w:val="00045AEA"/>
    <w:rsid w:val="00050683"/>
    <w:rsid w:val="00050B50"/>
    <w:rsid w:val="00050DE1"/>
    <w:rsid w:val="000537D7"/>
    <w:rsid w:val="00060A34"/>
    <w:rsid w:val="00061CF2"/>
    <w:rsid w:val="00062D9F"/>
    <w:rsid w:val="00062FA9"/>
    <w:rsid w:val="00064C8F"/>
    <w:rsid w:val="00065BCF"/>
    <w:rsid w:val="00071143"/>
    <w:rsid w:val="0007142D"/>
    <w:rsid w:val="00071EA4"/>
    <w:rsid w:val="00071FFF"/>
    <w:rsid w:val="0008170F"/>
    <w:rsid w:val="00081CB2"/>
    <w:rsid w:val="000823C3"/>
    <w:rsid w:val="00082C02"/>
    <w:rsid w:val="00083BC6"/>
    <w:rsid w:val="000862E2"/>
    <w:rsid w:val="000876DF"/>
    <w:rsid w:val="00095326"/>
    <w:rsid w:val="00096655"/>
    <w:rsid w:val="000A2CA7"/>
    <w:rsid w:val="000A78E0"/>
    <w:rsid w:val="000A7A62"/>
    <w:rsid w:val="000B2923"/>
    <w:rsid w:val="000B5270"/>
    <w:rsid w:val="000C2AC6"/>
    <w:rsid w:val="000D0BFB"/>
    <w:rsid w:val="000D296F"/>
    <w:rsid w:val="000D67C3"/>
    <w:rsid w:val="000D7BF1"/>
    <w:rsid w:val="000E3E92"/>
    <w:rsid w:val="000F5175"/>
    <w:rsid w:val="000F528E"/>
    <w:rsid w:val="001025A0"/>
    <w:rsid w:val="0010654E"/>
    <w:rsid w:val="00107A1F"/>
    <w:rsid w:val="00112970"/>
    <w:rsid w:val="0011689D"/>
    <w:rsid w:val="00125186"/>
    <w:rsid w:val="00125366"/>
    <w:rsid w:val="001303A4"/>
    <w:rsid w:val="00132B31"/>
    <w:rsid w:val="00136264"/>
    <w:rsid w:val="00136B02"/>
    <w:rsid w:val="00137490"/>
    <w:rsid w:val="0014724A"/>
    <w:rsid w:val="001548BD"/>
    <w:rsid w:val="00154918"/>
    <w:rsid w:val="00157E05"/>
    <w:rsid w:val="00161D83"/>
    <w:rsid w:val="00165B02"/>
    <w:rsid w:val="00166DA6"/>
    <w:rsid w:val="00172CBA"/>
    <w:rsid w:val="00173DC3"/>
    <w:rsid w:val="001766DB"/>
    <w:rsid w:val="00182525"/>
    <w:rsid w:val="0019273E"/>
    <w:rsid w:val="0019791A"/>
    <w:rsid w:val="001A1788"/>
    <w:rsid w:val="001A2CE8"/>
    <w:rsid w:val="001A4259"/>
    <w:rsid w:val="001A7EEB"/>
    <w:rsid w:val="001B1347"/>
    <w:rsid w:val="001C11C7"/>
    <w:rsid w:val="001C12B3"/>
    <w:rsid w:val="001C2752"/>
    <w:rsid w:val="001C3B58"/>
    <w:rsid w:val="001C4409"/>
    <w:rsid w:val="001C771E"/>
    <w:rsid w:val="001D1F80"/>
    <w:rsid w:val="001D210F"/>
    <w:rsid w:val="001D2E74"/>
    <w:rsid w:val="001D4CE8"/>
    <w:rsid w:val="001D6D2E"/>
    <w:rsid w:val="001D6D34"/>
    <w:rsid w:val="001D7155"/>
    <w:rsid w:val="001E148E"/>
    <w:rsid w:val="001E3E7A"/>
    <w:rsid w:val="001E3F30"/>
    <w:rsid w:val="001F0256"/>
    <w:rsid w:val="001F0D97"/>
    <w:rsid w:val="001F13A5"/>
    <w:rsid w:val="001F4591"/>
    <w:rsid w:val="001F4D08"/>
    <w:rsid w:val="001F6DD3"/>
    <w:rsid w:val="001F70F1"/>
    <w:rsid w:val="002016AD"/>
    <w:rsid w:val="00201A28"/>
    <w:rsid w:val="00201C57"/>
    <w:rsid w:val="002040C4"/>
    <w:rsid w:val="00205820"/>
    <w:rsid w:val="00207AC8"/>
    <w:rsid w:val="002122DB"/>
    <w:rsid w:val="00214D29"/>
    <w:rsid w:val="00214F3B"/>
    <w:rsid w:val="00225106"/>
    <w:rsid w:val="00226FC4"/>
    <w:rsid w:val="0022793F"/>
    <w:rsid w:val="002308ED"/>
    <w:rsid w:val="00233E8A"/>
    <w:rsid w:val="00234B62"/>
    <w:rsid w:val="002367E6"/>
    <w:rsid w:val="002374C2"/>
    <w:rsid w:val="00240B8A"/>
    <w:rsid w:val="0024244A"/>
    <w:rsid w:val="00243113"/>
    <w:rsid w:val="00247E1B"/>
    <w:rsid w:val="002540B0"/>
    <w:rsid w:val="002564C7"/>
    <w:rsid w:val="002601B7"/>
    <w:rsid w:val="002632DD"/>
    <w:rsid w:val="00264EDD"/>
    <w:rsid w:val="0027628C"/>
    <w:rsid w:val="00276611"/>
    <w:rsid w:val="002835CD"/>
    <w:rsid w:val="002908C0"/>
    <w:rsid w:val="00293089"/>
    <w:rsid w:val="0029527F"/>
    <w:rsid w:val="00295EE1"/>
    <w:rsid w:val="002A0FB3"/>
    <w:rsid w:val="002A2389"/>
    <w:rsid w:val="002A3192"/>
    <w:rsid w:val="002A342E"/>
    <w:rsid w:val="002A39E7"/>
    <w:rsid w:val="002A487D"/>
    <w:rsid w:val="002A6472"/>
    <w:rsid w:val="002A6B68"/>
    <w:rsid w:val="002B2EA8"/>
    <w:rsid w:val="002B4E8D"/>
    <w:rsid w:val="002B5163"/>
    <w:rsid w:val="002B6501"/>
    <w:rsid w:val="002C0087"/>
    <w:rsid w:val="002C103D"/>
    <w:rsid w:val="002C1521"/>
    <w:rsid w:val="002C2EB2"/>
    <w:rsid w:val="002C469B"/>
    <w:rsid w:val="002D1565"/>
    <w:rsid w:val="002D446C"/>
    <w:rsid w:val="002D4FAA"/>
    <w:rsid w:val="002D6D00"/>
    <w:rsid w:val="002D703A"/>
    <w:rsid w:val="002E22E0"/>
    <w:rsid w:val="002E3B6B"/>
    <w:rsid w:val="002E46EE"/>
    <w:rsid w:val="002E4B90"/>
    <w:rsid w:val="002E6E62"/>
    <w:rsid w:val="002F0057"/>
    <w:rsid w:val="002F16A4"/>
    <w:rsid w:val="002F3282"/>
    <w:rsid w:val="002F3F0C"/>
    <w:rsid w:val="002F4210"/>
    <w:rsid w:val="002F6DC4"/>
    <w:rsid w:val="002F7D14"/>
    <w:rsid w:val="003027F4"/>
    <w:rsid w:val="003079AF"/>
    <w:rsid w:val="003118BD"/>
    <w:rsid w:val="003142A3"/>
    <w:rsid w:val="003142D9"/>
    <w:rsid w:val="00314F67"/>
    <w:rsid w:val="00315974"/>
    <w:rsid w:val="00316E30"/>
    <w:rsid w:val="00320631"/>
    <w:rsid w:val="00321DEC"/>
    <w:rsid w:val="00324DF8"/>
    <w:rsid w:val="00325BF6"/>
    <w:rsid w:val="00331F37"/>
    <w:rsid w:val="00335ED1"/>
    <w:rsid w:val="00340D80"/>
    <w:rsid w:val="0034313B"/>
    <w:rsid w:val="003449DD"/>
    <w:rsid w:val="00347E2F"/>
    <w:rsid w:val="00350D7A"/>
    <w:rsid w:val="00351872"/>
    <w:rsid w:val="00353110"/>
    <w:rsid w:val="00353CF7"/>
    <w:rsid w:val="00354CD5"/>
    <w:rsid w:val="003575D7"/>
    <w:rsid w:val="0036169B"/>
    <w:rsid w:val="003656F4"/>
    <w:rsid w:val="00367FB1"/>
    <w:rsid w:val="00370F6F"/>
    <w:rsid w:val="003755CA"/>
    <w:rsid w:val="00376421"/>
    <w:rsid w:val="0037791E"/>
    <w:rsid w:val="0038129D"/>
    <w:rsid w:val="00384D20"/>
    <w:rsid w:val="0038683E"/>
    <w:rsid w:val="0039344E"/>
    <w:rsid w:val="0039427C"/>
    <w:rsid w:val="00394618"/>
    <w:rsid w:val="00396081"/>
    <w:rsid w:val="003A2F18"/>
    <w:rsid w:val="003A44CA"/>
    <w:rsid w:val="003A4CBA"/>
    <w:rsid w:val="003A560E"/>
    <w:rsid w:val="003A5BD1"/>
    <w:rsid w:val="003A79E7"/>
    <w:rsid w:val="003B40CC"/>
    <w:rsid w:val="003B71EF"/>
    <w:rsid w:val="003C3A73"/>
    <w:rsid w:val="003C4056"/>
    <w:rsid w:val="003C54CC"/>
    <w:rsid w:val="003C5A98"/>
    <w:rsid w:val="003D2680"/>
    <w:rsid w:val="003D3437"/>
    <w:rsid w:val="003D42FC"/>
    <w:rsid w:val="003D5A28"/>
    <w:rsid w:val="003E033C"/>
    <w:rsid w:val="003E0AAF"/>
    <w:rsid w:val="003E226A"/>
    <w:rsid w:val="003E4A7B"/>
    <w:rsid w:val="003E6ED5"/>
    <w:rsid w:val="003E762B"/>
    <w:rsid w:val="003F0736"/>
    <w:rsid w:val="003F41BC"/>
    <w:rsid w:val="003F4353"/>
    <w:rsid w:val="003F4898"/>
    <w:rsid w:val="004013D1"/>
    <w:rsid w:val="00403447"/>
    <w:rsid w:val="0040550B"/>
    <w:rsid w:val="00406ACE"/>
    <w:rsid w:val="00406E0E"/>
    <w:rsid w:val="004104CE"/>
    <w:rsid w:val="0041138A"/>
    <w:rsid w:val="00412FE5"/>
    <w:rsid w:val="0041335D"/>
    <w:rsid w:val="004137D6"/>
    <w:rsid w:val="00414A07"/>
    <w:rsid w:val="00415B33"/>
    <w:rsid w:val="00425DA3"/>
    <w:rsid w:val="00442368"/>
    <w:rsid w:val="00442F40"/>
    <w:rsid w:val="004500F4"/>
    <w:rsid w:val="004504B7"/>
    <w:rsid w:val="00452ABD"/>
    <w:rsid w:val="00457887"/>
    <w:rsid w:val="0046201E"/>
    <w:rsid w:val="00464D26"/>
    <w:rsid w:val="0046636F"/>
    <w:rsid w:val="004673F3"/>
    <w:rsid w:val="004713F6"/>
    <w:rsid w:val="00471434"/>
    <w:rsid w:val="00472E8B"/>
    <w:rsid w:val="0047525D"/>
    <w:rsid w:val="00477390"/>
    <w:rsid w:val="00477FBA"/>
    <w:rsid w:val="00482E91"/>
    <w:rsid w:val="00483108"/>
    <w:rsid w:val="004857B8"/>
    <w:rsid w:val="00486400"/>
    <w:rsid w:val="00487378"/>
    <w:rsid w:val="00487613"/>
    <w:rsid w:val="00493247"/>
    <w:rsid w:val="004941E0"/>
    <w:rsid w:val="0049512B"/>
    <w:rsid w:val="00495770"/>
    <w:rsid w:val="004A479F"/>
    <w:rsid w:val="004A5792"/>
    <w:rsid w:val="004A58D2"/>
    <w:rsid w:val="004A674B"/>
    <w:rsid w:val="004A6C8E"/>
    <w:rsid w:val="004A7AA5"/>
    <w:rsid w:val="004B0DDA"/>
    <w:rsid w:val="004B3A7A"/>
    <w:rsid w:val="004B51B2"/>
    <w:rsid w:val="004B5F76"/>
    <w:rsid w:val="004B60C5"/>
    <w:rsid w:val="004B61DF"/>
    <w:rsid w:val="004B71B1"/>
    <w:rsid w:val="004C2F44"/>
    <w:rsid w:val="004E115C"/>
    <w:rsid w:val="004E4776"/>
    <w:rsid w:val="004E7CDA"/>
    <w:rsid w:val="004F1568"/>
    <w:rsid w:val="0050640C"/>
    <w:rsid w:val="00510F23"/>
    <w:rsid w:val="00511DB1"/>
    <w:rsid w:val="00513CFE"/>
    <w:rsid w:val="00517001"/>
    <w:rsid w:val="00517AF6"/>
    <w:rsid w:val="00521553"/>
    <w:rsid w:val="00523457"/>
    <w:rsid w:val="00523F19"/>
    <w:rsid w:val="00525631"/>
    <w:rsid w:val="00525D79"/>
    <w:rsid w:val="005313A3"/>
    <w:rsid w:val="00532AC9"/>
    <w:rsid w:val="005332C7"/>
    <w:rsid w:val="00536A6C"/>
    <w:rsid w:val="005410E6"/>
    <w:rsid w:val="005423A1"/>
    <w:rsid w:val="00545B72"/>
    <w:rsid w:val="005520FB"/>
    <w:rsid w:val="005601CA"/>
    <w:rsid w:val="00560E6E"/>
    <w:rsid w:val="005626A0"/>
    <w:rsid w:val="00562DA4"/>
    <w:rsid w:val="0056345F"/>
    <w:rsid w:val="00565A2A"/>
    <w:rsid w:val="00566F41"/>
    <w:rsid w:val="00574058"/>
    <w:rsid w:val="00574A6B"/>
    <w:rsid w:val="005761F9"/>
    <w:rsid w:val="00582D19"/>
    <w:rsid w:val="00583BCA"/>
    <w:rsid w:val="005843AB"/>
    <w:rsid w:val="005858BD"/>
    <w:rsid w:val="00590353"/>
    <w:rsid w:val="00591E06"/>
    <w:rsid w:val="005923CF"/>
    <w:rsid w:val="00596911"/>
    <w:rsid w:val="005A002E"/>
    <w:rsid w:val="005A01BC"/>
    <w:rsid w:val="005A138D"/>
    <w:rsid w:val="005A143C"/>
    <w:rsid w:val="005A5286"/>
    <w:rsid w:val="005A6C7F"/>
    <w:rsid w:val="005A705A"/>
    <w:rsid w:val="005A763B"/>
    <w:rsid w:val="005A7E9D"/>
    <w:rsid w:val="005B0818"/>
    <w:rsid w:val="005B787D"/>
    <w:rsid w:val="005C19FA"/>
    <w:rsid w:val="005C3AB7"/>
    <w:rsid w:val="005C3C6C"/>
    <w:rsid w:val="005C5942"/>
    <w:rsid w:val="005C6E8B"/>
    <w:rsid w:val="005D0B7D"/>
    <w:rsid w:val="005D48DF"/>
    <w:rsid w:val="005D49FC"/>
    <w:rsid w:val="005D4FEA"/>
    <w:rsid w:val="005D7F60"/>
    <w:rsid w:val="005E133F"/>
    <w:rsid w:val="005F04F2"/>
    <w:rsid w:val="005F1688"/>
    <w:rsid w:val="005F4996"/>
    <w:rsid w:val="005F639F"/>
    <w:rsid w:val="005F6D09"/>
    <w:rsid w:val="006018EB"/>
    <w:rsid w:val="00601FDB"/>
    <w:rsid w:val="006056D5"/>
    <w:rsid w:val="00606675"/>
    <w:rsid w:val="00612D3C"/>
    <w:rsid w:val="00617CD3"/>
    <w:rsid w:val="00623E20"/>
    <w:rsid w:val="00625581"/>
    <w:rsid w:val="0062651C"/>
    <w:rsid w:val="00631CE1"/>
    <w:rsid w:val="00632135"/>
    <w:rsid w:val="00633F07"/>
    <w:rsid w:val="00633F70"/>
    <w:rsid w:val="00634892"/>
    <w:rsid w:val="006354C0"/>
    <w:rsid w:val="00635DB6"/>
    <w:rsid w:val="00636F35"/>
    <w:rsid w:val="006404F3"/>
    <w:rsid w:val="00641597"/>
    <w:rsid w:val="00641E4A"/>
    <w:rsid w:val="0064329B"/>
    <w:rsid w:val="006478F7"/>
    <w:rsid w:val="0065347A"/>
    <w:rsid w:val="00653526"/>
    <w:rsid w:val="00654FE0"/>
    <w:rsid w:val="006617C6"/>
    <w:rsid w:val="006629EA"/>
    <w:rsid w:val="00664348"/>
    <w:rsid w:val="006659A0"/>
    <w:rsid w:val="0066676B"/>
    <w:rsid w:val="0067174A"/>
    <w:rsid w:val="00671756"/>
    <w:rsid w:val="0067305B"/>
    <w:rsid w:val="006804CA"/>
    <w:rsid w:val="00680A77"/>
    <w:rsid w:val="00682847"/>
    <w:rsid w:val="006835CD"/>
    <w:rsid w:val="006840A9"/>
    <w:rsid w:val="006866F9"/>
    <w:rsid w:val="00691BA2"/>
    <w:rsid w:val="00693379"/>
    <w:rsid w:val="0069442B"/>
    <w:rsid w:val="00696091"/>
    <w:rsid w:val="006975E5"/>
    <w:rsid w:val="006977AB"/>
    <w:rsid w:val="006A0156"/>
    <w:rsid w:val="006A15FB"/>
    <w:rsid w:val="006B2003"/>
    <w:rsid w:val="006C1665"/>
    <w:rsid w:val="006C20EE"/>
    <w:rsid w:val="006C74D6"/>
    <w:rsid w:val="006C7AC9"/>
    <w:rsid w:val="006D01B8"/>
    <w:rsid w:val="006D35C3"/>
    <w:rsid w:val="006D37AE"/>
    <w:rsid w:val="006D4541"/>
    <w:rsid w:val="006E2FE2"/>
    <w:rsid w:val="006E3878"/>
    <w:rsid w:val="006F2664"/>
    <w:rsid w:val="006F3AB9"/>
    <w:rsid w:val="006F3AE1"/>
    <w:rsid w:val="006F67EF"/>
    <w:rsid w:val="006F7CDE"/>
    <w:rsid w:val="00705325"/>
    <w:rsid w:val="00705789"/>
    <w:rsid w:val="007076C5"/>
    <w:rsid w:val="00711CB3"/>
    <w:rsid w:val="00713B0D"/>
    <w:rsid w:val="00714C34"/>
    <w:rsid w:val="00717E2A"/>
    <w:rsid w:val="007217DE"/>
    <w:rsid w:val="00723258"/>
    <w:rsid w:val="0072465B"/>
    <w:rsid w:val="00727AA2"/>
    <w:rsid w:val="007324A9"/>
    <w:rsid w:val="0073582D"/>
    <w:rsid w:val="00737EA6"/>
    <w:rsid w:val="0074080B"/>
    <w:rsid w:val="00742DBA"/>
    <w:rsid w:val="007450A8"/>
    <w:rsid w:val="00754433"/>
    <w:rsid w:val="007548DA"/>
    <w:rsid w:val="00757563"/>
    <w:rsid w:val="00761944"/>
    <w:rsid w:val="00761D4C"/>
    <w:rsid w:val="00764C1B"/>
    <w:rsid w:val="00765253"/>
    <w:rsid w:val="007658ED"/>
    <w:rsid w:val="00766227"/>
    <w:rsid w:val="00766D66"/>
    <w:rsid w:val="00767B21"/>
    <w:rsid w:val="00771CBF"/>
    <w:rsid w:val="007734B8"/>
    <w:rsid w:val="00777392"/>
    <w:rsid w:val="00777BFD"/>
    <w:rsid w:val="007818E3"/>
    <w:rsid w:val="00782757"/>
    <w:rsid w:val="0078490E"/>
    <w:rsid w:val="00784BBA"/>
    <w:rsid w:val="00786588"/>
    <w:rsid w:val="00787884"/>
    <w:rsid w:val="00787E3A"/>
    <w:rsid w:val="00787F23"/>
    <w:rsid w:val="00790AF1"/>
    <w:rsid w:val="00790D47"/>
    <w:rsid w:val="00791507"/>
    <w:rsid w:val="00792908"/>
    <w:rsid w:val="00797785"/>
    <w:rsid w:val="007A1E14"/>
    <w:rsid w:val="007A5670"/>
    <w:rsid w:val="007A608E"/>
    <w:rsid w:val="007A719A"/>
    <w:rsid w:val="007A7857"/>
    <w:rsid w:val="007B1950"/>
    <w:rsid w:val="007B1F1B"/>
    <w:rsid w:val="007B4472"/>
    <w:rsid w:val="007B48C6"/>
    <w:rsid w:val="007B4AEA"/>
    <w:rsid w:val="007B5D58"/>
    <w:rsid w:val="007B6718"/>
    <w:rsid w:val="007B68C7"/>
    <w:rsid w:val="007C0640"/>
    <w:rsid w:val="007C5300"/>
    <w:rsid w:val="007C79DF"/>
    <w:rsid w:val="007D30F4"/>
    <w:rsid w:val="007D6DF7"/>
    <w:rsid w:val="007D71B3"/>
    <w:rsid w:val="007D7328"/>
    <w:rsid w:val="007E2160"/>
    <w:rsid w:val="007E4058"/>
    <w:rsid w:val="007E4BE7"/>
    <w:rsid w:val="007E5474"/>
    <w:rsid w:val="007E58DF"/>
    <w:rsid w:val="007F1906"/>
    <w:rsid w:val="007F418C"/>
    <w:rsid w:val="00801208"/>
    <w:rsid w:val="00804730"/>
    <w:rsid w:val="00805D9C"/>
    <w:rsid w:val="00805F86"/>
    <w:rsid w:val="0080752C"/>
    <w:rsid w:val="00811F72"/>
    <w:rsid w:val="00814138"/>
    <w:rsid w:val="00814953"/>
    <w:rsid w:val="00815106"/>
    <w:rsid w:val="008157B7"/>
    <w:rsid w:val="008164E1"/>
    <w:rsid w:val="00820403"/>
    <w:rsid w:val="0082160F"/>
    <w:rsid w:val="00832DB8"/>
    <w:rsid w:val="008330AF"/>
    <w:rsid w:val="00833EF2"/>
    <w:rsid w:val="008359D2"/>
    <w:rsid w:val="00840777"/>
    <w:rsid w:val="00844942"/>
    <w:rsid w:val="008459E4"/>
    <w:rsid w:val="00845A3E"/>
    <w:rsid w:val="008557E7"/>
    <w:rsid w:val="008636B6"/>
    <w:rsid w:val="0086626A"/>
    <w:rsid w:val="0087070A"/>
    <w:rsid w:val="00872FB1"/>
    <w:rsid w:val="00873704"/>
    <w:rsid w:val="00873F13"/>
    <w:rsid w:val="00875E69"/>
    <w:rsid w:val="00877B41"/>
    <w:rsid w:val="0088211E"/>
    <w:rsid w:val="008851E9"/>
    <w:rsid w:val="008900EE"/>
    <w:rsid w:val="00895234"/>
    <w:rsid w:val="00895E5F"/>
    <w:rsid w:val="008A14B4"/>
    <w:rsid w:val="008A46D9"/>
    <w:rsid w:val="008B547D"/>
    <w:rsid w:val="008B5FFC"/>
    <w:rsid w:val="008B671F"/>
    <w:rsid w:val="008B781A"/>
    <w:rsid w:val="008C418A"/>
    <w:rsid w:val="008C4DBA"/>
    <w:rsid w:val="008C53D1"/>
    <w:rsid w:val="008D0B1F"/>
    <w:rsid w:val="008D2452"/>
    <w:rsid w:val="008D3565"/>
    <w:rsid w:val="008D3D87"/>
    <w:rsid w:val="008D3FAD"/>
    <w:rsid w:val="008D4BE3"/>
    <w:rsid w:val="008E0BB2"/>
    <w:rsid w:val="008E1B99"/>
    <w:rsid w:val="008E3153"/>
    <w:rsid w:val="008E4027"/>
    <w:rsid w:val="008E6E11"/>
    <w:rsid w:val="008E767E"/>
    <w:rsid w:val="008E7917"/>
    <w:rsid w:val="008F578C"/>
    <w:rsid w:val="008F5923"/>
    <w:rsid w:val="008F630B"/>
    <w:rsid w:val="00900C09"/>
    <w:rsid w:val="00901B50"/>
    <w:rsid w:val="00902151"/>
    <w:rsid w:val="0090431A"/>
    <w:rsid w:val="00905C75"/>
    <w:rsid w:val="00907A46"/>
    <w:rsid w:val="009122EA"/>
    <w:rsid w:val="00912E42"/>
    <w:rsid w:val="009134F9"/>
    <w:rsid w:val="00915C96"/>
    <w:rsid w:val="00917097"/>
    <w:rsid w:val="00920564"/>
    <w:rsid w:val="00920891"/>
    <w:rsid w:val="00924D4C"/>
    <w:rsid w:val="00931CC0"/>
    <w:rsid w:val="0093281F"/>
    <w:rsid w:val="00933475"/>
    <w:rsid w:val="0093561E"/>
    <w:rsid w:val="009370A7"/>
    <w:rsid w:val="00937745"/>
    <w:rsid w:val="00937A8A"/>
    <w:rsid w:val="0094382B"/>
    <w:rsid w:val="0094588E"/>
    <w:rsid w:val="0095152D"/>
    <w:rsid w:val="009527AD"/>
    <w:rsid w:val="00961BBB"/>
    <w:rsid w:val="00963A5E"/>
    <w:rsid w:val="009658C0"/>
    <w:rsid w:val="00965C48"/>
    <w:rsid w:val="0096645B"/>
    <w:rsid w:val="0096659A"/>
    <w:rsid w:val="0097180B"/>
    <w:rsid w:val="00977F5E"/>
    <w:rsid w:val="00985A78"/>
    <w:rsid w:val="009866F5"/>
    <w:rsid w:val="00986FB9"/>
    <w:rsid w:val="00994415"/>
    <w:rsid w:val="009A3F53"/>
    <w:rsid w:val="009A4660"/>
    <w:rsid w:val="009A5609"/>
    <w:rsid w:val="009A6B40"/>
    <w:rsid w:val="009B02C9"/>
    <w:rsid w:val="009B515A"/>
    <w:rsid w:val="009B5636"/>
    <w:rsid w:val="009B5D43"/>
    <w:rsid w:val="009C252E"/>
    <w:rsid w:val="009C27BC"/>
    <w:rsid w:val="009D25DE"/>
    <w:rsid w:val="009D5D6D"/>
    <w:rsid w:val="009D6D9B"/>
    <w:rsid w:val="009E24C8"/>
    <w:rsid w:val="009E2BB6"/>
    <w:rsid w:val="009E4F81"/>
    <w:rsid w:val="009E61EC"/>
    <w:rsid w:val="009F2007"/>
    <w:rsid w:val="00A00DE9"/>
    <w:rsid w:val="00A0640A"/>
    <w:rsid w:val="00A06B04"/>
    <w:rsid w:val="00A10F81"/>
    <w:rsid w:val="00A12F9F"/>
    <w:rsid w:val="00A17571"/>
    <w:rsid w:val="00A2327D"/>
    <w:rsid w:val="00A244FD"/>
    <w:rsid w:val="00A25BA3"/>
    <w:rsid w:val="00A30108"/>
    <w:rsid w:val="00A32CA2"/>
    <w:rsid w:val="00A377D3"/>
    <w:rsid w:val="00A406EE"/>
    <w:rsid w:val="00A45436"/>
    <w:rsid w:val="00A45C3C"/>
    <w:rsid w:val="00A46527"/>
    <w:rsid w:val="00A4792A"/>
    <w:rsid w:val="00A509B2"/>
    <w:rsid w:val="00A51ECD"/>
    <w:rsid w:val="00A52D39"/>
    <w:rsid w:val="00A54387"/>
    <w:rsid w:val="00A57FE6"/>
    <w:rsid w:val="00A63321"/>
    <w:rsid w:val="00A63AAC"/>
    <w:rsid w:val="00A663B6"/>
    <w:rsid w:val="00A66948"/>
    <w:rsid w:val="00A70C86"/>
    <w:rsid w:val="00A73790"/>
    <w:rsid w:val="00A81158"/>
    <w:rsid w:val="00A85E04"/>
    <w:rsid w:val="00A86203"/>
    <w:rsid w:val="00A94DA6"/>
    <w:rsid w:val="00A94FE1"/>
    <w:rsid w:val="00AA2E61"/>
    <w:rsid w:val="00AB0A89"/>
    <w:rsid w:val="00AB0FDB"/>
    <w:rsid w:val="00AB720A"/>
    <w:rsid w:val="00AC00F5"/>
    <w:rsid w:val="00AC4A2F"/>
    <w:rsid w:val="00AC7D30"/>
    <w:rsid w:val="00AD17EF"/>
    <w:rsid w:val="00AD2398"/>
    <w:rsid w:val="00AD46BC"/>
    <w:rsid w:val="00AD6736"/>
    <w:rsid w:val="00AD73E7"/>
    <w:rsid w:val="00AE0B8A"/>
    <w:rsid w:val="00AE1A79"/>
    <w:rsid w:val="00AE36B6"/>
    <w:rsid w:val="00AE6FD6"/>
    <w:rsid w:val="00AF0C9E"/>
    <w:rsid w:val="00AF0E90"/>
    <w:rsid w:val="00AF1C7A"/>
    <w:rsid w:val="00AF7C15"/>
    <w:rsid w:val="00B0181A"/>
    <w:rsid w:val="00B02D22"/>
    <w:rsid w:val="00B05D56"/>
    <w:rsid w:val="00B05F18"/>
    <w:rsid w:val="00B06D45"/>
    <w:rsid w:val="00B10BFE"/>
    <w:rsid w:val="00B10CD4"/>
    <w:rsid w:val="00B15108"/>
    <w:rsid w:val="00B15E13"/>
    <w:rsid w:val="00B21A57"/>
    <w:rsid w:val="00B252A9"/>
    <w:rsid w:val="00B2662D"/>
    <w:rsid w:val="00B31ACD"/>
    <w:rsid w:val="00B330FB"/>
    <w:rsid w:val="00B36867"/>
    <w:rsid w:val="00B40CC7"/>
    <w:rsid w:val="00B45337"/>
    <w:rsid w:val="00B4563C"/>
    <w:rsid w:val="00B525BD"/>
    <w:rsid w:val="00B52CCA"/>
    <w:rsid w:val="00B54CA0"/>
    <w:rsid w:val="00B54D51"/>
    <w:rsid w:val="00B603A9"/>
    <w:rsid w:val="00B609D1"/>
    <w:rsid w:val="00B6143D"/>
    <w:rsid w:val="00B6484E"/>
    <w:rsid w:val="00B672D8"/>
    <w:rsid w:val="00B7119B"/>
    <w:rsid w:val="00B712E3"/>
    <w:rsid w:val="00B72B3B"/>
    <w:rsid w:val="00B80A86"/>
    <w:rsid w:val="00B91DF1"/>
    <w:rsid w:val="00B947BF"/>
    <w:rsid w:val="00BA14C9"/>
    <w:rsid w:val="00BA1AA5"/>
    <w:rsid w:val="00BA34E8"/>
    <w:rsid w:val="00BA7E8C"/>
    <w:rsid w:val="00BB1441"/>
    <w:rsid w:val="00BB2029"/>
    <w:rsid w:val="00BB5228"/>
    <w:rsid w:val="00BC09BA"/>
    <w:rsid w:val="00BC31D2"/>
    <w:rsid w:val="00BC4F1E"/>
    <w:rsid w:val="00BC69EE"/>
    <w:rsid w:val="00BD1BF1"/>
    <w:rsid w:val="00BE0C83"/>
    <w:rsid w:val="00BE42E9"/>
    <w:rsid w:val="00BE5D52"/>
    <w:rsid w:val="00BF0EA1"/>
    <w:rsid w:val="00BF1891"/>
    <w:rsid w:val="00BF4455"/>
    <w:rsid w:val="00BF782E"/>
    <w:rsid w:val="00C003F5"/>
    <w:rsid w:val="00C05E77"/>
    <w:rsid w:val="00C062AC"/>
    <w:rsid w:val="00C0733B"/>
    <w:rsid w:val="00C07B6B"/>
    <w:rsid w:val="00C07C98"/>
    <w:rsid w:val="00C13805"/>
    <w:rsid w:val="00C13C5C"/>
    <w:rsid w:val="00C13DF0"/>
    <w:rsid w:val="00C16B35"/>
    <w:rsid w:val="00C16D9D"/>
    <w:rsid w:val="00C229AA"/>
    <w:rsid w:val="00C234FD"/>
    <w:rsid w:val="00C27D23"/>
    <w:rsid w:val="00C27D84"/>
    <w:rsid w:val="00C31DCB"/>
    <w:rsid w:val="00C32500"/>
    <w:rsid w:val="00C33ADF"/>
    <w:rsid w:val="00C346B2"/>
    <w:rsid w:val="00C3599F"/>
    <w:rsid w:val="00C370CE"/>
    <w:rsid w:val="00C42C1D"/>
    <w:rsid w:val="00C45ED4"/>
    <w:rsid w:val="00C47B56"/>
    <w:rsid w:val="00C51B17"/>
    <w:rsid w:val="00C51B52"/>
    <w:rsid w:val="00C52837"/>
    <w:rsid w:val="00C564B1"/>
    <w:rsid w:val="00C61C9F"/>
    <w:rsid w:val="00C640CB"/>
    <w:rsid w:val="00C81EC4"/>
    <w:rsid w:val="00C8281B"/>
    <w:rsid w:val="00C84C7F"/>
    <w:rsid w:val="00C856A1"/>
    <w:rsid w:val="00C90F1F"/>
    <w:rsid w:val="00C920A0"/>
    <w:rsid w:val="00C9303B"/>
    <w:rsid w:val="00C952AF"/>
    <w:rsid w:val="00C9671C"/>
    <w:rsid w:val="00CA1025"/>
    <w:rsid w:val="00CA124E"/>
    <w:rsid w:val="00CA1977"/>
    <w:rsid w:val="00CB184B"/>
    <w:rsid w:val="00CB245A"/>
    <w:rsid w:val="00CB5207"/>
    <w:rsid w:val="00CB596F"/>
    <w:rsid w:val="00CB79A4"/>
    <w:rsid w:val="00CC0A0D"/>
    <w:rsid w:val="00CC3479"/>
    <w:rsid w:val="00CC3761"/>
    <w:rsid w:val="00CC3DB8"/>
    <w:rsid w:val="00CC43E6"/>
    <w:rsid w:val="00CC4624"/>
    <w:rsid w:val="00CC484A"/>
    <w:rsid w:val="00CD2C65"/>
    <w:rsid w:val="00CD3935"/>
    <w:rsid w:val="00CD664A"/>
    <w:rsid w:val="00CD7987"/>
    <w:rsid w:val="00CD7F92"/>
    <w:rsid w:val="00CE00D8"/>
    <w:rsid w:val="00CE1057"/>
    <w:rsid w:val="00CF7A94"/>
    <w:rsid w:val="00D0008C"/>
    <w:rsid w:val="00D021B9"/>
    <w:rsid w:val="00D077B8"/>
    <w:rsid w:val="00D101B5"/>
    <w:rsid w:val="00D13779"/>
    <w:rsid w:val="00D13F32"/>
    <w:rsid w:val="00D146A2"/>
    <w:rsid w:val="00D22E02"/>
    <w:rsid w:val="00D2304A"/>
    <w:rsid w:val="00D241A1"/>
    <w:rsid w:val="00D33709"/>
    <w:rsid w:val="00D349B5"/>
    <w:rsid w:val="00D34A31"/>
    <w:rsid w:val="00D369EA"/>
    <w:rsid w:val="00D36FB8"/>
    <w:rsid w:val="00D5060F"/>
    <w:rsid w:val="00D50F27"/>
    <w:rsid w:val="00D52DD2"/>
    <w:rsid w:val="00D52FFC"/>
    <w:rsid w:val="00D57684"/>
    <w:rsid w:val="00D57A0A"/>
    <w:rsid w:val="00D72830"/>
    <w:rsid w:val="00D76338"/>
    <w:rsid w:val="00D76F0C"/>
    <w:rsid w:val="00D839B2"/>
    <w:rsid w:val="00D865EF"/>
    <w:rsid w:val="00D871FD"/>
    <w:rsid w:val="00D87330"/>
    <w:rsid w:val="00D9124A"/>
    <w:rsid w:val="00DA1EC7"/>
    <w:rsid w:val="00DA3B90"/>
    <w:rsid w:val="00DA49B0"/>
    <w:rsid w:val="00DA5110"/>
    <w:rsid w:val="00DA5636"/>
    <w:rsid w:val="00DA7B76"/>
    <w:rsid w:val="00DA7F1E"/>
    <w:rsid w:val="00DB3C10"/>
    <w:rsid w:val="00DB4287"/>
    <w:rsid w:val="00DB44F8"/>
    <w:rsid w:val="00DB4CD0"/>
    <w:rsid w:val="00DC035D"/>
    <w:rsid w:val="00DC1E08"/>
    <w:rsid w:val="00DC21A0"/>
    <w:rsid w:val="00DC45D7"/>
    <w:rsid w:val="00DC4B67"/>
    <w:rsid w:val="00DC7288"/>
    <w:rsid w:val="00DD0021"/>
    <w:rsid w:val="00DD2B32"/>
    <w:rsid w:val="00DD5BB5"/>
    <w:rsid w:val="00DD662A"/>
    <w:rsid w:val="00DE2A8B"/>
    <w:rsid w:val="00DE41FB"/>
    <w:rsid w:val="00DE5361"/>
    <w:rsid w:val="00DE70B3"/>
    <w:rsid w:val="00DF33BA"/>
    <w:rsid w:val="00DF4A85"/>
    <w:rsid w:val="00DF5F29"/>
    <w:rsid w:val="00E03A3E"/>
    <w:rsid w:val="00E04069"/>
    <w:rsid w:val="00E06059"/>
    <w:rsid w:val="00E125B9"/>
    <w:rsid w:val="00E12E89"/>
    <w:rsid w:val="00E150C5"/>
    <w:rsid w:val="00E150D2"/>
    <w:rsid w:val="00E174A3"/>
    <w:rsid w:val="00E22CE0"/>
    <w:rsid w:val="00E2466B"/>
    <w:rsid w:val="00E300A0"/>
    <w:rsid w:val="00E339A5"/>
    <w:rsid w:val="00E35702"/>
    <w:rsid w:val="00E419DB"/>
    <w:rsid w:val="00E4348A"/>
    <w:rsid w:val="00E468BD"/>
    <w:rsid w:val="00E471C6"/>
    <w:rsid w:val="00E52B7E"/>
    <w:rsid w:val="00E53C3E"/>
    <w:rsid w:val="00E56A85"/>
    <w:rsid w:val="00E61201"/>
    <w:rsid w:val="00E61713"/>
    <w:rsid w:val="00E61C76"/>
    <w:rsid w:val="00E624CF"/>
    <w:rsid w:val="00E62A86"/>
    <w:rsid w:val="00E638F3"/>
    <w:rsid w:val="00E63FC7"/>
    <w:rsid w:val="00E64734"/>
    <w:rsid w:val="00E65119"/>
    <w:rsid w:val="00E729FA"/>
    <w:rsid w:val="00E740A0"/>
    <w:rsid w:val="00E748EA"/>
    <w:rsid w:val="00E77D2F"/>
    <w:rsid w:val="00E83F9D"/>
    <w:rsid w:val="00E850F8"/>
    <w:rsid w:val="00E9211B"/>
    <w:rsid w:val="00E9564E"/>
    <w:rsid w:val="00E95775"/>
    <w:rsid w:val="00E95D73"/>
    <w:rsid w:val="00E96089"/>
    <w:rsid w:val="00E96C27"/>
    <w:rsid w:val="00E96EEF"/>
    <w:rsid w:val="00EA1B10"/>
    <w:rsid w:val="00EA5027"/>
    <w:rsid w:val="00EA64FC"/>
    <w:rsid w:val="00EA6A9F"/>
    <w:rsid w:val="00EA6E0D"/>
    <w:rsid w:val="00EA73E9"/>
    <w:rsid w:val="00EC2CD6"/>
    <w:rsid w:val="00EC391D"/>
    <w:rsid w:val="00EC7989"/>
    <w:rsid w:val="00ED0821"/>
    <w:rsid w:val="00ED10D3"/>
    <w:rsid w:val="00ED50CA"/>
    <w:rsid w:val="00EE2353"/>
    <w:rsid w:val="00EE26E6"/>
    <w:rsid w:val="00EF0178"/>
    <w:rsid w:val="00EF09E9"/>
    <w:rsid w:val="00EF33BC"/>
    <w:rsid w:val="00EF67E5"/>
    <w:rsid w:val="00EF6F7C"/>
    <w:rsid w:val="00F12B1C"/>
    <w:rsid w:val="00F1375E"/>
    <w:rsid w:val="00F1532A"/>
    <w:rsid w:val="00F166A0"/>
    <w:rsid w:val="00F254A3"/>
    <w:rsid w:val="00F26644"/>
    <w:rsid w:val="00F310A8"/>
    <w:rsid w:val="00F31DC0"/>
    <w:rsid w:val="00F32084"/>
    <w:rsid w:val="00F33D1E"/>
    <w:rsid w:val="00F35649"/>
    <w:rsid w:val="00F43ABA"/>
    <w:rsid w:val="00F442F7"/>
    <w:rsid w:val="00F448EE"/>
    <w:rsid w:val="00F45210"/>
    <w:rsid w:val="00F461C3"/>
    <w:rsid w:val="00F47987"/>
    <w:rsid w:val="00F5091C"/>
    <w:rsid w:val="00F50BB3"/>
    <w:rsid w:val="00F514C4"/>
    <w:rsid w:val="00F52609"/>
    <w:rsid w:val="00F555DC"/>
    <w:rsid w:val="00F609BA"/>
    <w:rsid w:val="00F63189"/>
    <w:rsid w:val="00F719F7"/>
    <w:rsid w:val="00F75A84"/>
    <w:rsid w:val="00F836C4"/>
    <w:rsid w:val="00F86E9E"/>
    <w:rsid w:val="00F90673"/>
    <w:rsid w:val="00F957C2"/>
    <w:rsid w:val="00FA3F83"/>
    <w:rsid w:val="00FB005F"/>
    <w:rsid w:val="00FB04DD"/>
    <w:rsid w:val="00FB57AB"/>
    <w:rsid w:val="00FB6AE5"/>
    <w:rsid w:val="00FB736B"/>
    <w:rsid w:val="00FC0925"/>
    <w:rsid w:val="00FC23C5"/>
    <w:rsid w:val="00FC6B06"/>
    <w:rsid w:val="00FC7E9C"/>
    <w:rsid w:val="00FD4865"/>
    <w:rsid w:val="00FE121E"/>
    <w:rsid w:val="00FE34F1"/>
    <w:rsid w:val="00FE3E9A"/>
    <w:rsid w:val="00FE6513"/>
    <w:rsid w:val="00FE6E14"/>
    <w:rsid w:val="00FF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0CF4"/>
  <w15:chartTrackingRefBased/>
  <w15:docId w15:val="{EFC68F19-BC8D-3545-9E3F-E5C2AB60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403"/>
  </w:style>
  <w:style w:type="paragraph" w:styleId="Heading1">
    <w:name w:val="heading 1"/>
    <w:basedOn w:val="Normal"/>
    <w:next w:val="Normal"/>
    <w:link w:val="Heading1Char"/>
    <w:autoRedefine/>
    <w:uiPriority w:val="9"/>
    <w:qFormat/>
    <w:rsid w:val="006A15FB"/>
    <w:pPr>
      <w:keepNext/>
      <w:keepLines/>
      <w:spacing w:before="138" w:after="80"/>
      <w:ind w:left="9"/>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autoRedefine/>
    <w:uiPriority w:val="9"/>
    <w:unhideWhenUsed/>
    <w:qFormat/>
    <w:rsid w:val="00006981"/>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A23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5FB"/>
    <w:rPr>
      <w:rFonts w:ascii="Times New Roman" w:eastAsiaTheme="majorEastAsia" w:hAnsi="Times New Roman" w:cs="Times New Roman"/>
      <w:b/>
      <w:bCs/>
    </w:rPr>
  </w:style>
  <w:style w:type="character" w:customStyle="1" w:styleId="Heading2Char">
    <w:name w:val="Heading 2 Char"/>
    <w:basedOn w:val="DefaultParagraphFont"/>
    <w:link w:val="Heading2"/>
    <w:uiPriority w:val="9"/>
    <w:rsid w:val="00006981"/>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A23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27D"/>
    <w:rPr>
      <w:rFonts w:eastAsiaTheme="majorEastAsia" w:cstheme="majorBidi"/>
      <w:color w:val="272727" w:themeColor="text1" w:themeTint="D8"/>
    </w:rPr>
  </w:style>
  <w:style w:type="paragraph" w:styleId="Title">
    <w:name w:val="Title"/>
    <w:basedOn w:val="Normal"/>
    <w:next w:val="Normal"/>
    <w:link w:val="TitleChar"/>
    <w:uiPriority w:val="10"/>
    <w:qFormat/>
    <w:rsid w:val="00A2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27D"/>
    <w:pPr>
      <w:spacing w:before="160"/>
      <w:jc w:val="center"/>
    </w:pPr>
    <w:rPr>
      <w:i/>
      <w:iCs/>
      <w:color w:val="404040" w:themeColor="text1" w:themeTint="BF"/>
    </w:rPr>
  </w:style>
  <w:style w:type="character" w:customStyle="1" w:styleId="QuoteChar">
    <w:name w:val="Quote Char"/>
    <w:basedOn w:val="DefaultParagraphFont"/>
    <w:link w:val="Quote"/>
    <w:uiPriority w:val="29"/>
    <w:rsid w:val="00A2327D"/>
    <w:rPr>
      <w:i/>
      <w:iCs/>
      <w:color w:val="404040" w:themeColor="text1" w:themeTint="BF"/>
    </w:rPr>
  </w:style>
  <w:style w:type="paragraph" w:styleId="ListParagraph">
    <w:name w:val="List Paragraph"/>
    <w:basedOn w:val="Normal"/>
    <w:uiPriority w:val="1"/>
    <w:qFormat/>
    <w:rsid w:val="00A2327D"/>
    <w:pPr>
      <w:ind w:left="720"/>
      <w:contextualSpacing/>
    </w:pPr>
  </w:style>
  <w:style w:type="character" w:styleId="IntenseEmphasis">
    <w:name w:val="Intense Emphasis"/>
    <w:basedOn w:val="DefaultParagraphFont"/>
    <w:uiPriority w:val="21"/>
    <w:qFormat/>
    <w:rsid w:val="00A2327D"/>
    <w:rPr>
      <w:i/>
      <w:iCs/>
      <w:color w:val="0F4761" w:themeColor="accent1" w:themeShade="BF"/>
    </w:rPr>
  </w:style>
  <w:style w:type="paragraph" w:styleId="IntenseQuote">
    <w:name w:val="Intense Quote"/>
    <w:basedOn w:val="Normal"/>
    <w:next w:val="Normal"/>
    <w:link w:val="IntenseQuoteChar"/>
    <w:uiPriority w:val="30"/>
    <w:qFormat/>
    <w:rsid w:val="00A2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27D"/>
    <w:rPr>
      <w:i/>
      <w:iCs/>
      <w:color w:val="0F4761" w:themeColor="accent1" w:themeShade="BF"/>
    </w:rPr>
  </w:style>
  <w:style w:type="character" w:styleId="IntenseReference">
    <w:name w:val="Intense Reference"/>
    <w:basedOn w:val="DefaultParagraphFont"/>
    <w:uiPriority w:val="32"/>
    <w:qFormat/>
    <w:rsid w:val="00A2327D"/>
    <w:rPr>
      <w:b/>
      <w:bCs/>
      <w:smallCaps/>
      <w:color w:val="0F4761" w:themeColor="accent1" w:themeShade="BF"/>
      <w:spacing w:val="5"/>
    </w:rPr>
  </w:style>
  <w:style w:type="paragraph" w:styleId="Header">
    <w:name w:val="header"/>
    <w:basedOn w:val="Normal"/>
    <w:link w:val="HeaderChar"/>
    <w:uiPriority w:val="99"/>
    <w:unhideWhenUsed/>
    <w:rsid w:val="0090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B50"/>
  </w:style>
  <w:style w:type="paragraph" w:styleId="Footer">
    <w:name w:val="footer"/>
    <w:basedOn w:val="Normal"/>
    <w:link w:val="FooterChar"/>
    <w:uiPriority w:val="99"/>
    <w:unhideWhenUsed/>
    <w:rsid w:val="0090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B50"/>
  </w:style>
  <w:style w:type="character" w:styleId="PageNumber">
    <w:name w:val="page number"/>
    <w:basedOn w:val="DefaultParagraphFont"/>
    <w:uiPriority w:val="99"/>
    <w:semiHidden/>
    <w:unhideWhenUsed/>
    <w:rsid w:val="00901B50"/>
  </w:style>
  <w:style w:type="table" w:styleId="TableGrid">
    <w:name w:val="Table Grid"/>
    <w:basedOn w:val="TableNormal"/>
    <w:uiPriority w:val="39"/>
    <w:rsid w:val="007E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282"/>
    <w:rPr>
      <w:color w:val="467886" w:themeColor="hyperlink"/>
      <w:u w:val="single"/>
    </w:rPr>
  </w:style>
  <w:style w:type="character" w:styleId="UnresolvedMention">
    <w:name w:val="Unresolved Mention"/>
    <w:basedOn w:val="DefaultParagraphFont"/>
    <w:uiPriority w:val="99"/>
    <w:semiHidden/>
    <w:unhideWhenUsed/>
    <w:rsid w:val="002F3282"/>
    <w:rPr>
      <w:color w:val="605E5C"/>
      <w:shd w:val="clear" w:color="auto" w:fill="E1DFDD"/>
    </w:rPr>
  </w:style>
  <w:style w:type="table" w:styleId="GridTable5Dark-Accent1">
    <w:name w:val="Grid Table 5 Dark Accent 1"/>
    <w:basedOn w:val="TableNormal"/>
    <w:uiPriority w:val="50"/>
    <w:rsid w:val="004013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4013D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TableParagraph">
    <w:name w:val="Table Paragraph"/>
    <w:basedOn w:val="Normal"/>
    <w:uiPriority w:val="1"/>
    <w:qFormat/>
    <w:rsid w:val="00D22E02"/>
    <w:pPr>
      <w:widowControl w:val="0"/>
      <w:autoSpaceDE w:val="0"/>
      <w:autoSpaceDN w:val="0"/>
      <w:spacing w:after="0" w:line="255" w:lineRule="exact"/>
      <w:ind w:left="108"/>
    </w:pPr>
    <w:rPr>
      <w:rFonts w:ascii="Times New Roman" w:eastAsia="Times New Roman" w:hAnsi="Times New Roman" w:cs="Times New Roman"/>
      <w:kern w:val="0"/>
      <w:sz w:val="22"/>
      <w:szCs w:val="22"/>
      <w14:ligatures w14:val="none"/>
    </w:rPr>
  </w:style>
  <w:style w:type="paragraph" w:styleId="BodyText">
    <w:name w:val="Body Text"/>
    <w:basedOn w:val="Normal"/>
    <w:link w:val="BodyTextChar"/>
    <w:uiPriority w:val="1"/>
    <w:qFormat/>
    <w:rsid w:val="0080752C"/>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80752C"/>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F0736"/>
    <w:pPr>
      <w:spacing w:before="100" w:beforeAutospacing="1" w:after="100" w:afterAutospacing="1" w:line="240" w:lineRule="auto"/>
    </w:pPr>
    <w:rPr>
      <w:rFonts w:ascii="Times New Roman" w:hAnsi="Times New Roman" w:cs="Times New Roman"/>
      <w:kern w:val="0"/>
      <w14:ligatures w14:val="none"/>
    </w:rPr>
  </w:style>
  <w:style w:type="paragraph" w:styleId="TOCHeading">
    <w:name w:val="TOC Heading"/>
    <w:basedOn w:val="Heading1"/>
    <w:next w:val="Normal"/>
    <w:uiPriority w:val="39"/>
    <w:unhideWhenUsed/>
    <w:qFormat/>
    <w:rsid w:val="00B672D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A79E7"/>
    <w:pPr>
      <w:spacing w:after="100"/>
    </w:pPr>
  </w:style>
  <w:style w:type="paragraph" w:styleId="TOC2">
    <w:name w:val="toc 2"/>
    <w:basedOn w:val="Normal"/>
    <w:next w:val="Normal"/>
    <w:autoRedefine/>
    <w:uiPriority w:val="39"/>
    <w:unhideWhenUsed/>
    <w:rsid w:val="00DA563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125056">
      <w:bodyDiv w:val="1"/>
      <w:marLeft w:val="0"/>
      <w:marRight w:val="0"/>
      <w:marTop w:val="0"/>
      <w:marBottom w:val="0"/>
      <w:divBdr>
        <w:top w:val="none" w:sz="0" w:space="0" w:color="auto"/>
        <w:left w:val="none" w:sz="0" w:space="0" w:color="auto"/>
        <w:bottom w:val="none" w:sz="0" w:space="0" w:color="auto"/>
        <w:right w:val="none" w:sz="0" w:space="0" w:color="auto"/>
      </w:divBdr>
    </w:div>
    <w:div w:id="2096439549">
      <w:bodyDiv w:val="1"/>
      <w:marLeft w:val="0"/>
      <w:marRight w:val="0"/>
      <w:marTop w:val="0"/>
      <w:marBottom w:val="0"/>
      <w:divBdr>
        <w:top w:val="none" w:sz="0" w:space="0" w:color="auto"/>
        <w:left w:val="none" w:sz="0" w:space="0" w:color="auto"/>
        <w:bottom w:val="none" w:sz="0" w:space="0" w:color="auto"/>
        <w:right w:val="none" w:sz="0" w:space="0" w:color="auto"/>
      </w:divBdr>
    </w:div>
    <w:div w:id="209828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4.0359567051917081E-2"/>
          <c:y val="0.31951387304860351"/>
          <c:w val="0.91928086589616587"/>
          <c:h val="0.58156732146604506"/>
        </c:manualLayout>
      </c:layout>
      <c:barChart>
        <c:barDir val="col"/>
        <c:grouping val="clustered"/>
        <c:varyColors val="0"/>
        <c:ser>
          <c:idx val="0"/>
          <c:order val="0"/>
          <c:tx>
            <c:strRef>
              <c:f>Sheet1!$B$1</c:f>
              <c:strCache>
                <c:ptCount val="1"/>
                <c:pt idx="0">
                  <c:v>Life Fund( BDT in Million)</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Sheet1!$A$2:$A$9</c:f>
              <c:numCache>
                <c:formatCode>General</c:formatCode>
                <c:ptCount val="8"/>
                <c:pt idx="0">
                  <c:v>2015</c:v>
                </c:pt>
                <c:pt idx="1">
                  <c:v>2016</c:v>
                </c:pt>
                <c:pt idx="2">
                  <c:v>2017</c:v>
                </c:pt>
                <c:pt idx="3">
                  <c:v>2018</c:v>
                </c:pt>
                <c:pt idx="4">
                  <c:v>2019</c:v>
                </c:pt>
                <c:pt idx="5">
                  <c:v>2020</c:v>
                </c:pt>
                <c:pt idx="6">
                  <c:v>2021</c:v>
                </c:pt>
                <c:pt idx="7">
                  <c:v>2022</c:v>
                </c:pt>
              </c:numCache>
            </c:numRef>
          </c:cat>
          <c:val>
            <c:numRef>
              <c:f>Sheet1!$B$2:$B$9</c:f>
              <c:numCache>
                <c:formatCode>General</c:formatCode>
                <c:ptCount val="8"/>
                <c:pt idx="0">
                  <c:v>31352.080000000002</c:v>
                </c:pt>
                <c:pt idx="1">
                  <c:v>32356.38</c:v>
                </c:pt>
                <c:pt idx="2">
                  <c:v>32907.699999999997</c:v>
                </c:pt>
                <c:pt idx="3">
                  <c:v>34615.56</c:v>
                </c:pt>
                <c:pt idx="4">
                  <c:v>36992.61</c:v>
                </c:pt>
                <c:pt idx="5">
                  <c:v>40074.78</c:v>
                </c:pt>
                <c:pt idx="6">
                  <c:v>43859.75</c:v>
                </c:pt>
                <c:pt idx="7">
                  <c:v>48005.98</c:v>
                </c:pt>
              </c:numCache>
            </c:numRef>
          </c:val>
          <c:extLst>
            <c:ext xmlns:c16="http://schemas.microsoft.com/office/drawing/2014/chart" uri="{C3380CC4-5D6E-409C-BE32-E72D297353CC}">
              <c16:uniqueId val="{00000000-088F-0A4E-8209-FB4F8513CB18}"/>
            </c:ext>
          </c:extLst>
        </c:ser>
        <c:dLbls>
          <c:dLblPos val="outEnd"/>
          <c:showLegendKey val="0"/>
          <c:showVal val="1"/>
          <c:showCatName val="0"/>
          <c:showSerName val="0"/>
          <c:showPercent val="0"/>
          <c:showBubbleSize val="0"/>
        </c:dLbls>
        <c:gapWidth val="444"/>
        <c:overlap val="-90"/>
        <c:axId val="795521983"/>
        <c:axId val="795524863"/>
      </c:barChart>
      <c:catAx>
        <c:axId val="795521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95524863"/>
        <c:crosses val="autoZero"/>
        <c:auto val="1"/>
        <c:lblAlgn val="ctr"/>
        <c:lblOffset val="100"/>
        <c:noMultiLvlLbl val="0"/>
      </c:catAx>
      <c:valAx>
        <c:axId val="795524863"/>
        <c:scaling>
          <c:orientation val="minMax"/>
        </c:scaling>
        <c:delete val="1"/>
        <c:axPos val="l"/>
        <c:numFmt formatCode="General" sourceLinked="1"/>
        <c:majorTickMark val="none"/>
        <c:minorTickMark val="none"/>
        <c:tickLblPos val="nextTo"/>
        <c:crossAx val="795521983"/>
        <c:crosses val="autoZero"/>
        <c:crossBetween val="between"/>
      </c:valAx>
      <c:spPr>
        <a:noFill/>
        <a:ln>
          <a:noFill/>
        </a:ln>
        <a:effectLst/>
      </c:spPr>
    </c:plotArea>
    <c:legend>
      <c:legendPos val="t"/>
      <c:layout>
        <c:manualLayout>
          <c:xMode val="edge"/>
          <c:yMode val="edge"/>
          <c:x val="0.27939077479363422"/>
          <c:y val="0.23916935164286082"/>
          <c:w val="0.44877151775950958"/>
          <c:h val="7.821607467085153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[Graph.xlsx]Sheet1!$C$15</c:f>
              <c:strCache>
                <c:ptCount val="1"/>
                <c:pt idx="0">
                  <c:v>Life Fund Growth(%)</c:v>
                </c:pt>
              </c:strCache>
            </c:strRef>
          </c:tx>
          <c:spPr>
            <a:ln w="28575" cap="rnd">
              <a:solidFill>
                <a:schemeClr val="accent4"/>
              </a:solidFill>
              <a:round/>
            </a:ln>
            <a:effectLst/>
          </c:spPr>
          <c:marker>
            <c:symbol val="none"/>
          </c:marker>
          <c:dLbls>
            <c:dLbl>
              <c:idx val="0"/>
              <c:layout>
                <c:manualLayout>
                  <c:x val="-5.0077041602465337E-2"/>
                  <c:y val="-3.28947368421053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F23-45CF-82E1-C52C08EFF77D}"/>
                </c:ext>
              </c:extLst>
            </c:dLbl>
            <c:dLbl>
              <c:idx val="1"/>
              <c:layout>
                <c:manualLayout>
                  <c:x val="-3.8520801232665672E-2"/>
                  <c:y val="-3.837719298245614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F23-45CF-82E1-C52C08EFF77D}"/>
                </c:ext>
              </c:extLst>
            </c:dLbl>
            <c:dLbl>
              <c:idx val="2"/>
              <c:layout>
                <c:manualLayout>
                  <c:x val="-5.392912172573186E-2"/>
                  <c:y val="1.6447368421052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F23-45CF-82E1-C52C08EFF77D}"/>
                </c:ext>
              </c:extLst>
            </c:dLbl>
            <c:dLbl>
              <c:idx val="3"/>
              <c:layout>
                <c:manualLayout>
                  <c:x val="-5.3929121725731964E-2"/>
                  <c:y val="-1.64473684210526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F23-45CF-82E1-C52C08EFF77D}"/>
                </c:ext>
              </c:extLst>
            </c:dLbl>
            <c:dLbl>
              <c:idx val="4"/>
              <c:layout>
                <c:manualLayout>
                  <c:x val="-4.6224961479198697E-2"/>
                  <c:y val="-5.48245614035088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F23-45CF-82E1-C52C08EFF77D}"/>
                </c:ext>
              </c:extLst>
            </c:dLbl>
            <c:dLbl>
              <c:idx val="5"/>
              <c:layout>
                <c:manualLayout>
                  <c:x val="-4.6509994421212515E-2"/>
                  <c:y val="-6.03070175438596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F23-45CF-82E1-C52C08EFF77D}"/>
                </c:ext>
              </c:extLst>
            </c:dLbl>
            <c:dLbl>
              <c:idx val="6"/>
              <c:layout>
                <c:manualLayout>
                  <c:x val="-5.0076999700082038E-2"/>
                  <c:y val="-4.38596491228070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F23-45CF-82E1-C52C08EFF77D}"/>
                </c:ext>
              </c:extLst>
            </c:dLbl>
            <c:dLbl>
              <c:idx val="7"/>
              <c:layout>
                <c:manualLayout>
                  <c:x val="-5.7306113822806044E-2"/>
                  <c:y val="-6.57894736842105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F23-45CF-82E1-C52C08EFF77D}"/>
                </c:ext>
              </c:extLst>
            </c:dLbl>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[Graph.xlsx]Sheet1!$B$16:$B$23</c:f>
              <c:numCache>
                <c:formatCode>General</c:formatCode>
                <c:ptCount val="8"/>
                <c:pt idx="0">
                  <c:v>2015</c:v>
                </c:pt>
                <c:pt idx="1">
                  <c:v>2016</c:v>
                </c:pt>
                <c:pt idx="2">
                  <c:v>2017</c:v>
                </c:pt>
                <c:pt idx="3">
                  <c:v>2018</c:v>
                </c:pt>
                <c:pt idx="4">
                  <c:v>2019</c:v>
                </c:pt>
                <c:pt idx="5">
                  <c:v>2020</c:v>
                </c:pt>
                <c:pt idx="6">
                  <c:v>2021</c:v>
                </c:pt>
                <c:pt idx="7">
                  <c:v>2022</c:v>
                </c:pt>
              </c:numCache>
            </c:numRef>
          </c:cat>
          <c:val>
            <c:numRef>
              <c:f>[Graph.xlsx]Sheet1!$C$16:$C$23</c:f>
              <c:numCache>
                <c:formatCode>General</c:formatCode>
                <c:ptCount val="8"/>
                <c:pt idx="0">
                  <c:v>3.47</c:v>
                </c:pt>
                <c:pt idx="1">
                  <c:v>3.2</c:v>
                </c:pt>
                <c:pt idx="2">
                  <c:v>1.7</c:v>
                </c:pt>
                <c:pt idx="3">
                  <c:v>5.19</c:v>
                </c:pt>
                <c:pt idx="4">
                  <c:v>6.87</c:v>
                </c:pt>
                <c:pt idx="5">
                  <c:v>8.33</c:v>
                </c:pt>
                <c:pt idx="6">
                  <c:v>9.44</c:v>
                </c:pt>
                <c:pt idx="7">
                  <c:v>9.4499999999999993</c:v>
                </c:pt>
              </c:numCache>
            </c:numRef>
          </c:val>
          <c:smooth val="0"/>
          <c:extLst>
            <c:ext xmlns:c16="http://schemas.microsoft.com/office/drawing/2014/chart" uri="{C3380CC4-5D6E-409C-BE32-E72D297353CC}">
              <c16:uniqueId val="{00000000-050C-D64F-A865-6343C64DAE9C}"/>
            </c:ext>
          </c:extLst>
        </c:ser>
        <c:dLbls>
          <c:showLegendKey val="0"/>
          <c:showVal val="1"/>
          <c:showCatName val="0"/>
          <c:showSerName val="0"/>
          <c:showPercent val="0"/>
          <c:showBubbleSize val="0"/>
        </c:dLbls>
        <c:smooth val="0"/>
        <c:axId val="692642495"/>
        <c:axId val="759452159"/>
      </c:lineChart>
      <c:catAx>
        <c:axId val="69264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Times New Roman" panose="02020603050405020304" pitchFamily="18" charset="0"/>
                <a:ea typeface="+mn-ea"/>
                <a:cs typeface="Times New Roman" panose="02020603050405020304" pitchFamily="18" charset="0"/>
              </a:defRPr>
            </a:pPr>
            <a:endParaRPr lang="en-US"/>
          </a:p>
        </c:txPr>
        <c:crossAx val="759452159"/>
        <c:crosses val="autoZero"/>
        <c:auto val="1"/>
        <c:lblAlgn val="ctr"/>
        <c:lblOffset val="100"/>
        <c:noMultiLvlLbl val="0"/>
      </c:catAx>
      <c:valAx>
        <c:axId val="759452159"/>
        <c:scaling>
          <c:orientation val="minMax"/>
        </c:scaling>
        <c:delete val="1"/>
        <c:axPos val="l"/>
        <c:numFmt formatCode="General" sourceLinked="1"/>
        <c:majorTickMark val="none"/>
        <c:minorTickMark val="none"/>
        <c:tickLblPos val="nextTo"/>
        <c:crossAx val="6926424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b="0"/>
      </a:pPr>
      <a:endParaRPr lang="en-US"/>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Times New Roman" panose="02020603050405020304" pitchFamily="18" charset="0"/>
                <a:ea typeface="+mn-ea"/>
                <a:cs typeface="Times New Roman" panose="02020603050405020304" pitchFamily="18" charset="0"/>
              </a:defRPr>
            </a:pPr>
            <a:r>
              <a:rPr lang="en-US" sz="1400" b="1"/>
              <a:t>Premium &amp; Claims Growth (%)</a:t>
            </a:r>
          </a:p>
        </c:rich>
      </c:tx>
      <c:overlay val="0"/>
      <c:spPr>
        <a:noFill/>
        <a:ln>
          <a:noFill/>
        </a:ln>
        <a:effectLst/>
      </c:spPr>
      <c:txPr>
        <a:bodyPr rot="0" spcFirstLastPara="1" vertOverflow="ellipsis" vert="horz" wrap="square" anchor="ctr" anchorCtr="1"/>
        <a:lstStyle/>
        <a:p>
          <a:pPr>
            <a:defRPr sz="1400" b="1"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'[premium claim growth.xlsx]Sheet1'!$B$2</c:f>
              <c:strCache>
                <c:ptCount val="1"/>
                <c:pt idx="0">
                  <c:v>Premium Growth(%)</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accen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'[premium claim growth.xlsx]Sheet1'!$A$3:$A$10</c:f>
              <c:numCache>
                <c:formatCode>General</c:formatCode>
                <c:ptCount val="8"/>
                <c:pt idx="0">
                  <c:v>2015</c:v>
                </c:pt>
                <c:pt idx="1">
                  <c:v>2016</c:v>
                </c:pt>
                <c:pt idx="2">
                  <c:v>2017</c:v>
                </c:pt>
                <c:pt idx="3">
                  <c:v>2018</c:v>
                </c:pt>
                <c:pt idx="4">
                  <c:v>2019</c:v>
                </c:pt>
                <c:pt idx="5">
                  <c:v>2020</c:v>
                </c:pt>
                <c:pt idx="6">
                  <c:v>2021</c:v>
                </c:pt>
                <c:pt idx="7">
                  <c:v>2022</c:v>
                </c:pt>
              </c:numCache>
            </c:numRef>
          </c:cat>
          <c:val>
            <c:numRef>
              <c:f>'[premium claim growth.xlsx]Sheet1'!$B$3:$B$10</c:f>
              <c:numCache>
                <c:formatCode>General</c:formatCode>
                <c:ptCount val="8"/>
                <c:pt idx="0">
                  <c:v>2.2999999999999998</c:v>
                </c:pt>
                <c:pt idx="1">
                  <c:v>3.77</c:v>
                </c:pt>
                <c:pt idx="2">
                  <c:v>7.4</c:v>
                </c:pt>
                <c:pt idx="3">
                  <c:v>10.91</c:v>
                </c:pt>
                <c:pt idx="4">
                  <c:v>11.6</c:v>
                </c:pt>
                <c:pt idx="5">
                  <c:v>11.39</c:v>
                </c:pt>
                <c:pt idx="6">
                  <c:v>18.46</c:v>
                </c:pt>
                <c:pt idx="7">
                  <c:v>13.57</c:v>
                </c:pt>
              </c:numCache>
            </c:numRef>
          </c:val>
          <c:smooth val="0"/>
          <c:extLst>
            <c:ext xmlns:c16="http://schemas.microsoft.com/office/drawing/2014/chart" uri="{C3380CC4-5D6E-409C-BE32-E72D297353CC}">
              <c16:uniqueId val="{00000000-2F3B-45E6-8391-4409F11C643D}"/>
            </c:ext>
          </c:extLst>
        </c:ser>
        <c:ser>
          <c:idx val="1"/>
          <c:order val="1"/>
          <c:tx>
            <c:strRef>
              <c:f>'[premium claim growth.xlsx]Sheet1'!$C$2</c:f>
              <c:strCache>
                <c:ptCount val="1"/>
                <c:pt idx="0">
                  <c:v>Claims Growth(%)</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dLbl>
              <c:idx val="1"/>
              <c:layout>
                <c:manualLayout>
                  <c:x val="-9.0898221055701375E-2"/>
                  <c:y val="-4.68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F3B-45E6-8391-4409F11C643D}"/>
                </c:ext>
              </c:extLst>
            </c:dLbl>
            <c:spPr>
              <a:noFill/>
              <a:ln>
                <a:noFill/>
              </a:ln>
              <a:effectLst/>
            </c:spPr>
            <c:txPr>
              <a:bodyPr rot="0" spcFirstLastPara="1" vertOverflow="ellipsis" vert="horz" wrap="square" anchor="ctr" anchorCtr="1"/>
              <a:lstStyle/>
              <a:p>
                <a:pPr>
                  <a:defRPr sz="900" b="1" i="0" u="none" strike="noStrike" kern="1200" baseline="0">
                    <a:solidFill>
                      <a:schemeClr val="accent2"/>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'[premium claim growth.xlsx]Sheet1'!$A$3:$A$10</c:f>
              <c:numCache>
                <c:formatCode>General</c:formatCode>
                <c:ptCount val="8"/>
                <c:pt idx="0">
                  <c:v>2015</c:v>
                </c:pt>
                <c:pt idx="1">
                  <c:v>2016</c:v>
                </c:pt>
                <c:pt idx="2">
                  <c:v>2017</c:v>
                </c:pt>
                <c:pt idx="3">
                  <c:v>2018</c:v>
                </c:pt>
                <c:pt idx="4">
                  <c:v>2019</c:v>
                </c:pt>
                <c:pt idx="5">
                  <c:v>2020</c:v>
                </c:pt>
                <c:pt idx="6">
                  <c:v>2021</c:v>
                </c:pt>
                <c:pt idx="7">
                  <c:v>2022</c:v>
                </c:pt>
              </c:numCache>
            </c:numRef>
          </c:cat>
          <c:val>
            <c:numRef>
              <c:f>'[premium claim growth.xlsx]Sheet1'!$C$3:$C$10</c:f>
              <c:numCache>
                <c:formatCode>General</c:formatCode>
                <c:ptCount val="8"/>
                <c:pt idx="0">
                  <c:v>4.22</c:v>
                </c:pt>
                <c:pt idx="1">
                  <c:v>4.57</c:v>
                </c:pt>
                <c:pt idx="2">
                  <c:v>10.65</c:v>
                </c:pt>
                <c:pt idx="3">
                  <c:v>-5.4</c:v>
                </c:pt>
                <c:pt idx="4">
                  <c:v>2.99</c:v>
                </c:pt>
                <c:pt idx="5">
                  <c:v>8.7100000000000009</c:v>
                </c:pt>
                <c:pt idx="6">
                  <c:v>10.34</c:v>
                </c:pt>
                <c:pt idx="7">
                  <c:v>19.350000000000001</c:v>
                </c:pt>
              </c:numCache>
            </c:numRef>
          </c:val>
          <c:smooth val="0"/>
          <c:extLst>
            <c:ext xmlns:c16="http://schemas.microsoft.com/office/drawing/2014/chart" uri="{C3380CC4-5D6E-409C-BE32-E72D297353CC}">
              <c16:uniqueId val="{00000002-2F3B-45E6-8391-4409F11C643D}"/>
            </c:ext>
          </c:extLst>
        </c:ser>
        <c:dLbls>
          <c:dLblPos val="ctr"/>
          <c:showLegendKey val="0"/>
          <c:showVal val="1"/>
          <c:showCatName val="0"/>
          <c:showSerName val="0"/>
          <c:showPercent val="0"/>
          <c:showBubbleSize val="0"/>
        </c:dLbls>
        <c:marker val="1"/>
        <c:smooth val="0"/>
        <c:axId val="1640755135"/>
        <c:axId val="1640756735"/>
      </c:lineChart>
      <c:catAx>
        <c:axId val="1640755135"/>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640756735"/>
        <c:crosses val="autoZero"/>
        <c:auto val="1"/>
        <c:lblAlgn val="ctr"/>
        <c:lblOffset val="100"/>
        <c:noMultiLvlLbl val="0"/>
      </c:catAx>
      <c:valAx>
        <c:axId val="1640756735"/>
        <c:scaling>
          <c:orientation val="minMax"/>
        </c:scaling>
        <c:delete val="1"/>
        <c:axPos val="l"/>
        <c:numFmt formatCode="General" sourceLinked="1"/>
        <c:majorTickMark val="none"/>
        <c:minorTickMark val="none"/>
        <c:tickLblPos val="nextTo"/>
        <c:crossAx val="1640755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1">
                <a:latin typeface="Times New Roman" panose="02020603050405020304" pitchFamily="18" charset="0"/>
                <a:cs typeface="Times New Roman" panose="02020603050405020304" pitchFamily="18" charset="0"/>
              </a:rPr>
              <a:t>Gross Premium &amp; Claims Paid(BDT in Million) </a:t>
            </a:r>
          </a:p>
        </c:rich>
      </c:tx>
      <c:overlay val="0"/>
      <c:spPr>
        <a:noFill/>
        <a:ln>
          <a:noFill/>
        </a:ln>
        <a:effectLst/>
      </c:spPr>
      <c:txPr>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4.3145714846048247E-2"/>
          <c:y val="0.35138082349081362"/>
          <c:w val="0.91370857030790353"/>
          <c:h val="0.53746432086614171"/>
        </c:manualLayout>
      </c:layout>
      <c:barChart>
        <c:barDir val="col"/>
        <c:grouping val="clustered"/>
        <c:varyColors val="0"/>
        <c:ser>
          <c:idx val="0"/>
          <c:order val="0"/>
          <c:tx>
            <c:strRef>
              <c:f>'[Graph 2.xlsx]Sheet1'!$B$2</c:f>
              <c:strCache>
                <c:ptCount val="1"/>
                <c:pt idx="0">
                  <c:v>Gross Premium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'[Graph 2.xlsx]Sheet1'!$A$3:$A$10</c:f>
              <c:numCache>
                <c:formatCode>General</c:formatCode>
                <c:ptCount val="8"/>
                <c:pt idx="0">
                  <c:v>2015</c:v>
                </c:pt>
                <c:pt idx="1">
                  <c:v>2016</c:v>
                </c:pt>
                <c:pt idx="2">
                  <c:v>2017</c:v>
                </c:pt>
                <c:pt idx="3">
                  <c:v>2018</c:v>
                </c:pt>
                <c:pt idx="4">
                  <c:v>2019</c:v>
                </c:pt>
                <c:pt idx="5">
                  <c:v>2020</c:v>
                </c:pt>
                <c:pt idx="6">
                  <c:v>2021</c:v>
                </c:pt>
                <c:pt idx="7">
                  <c:v>2022</c:v>
                </c:pt>
              </c:numCache>
            </c:numRef>
          </c:cat>
          <c:val>
            <c:numRef>
              <c:f>'[Graph 2.xlsx]Sheet1'!$B$3:$B$10</c:f>
              <c:numCache>
                <c:formatCode>General</c:formatCode>
                <c:ptCount val="8"/>
                <c:pt idx="0">
                  <c:v>7815.89</c:v>
                </c:pt>
                <c:pt idx="1">
                  <c:v>8110.58</c:v>
                </c:pt>
                <c:pt idx="2">
                  <c:v>8711.1200000000008</c:v>
                </c:pt>
                <c:pt idx="3">
                  <c:v>9661.33</c:v>
                </c:pt>
                <c:pt idx="4">
                  <c:v>10781.81</c:v>
                </c:pt>
                <c:pt idx="5">
                  <c:v>12010.09</c:v>
                </c:pt>
                <c:pt idx="6">
                  <c:v>14227.55</c:v>
                </c:pt>
                <c:pt idx="7">
                  <c:v>16158.63</c:v>
                </c:pt>
              </c:numCache>
            </c:numRef>
          </c:val>
          <c:extLst>
            <c:ext xmlns:c16="http://schemas.microsoft.com/office/drawing/2014/chart" uri="{C3380CC4-5D6E-409C-BE32-E72D297353CC}">
              <c16:uniqueId val="{00000000-DB40-4303-BD4D-70AFC55918D6}"/>
            </c:ext>
          </c:extLst>
        </c:ser>
        <c:ser>
          <c:idx val="1"/>
          <c:order val="1"/>
          <c:tx>
            <c:strRef>
              <c:f>'[Graph 2.xlsx]Sheet1'!$C$2</c:f>
              <c:strCache>
                <c:ptCount val="1"/>
                <c:pt idx="0">
                  <c:v>Claims Paid</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'[Graph 2.xlsx]Sheet1'!$A$3:$A$10</c:f>
              <c:numCache>
                <c:formatCode>General</c:formatCode>
                <c:ptCount val="8"/>
                <c:pt idx="0">
                  <c:v>2015</c:v>
                </c:pt>
                <c:pt idx="1">
                  <c:v>2016</c:v>
                </c:pt>
                <c:pt idx="2">
                  <c:v>2017</c:v>
                </c:pt>
                <c:pt idx="3">
                  <c:v>2018</c:v>
                </c:pt>
                <c:pt idx="4">
                  <c:v>2019</c:v>
                </c:pt>
                <c:pt idx="5">
                  <c:v>2020</c:v>
                </c:pt>
                <c:pt idx="6">
                  <c:v>2021</c:v>
                </c:pt>
                <c:pt idx="7">
                  <c:v>2022</c:v>
                </c:pt>
              </c:numCache>
            </c:numRef>
          </c:cat>
          <c:val>
            <c:numRef>
              <c:f>'[Graph 2.xlsx]Sheet1'!$C$3:$C$10</c:f>
              <c:numCache>
                <c:formatCode>General</c:formatCode>
                <c:ptCount val="8"/>
                <c:pt idx="0">
                  <c:v>6518.91</c:v>
                </c:pt>
                <c:pt idx="1">
                  <c:v>6816.72</c:v>
                </c:pt>
                <c:pt idx="2">
                  <c:v>7542.82</c:v>
                </c:pt>
                <c:pt idx="3">
                  <c:v>7135.43</c:v>
                </c:pt>
                <c:pt idx="4">
                  <c:v>7349.04</c:v>
                </c:pt>
                <c:pt idx="5">
                  <c:v>7989.29</c:v>
                </c:pt>
                <c:pt idx="6">
                  <c:v>8815.06</c:v>
                </c:pt>
                <c:pt idx="7">
                  <c:v>10520.75</c:v>
                </c:pt>
              </c:numCache>
            </c:numRef>
          </c:val>
          <c:extLst>
            <c:ext xmlns:c16="http://schemas.microsoft.com/office/drawing/2014/chart" uri="{C3380CC4-5D6E-409C-BE32-E72D297353CC}">
              <c16:uniqueId val="{00000001-DB40-4303-BD4D-70AFC55918D6}"/>
            </c:ext>
          </c:extLst>
        </c:ser>
        <c:dLbls>
          <c:dLblPos val="outEnd"/>
          <c:showLegendKey val="0"/>
          <c:showVal val="1"/>
          <c:showCatName val="0"/>
          <c:showSerName val="0"/>
          <c:showPercent val="0"/>
          <c:showBubbleSize val="0"/>
        </c:dLbls>
        <c:gapWidth val="444"/>
        <c:overlap val="-90"/>
        <c:axId val="1858848831"/>
        <c:axId val="1858850431"/>
      </c:barChart>
      <c:catAx>
        <c:axId val="1858848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858850431"/>
        <c:crosses val="autoZero"/>
        <c:auto val="1"/>
        <c:lblAlgn val="ctr"/>
        <c:lblOffset val="100"/>
        <c:noMultiLvlLbl val="0"/>
      </c:catAx>
      <c:valAx>
        <c:axId val="1858850431"/>
        <c:scaling>
          <c:orientation val="minMax"/>
        </c:scaling>
        <c:delete val="1"/>
        <c:axPos val="l"/>
        <c:numFmt formatCode="General" sourceLinked="1"/>
        <c:majorTickMark val="none"/>
        <c:minorTickMark val="none"/>
        <c:tickLblPos val="nextTo"/>
        <c:crossAx val="1858848831"/>
        <c:crosses val="autoZero"/>
        <c:crossBetween val="between"/>
      </c:valAx>
      <c:spPr>
        <a:noFill/>
        <a:ln>
          <a:noFill/>
        </a:ln>
        <a:effectLst/>
      </c:spPr>
    </c:plotArea>
    <c:legend>
      <c:legendPos val="t"/>
      <c:layout>
        <c:manualLayout>
          <c:xMode val="edge"/>
          <c:yMode val="edge"/>
          <c:x val="0.17530872967217595"/>
          <c:y val="0.28432291666666665"/>
          <c:w val="0.56309080211806239"/>
          <c:h val="8.789124015748031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sz="1200"/>
              <a:t>Category of Shareholders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8501911999676"/>
          <c:y val="0.22088463774242983"/>
          <c:w val="0.47261313590156628"/>
          <c:h val="0.68275152686451102"/>
        </c:manualLayout>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9D7-4194-A97F-BB73F9FD443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9D7-4194-A97F-BB73F9FD443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89D7-4194-A97F-BB73F9FD443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89D7-4194-A97F-BB73F9FD443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9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 of Share diagram.xlsx]Sheet1'!$A$1:$A$4</c:f>
              <c:strCache>
                <c:ptCount val="4"/>
                <c:pt idx="0">
                  <c:v>Sponsors'/Directors</c:v>
                </c:pt>
                <c:pt idx="1">
                  <c:v>Bank &amp; Fin Institutions</c:v>
                </c:pt>
                <c:pt idx="2">
                  <c:v>Companies &amp; Others </c:v>
                </c:pt>
                <c:pt idx="3">
                  <c:v>General Public </c:v>
                </c:pt>
              </c:strCache>
            </c:strRef>
          </c:cat>
          <c:val>
            <c:numRef>
              <c:f>'[% of Share diagram.xlsx]Sheet1'!$B$1:$B$4</c:f>
              <c:numCache>
                <c:formatCode>0.00%</c:formatCode>
                <c:ptCount val="4"/>
                <c:pt idx="0">
                  <c:v>0.55279999999999996</c:v>
                </c:pt>
                <c:pt idx="1">
                  <c:v>0.1462</c:v>
                </c:pt>
                <c:pt idx="2">
                  <c:v>1.8499999999999999E-2</c:v>
                </c:pt>
                <c:pt idx="3">
                  <c:v>0.28249999999999997</c:v>
                </c:pt>
              </c:numCache>
            </c:numRef>
          </c:val>
          <c:extLst>
            <c:ext xmlns:c16="http://schemas.microsoft.com/office/drawing/2014/chart" uri="{C3380CC4-5D6E-409C-BE32-E72D297353CC}">
              <c16:uniqueId val="{00000000-C909-F448-84DC-F5B0136BD32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sz="1400"/>
              <a:t>ROA &amp; ROE</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'[RoA RoE.xlsx]Sheet1'!$B$1</c:f>
              <c:strCache>
                <c:ptCount val="1"/>
                <c:pt idx="0">
                  <c:v>ROA(%)</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'[RoA RoE.xlsx]Sheet1'!$A$2:$A$6</c:f>
              <c:numCache>
                <c:formatCode>General</c:formatCode>
                <c:ptCount val="5"/>
                <c:pt idx="0">
                  <c:v>2018</c:v>
                </c:pt>
                <c:pt idx="1">
                  <c:v>2019</c:v>
                </c:pt>
                <c:pt idx="2">
                  <c:v>2020</c:v>
                </c:pt>
                <c:pt idx="3">
                  <c:v>2021</c:v>
                </c:pt>
                <c:pt idx="4">
                  <c:v>2022</c:v>
                </c:pt>
              </c:numCache>
            </c:numRef>
          </c:cat>
          <c:val>
            <c:numRef>
              <c:f>'[RoA RoE.xlsx]Sheet1'!$B$2:$B$6</c:f>
              <c:numCache>
                <c:formatCode>General</c:formatCode>
                <c:ptCount val="5"/>
                <c:pt idx="0">
                  <c:v>7.96</c:v>
                </c:pt>
                <c:pt idx="1">
                  <c:v>7.22</c:v>
                </c:pt>
                <c:pt idx="2">
                  <c:v>8.5299999999999994</c:v>
                </c:pt>
                <c:pt idx="3">
                  <c:v>8.33</c:v>
                </c:pt>
                <c:pt idx="4">
                  <c:v>11.53</c:v>
                </c:pt>
              </c:numCache>
            </c:numRef>
          </c:val>
          <c:smooth val="0"/>
          <c:extLst>
            <c:ext xmlns:c16="http://schemas.microsoft.com/office/drawing/2014/chart" uri="{C3380CC4-5D6E-409C-BE32-E72D297353CC}">
              <c16:uniqueId val="{00000000-7CE0-8441-9953-A6A88CCA7744}"/>
            </c:ext>
          </c:extLst>
        </c:ser>
        <c:ser>
          <c:idx val="1"/>
          <c:order val="1"/>
          <c:tx>
            <c:strRef>
              <c:f>'[RoA RoE.xlsx]Sheet1'!$C$1</c:f>
              <c:strCache>
                <c:ptCount val="1"/>
                <c:pt idx="0">
                  <c:v>ROE(%)</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'[RoA RoE.xlsx]Sheet1'!$A$2:$A$6</c:f>
              <c:numCache>
                <c:formatCode>General</c:formatCode>
                <c:ptCount val="5"/>
                <c:pt idx="0">
                  <c:v>2018</c:v>
                </c:pt>
                <c:pt idx="1">
                  <c:v>2019</c:v>
                </c:pt>
                <c:pt idx="2">
                  <c:v>2020</c:v>
                </c:pt>
                <c:pt idx="3">
                  <c:v>2021</c:v>
                </c:pt>
                <c:pt idx="4">
                  <c:v>2022</c:v>
                </c:pt>
              </c:numCache>
            </c:numRef>
          </c:cat>
          <c:val>
            <c:numRef>
              <c:f>'[RoA RoE.xlsx]Sheet1'!$C$2:$C$6</c:f>
              <c:numCache>
                <c:formatCode>General</c:formatCode>
                <c:ptCount val="5"/>
                <c:pt idx="0">
                  <c:v>30.84</c:v>
                </c:pt>
                <c:pt idx="1">
                  <c:v>29.18</c:v>
                </c:pt>
                <c:pt idx="2">
                  <c:v>37.6</c:v>
                </c:pt>
                <c:pt idx="3">
                  <c:v>38.36</c:v>
                </c:pt>
                <c:pt idx="4">
                  <c:v>57.82</c:v>
                </c:pt>
              </c:numCache>
            </c:numRef>
          </c:val>
          <c:smooth val="0"/>
          <c:extLst>
            <c:ext xmlns:c16="http://schemas.microsoft.com/office/drawing/2014/chart" uri="{C3380CC4-5D6E-409C-BE32-E72D297353CC}">
              <c16:uniqueId val="{00000001-7CE0-8441-9953-A6A88CCA7744}"/>
            </c:ext>
          </c:extLst>
        </c:ser>
        <c:dLbls>
          <c:dLblPos val="ctr"/>
          <c:showLegendKey val="0"/>
          <c:showVal val="1"/>
          <c:showCatName val="0"/>
          <c:showSerName val="0"/>
          <c:showPercent val="0"/>
          <c:showBubbleSize val="0"/>
        </c:dLbls>
        <c:marker val="1"/>
        <c:smooth val="0"/>
        <c:axId val="1740195135"/>
        <c:axId val="1740195455"/>
      </c:lineChart>
      <c:catAx>
        <c:axId val="174019513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crossAx val="1740195455"/>
        <c:crosses val="autoZero"/>
        <c:auto val="1"/>
        <c:lblAlgn val="ctr"/>
        <c:lblOffset val="100"/>
        <c:noMultiLvlLbl val="0"/>
      </c:catAx>
      <c:valAx>
        <c:axId val="174019545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74019513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'[Market value per share.xlsx]Sheet1'!$B$1</c:f>
              <c:strCache>
                <c:ptCount val="1"/>
                <c:pt idx="0">
                  <c:v>Market Value Per Share(in BDT)</c:v>
                </c:pt>
              </c:strCache>
            </c:strRef>
          </c:tx>
          <c:spPr>
            <a:solidFill>
              <a:schemeClr val="accent1"/>
            </a:solidFill>
            <a:ln>
              <a:noFill/>
            </a:ln>
            <a:effectLst/>
            <a:sp3d/>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'[Market value per share.xlsx]Sheet1'!$A$2:$A$6</c:f>
              <c:numCache>
                <c:formatCode>General</c:formatCode>
                <c:ptCount val="5"/>
                <c:pt idx="0">
                  <c:v>2018</c:v>
                </c:pt>
                <c:pt idx="1">
                  <c:v>2019</c:v>
                </c:pt>
                <c:pt idx="2">
                  <c:v>2020</c:v>
                </c:pt>
                <c:pt idx="3">
                  <c:v>2021</c:v>
                </c:pt>
                <c:pt idx="4">
                  <c:v>2022</c:v>
                </c:pt>
              </c:numCache>
            </c:numRef>
          </c:cat>
          <c:val>
            <c:numRef>
              <c:f>'[Market value per share.xlsx]Sheet1'!$B$2:$B$6</c:f>
              <c:numCache>
                <c:formatCode>General</c:formatCode>
                <c:ptCount val="5"/>
                <c:pt idx="0">
                  <c:v>216.2</c:v>
                </c:pt>
                <c:pt idx="1">
                  <c:v>250.9</c:v>
                </c:pt>
                <c:pt idx="2">
                  <c:v>254.5</c:v>
                </c:pt>
                <c:pt idx="3">
                  <c:v>220.6</c:v>
                </c:pt>
                <c:pt idx="4">
                  <c:v>179</c:v>
                </c:pt>
              </c:numCache>
            </c:numRef>
          </c:val>
          <c:extLst>
            <c:ext xmlns:c16="http://schemas.microsoft.com/office/drawing/2014/chart" uri="{C3380CC4-5D6E-409C-BE32-E72D297353CC}">
              <c16:uniqueId val="{00000000-CC9B-FC41-9164-ACEAF0810FF3}"/>
            </c:ext>
          </c:extLst>
        </c:ser>
        <c:dLbls>
          <c:showLegendKey val="0"/>
          <c:showVal val="1"/>
          <c:showCatName val="0"/>
          <c:showSerName val="0"/>
          <c:showPercent val="0"/>
          <c:showBubbleSize val="0"/>
        </c:dLbls>
        <c:gapWidth val="150"/>
        <c:shape val="box"/>
        <c:axId val="1742450239"/>
        <c:axId val="1907796287"/>
        <c:axId val="0"/>
      </c:bar3DChart>
      <c:catAx>
        <c:axId val="174245023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07796287"/>
        <c:crosses val="autoZero"/>
        <c:auto val="1"/>
        <c:lblAlgn val="ctr"/>
        <c:lblOffset val="100"/>
        <c:noMultiLvlLbl val="0"/>
      </c:catAx>
      <c:valAx>
        <c:axId val="190779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42450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67D58-4495-414F-B213-92DCE7F3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16</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Mahamud Hossen</dc:creator>
  <cp:keywords/>
  <dc:description/>
  <cp:lastModifiedBy>MD Shawon</cp:lastModifiedBy>
  <cp:revision>23</cp:revision>
  <cp:lastPrinted>2025-01-22T14:54:00Z</cp:lastPrinted>
  <dcterms:created xsi:type="dcterms:W3CDTF">2025-01-17T16:34:00Z</dcterms:created>
  <dcterms:modified xsi:type="dcterms:W3CDTF">2025-01-22T16:43:00Z</dcterms:modified>
</cp:coreProperties>
</file>