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28"/>
        </w:rPr>
        <w:t>FineTunedBERTaECFP: A Multimodal Deep-Learning Framework for Bioactivity Prediction Using MoLFormer-XL, ECFP Fingerprints, and Physicochemical Descriptors</w:t>
      </w:r>
    </w:p>
    <w:p/>
    <w:tbl>
      <w:tblPr>
        <w:tblW w:type="auto" w:w="0"/>
        <w:jc w:val="center"/>
        <w:tblLook w:firstColumn="1" w:firstRow="1" w:lastColumn="0" w:lastRow="0" w:noHBand="0" w:noVBand="1" w:val="04A0"/>
      </w:tblPr>
      <w:tblGrid>
        <w:gridCol w:w="9406"/>
      </w:tblGrid>
      <w:tr>
        <w:tc>
          <w:tcPr>
            <w:tcW w:type="dxa" w:w="9406"/>
            <w:shd w:val="clear" w:color="auto" w:fill="EBF5FB"/>
            <w:tcW w:w="9355" w:type="dxa"/>
          </w:tcPr>
          <w:p>
            <w:r>
              <w:rPr>
                <w:i/>
                <w:sz w:val="19"/>
              </w:rPr>
              <w:t>Summary.  We present FineTunedBERTaECFP, a multimodal neural architecture that integrates three complementary molecular representations for bioactivity classification: (i) contextual SMILES embeddings from a selectively fine-tuned MoLFormer-XL transformer (last 12 layers unfrozen), (ii) Extended-Connectivity Fingerprints (ECFP4/1024-bit), and (iii) a panel of seven physicochemical descriptors. A cross-modal multi-head attention mechanism (H = 8 heads) dynamically aligns fingerprint and descriptor features against the SMILES context, and a gated fusion module learns a sigmoid gate vector that selectively suppresses uninformative embedding dimensions before classification. Systematic hyperparameter optimisation via Optuna TPE (50 trials, MedianPruner) yields a configuration attaining AUROC = 95.39 %, Balanced Accuracy = 92.01 %, and MCC = 0.8281 on a held-out test set of 952 molecules.</w:t>
            </w:r>
          </w:p>
        </w:tc>
      </w:tr>
    </w:tbl>
    <w:p/>
    <w:p>
      <w:pPr>
        <w:pStyle w:val="Heading1"/>
        <w:jc w:val="left"/>
      </w:pPr>
      <w:r>
        <w:t>1.  Dataset and Molecular Preprocessing</w:t>
      </w:r>
    </w:p>
    <w:p>
      <w:r>
        <w:rPr>
          <w:i w:val="0"/>
        </w:rPr>
        <w:t>The dataset comprises 6,341 small-molecule compounds labelled as Active (1) or Inactive (0) towards a defined biological target.  Each molecule is represented by its canonical SMILES string together with a set of pre-computed physicochemical properties.</w:t>
      </w:r>
    </w:p>
    <w:p>
      <w:r>
        <w:rPr>
          <w:i w:val="0"/>
        </w:rPr>
        <w:t>Data partitioning follows a stratified 70 / 15 / 15 split (training / validation / test) with a fixed random seed (42) to ensure reproducibility.  Class proportions (≈19 % active) are preserved in every split to avoid distribution shift.</w:t>
      </w:r>
    </w:p>
    <w:p>
      <w:r>
        <w:rPr>
          <w:b/>
          <w:i w:val="0"/>
        </w:rPr>
        <w:t xml:space="preserve">Physicochemical descriptors </w:t>
      </w:r>
      <w:r>
        <w:rPr>
          <w:b w:val="0"/>
          <w:i w:val="0"/>
        </w:rPr>
        <w:t>are computed via RDKit and comprise:</w:t>
      </w:r>
    </w:p>
    <w:p>
      <w:pPr>
        <w:pStyle w:val="ListBullet"/>
        <w:ind w:left="454"/>
      </w:pPr>
      <w:r>
        <w:t>Molecular Weight (MW)</w:t>
      </w:r>
    </w:p>
    <w:p>
      <w:pPr>
        <w:pStyle w:val="ListBullet"/>
        <w:ind w:left="454"/>
      </w:pPr>
      <w:r>
        <w:t>Octanol–Water Partition Coefficient (LogP)</w:t>
      </w:r>
    </w:p>
    <w:p>
      <w:pPr>
        <w:pStyle w:val="ListBullet"/>
        <w:ind w:left="454"/>
      </w:pPr>
      <w:r>
        <w:t>Number of Hydrogen-Bond Donors (NumHDonors)</w:t>
      </w:r>
    </w:p>
    <w:p>
      <w:pPr>
        <w:pStyle w:val="ListBullet"/>
        <w:ind w:left="454"/>
      </w:pPr>
      <w:r>
        <w:t>Topological Polar Surface Area (TPSA)</w:t>
      </w:r>
    </w:p>
    <w:p>
      <w:pPr>
        <w:pStyle w:val="ListBullet"/>
        <w:ind w:left="454"/>
      </w:pPr>
      <w:r>
        <w:t>Number of Rotatable Bonds (NumRotatableBonds)</w:t>
      </w:r>
    </w:p>
    <w:p>
      <w:pPr>
        <w:pStyle w:val="ListBullet"/>
        <w:ind w:left="454"/>
      </w:pPr>
      <w:r>
        <w:t>Carbon sp³ Fraction (FractionCSP3)</w:t>
      </w:r>
    </w:p>
    <w:p>
      <w:pPr>
        <w:pStyle w:val="ListBullet"/>
        <w:ind w:left="454"/>
      </w:pPr>
      <w:r>
        <w:t>Ring Count (RingCount)</w:t>
      </w:r>
    </w:p>
    <w:p>
      <w:r>
        <w:rPr>
          <w:i w:val="0"/>
        </w:rPr>
        <w:t>All descriptors are standardised using a StandardScaler fitted exclusively on the training set to prevent data leakage; the same scaler parameters (μ, σ) are applied to the validation and test sets.</w:t>
      </w:r>
    </w:p>
    <w:p>
      <w:r>
        <w:rPr>
          <w:i w:val="0"/>
        </w:rPr>
        <w:t>SMILES data augmentation is applied during training by stochastically re-ordering atom indices to produce alternative valid SMILES strings for the same molecule (random SMILES), thereby improving generalisation without additional data collection.</w:t>
      </w:r>
    </w:p>
    <w:p>
      <w:pPr>
        <w:pStyle w:val="Heading1"/>
        <w:jc w:val="left"/>
      </w:pPr>
      <w:r>
        <w:t>2.  Molecular Representation Encoding</w:t>
      </w:r>
    </w:p>
    <w:p>
      <w:pPr>
        <w:pStyle w:val="Heading2"/>
        <w:jc w:val="left"/>
      </w:pPr>
      <w:r>
        <w:t>2.1  SMILES Encoding via MoLFormer-XL</w:t>
      </w:r>
    </w:p>
    <w:p>
      <w:r>
        <w:rPr>
          <w:i w:val="0"/>
        </w:rPr>
        <w:t>The SMILES branch uses IBM MoLFormer-XL-both-10pct, a 12-layer transformer pre-trained on 1.1 billion molecules with rotary positional embeddings and linear attention (d_model = 768, H = 12 attention heads, d_ff = 3,072).  To leverage pre-trained chemical knowledge while adapting to the target task, all parameters are frozen except those of the last five encoder layers (selective fine-tuning).</w:t>
      </w:r>
    </w:p>
    <w:p>
      <w:r>
        <w:rPr>
          <w:i w:val="0"/>
        </w:rPr>
        <w:t>For an input token sequence x = [x₁, x₂, …, xₙ] (max length 512), the encoder produces:</w:t>
      </w:r>
    </w:p>
    <w:p>
      <w:pPr>
        <w:spacing w:before="80" w:after="80"/>
        <w:jc w:val="center"/>
      </w:pPr>
      <w:r>
        <w:rPr>
          <w:i/>
          <w:sz w:val="21"/>
        </w:rPr>
        <w:t>H = MoLFormer(x)  ∈  ℝⁿˣ⁷⁶⁸</w:t>
      </w:r>
    </w:p>
    <w:p>
      <w:r>
        <w:rPr>
          <w:i w:val="0"/>
        </w:rPr>
        <w:t>Three pooling strategies are averaged to form a robust sentence-level representation that combines positional (CLS), distributional (mean), and extremal (max) information:</w:t>
      </w:r>
    </w:p>
    <w:p>
      <w:pPr>
        <w:spacing w:before="80" w:after="80"/>
        <w:jc w:val="center"/>
      </w:pPr>
      <w:r>
        <w:rPr>
          <w:i/>
          <w:sz w:val="21"/>
        </w:rPr>
        <w:t>h_SMILES = ( h_CLS + h_mean + h_max ) / 3  ∈  ℝ⁷⁶⁸</w:t>
      </w:r>
    </w:p>
    <w:p>
      <w:r>
        <w:rPr>
          <w:i/>
        </w:rPr>
        <w:t>where  h_CLS = H[:,0,:],  h_mean = (1/n) Σᵢ H[:,i,:],  h_max = maxᵢ H[:,i,:]  (element-wise maximum).</w:t>
      </w:r>
    </w:p>
    <w:p>
      <w:pPr>
        <w:pStyle w:val="Heading2"/>
        <w:jc w:val="left"/>
      </w:pPr>
      <w:r>
        <w:t>2.2  ECFP Fingerprint Projection</w:t>
      </w:r>
    </w:p>
    <w:p>
      <w:r>
        <w:rPr>
          <w:i w:val="0"/>
        </w:rPr>
        <w:t>Morgan (ECFP) fingerprints with radius r = 2 and 1,024 bits are generated through RDKit's MorganGenerator, yielding binary vectors  f_ECFP ∈ {0,1}¹⁰²⁴  that capture circular substructure environments up to two bond hops from every atom.  A two-layer MLP projects f_ECFP into the shared 768-dimensional embedding space:</w:t>
      </w:r>
    </w:p>
    <w:p>
      <w:pPr>
        <w:spacing w:before="80" w:after="80"/>
        <w:jc w:val="center"/>
      </w:pPr>
      <w:r>
        <w:rPr>
          <w:i/>
          <w:sz w:val="21"/>
        </w:rPr>
        <w:t>h_ECFP = MLP_ECFP( f_ECFP )  ∈  ℝ⁷⁶⁸</w:t>
      </w:r>
    </w:p>
    <w:p>
      <w:r>
        <w:rPr>
          <w:i/>
        </w:rPr>
        <w:t>MLP_ECFP:  Linear(1024→512) → LayerNorm → GELU → Dropout(0.15) → Linear(512→768) → LayerNorm → GELU → Dropout(0.30)</w:t>
      </w:r>
    </w:p>
    <w:p>
      <w:pPr>
        <w:pStyle w:val="Heading2"/>
        <w:jc w:val="left"/>
      </w:pPr>
      <w:r>
        <w:t>2.3  Physicochemical Descriptor Projection</w:t>
      </w:r>
    </w:p>
    <w:p>
      <w:r>
        <w:rPr>
          <w:i w:val="0"/>
        </w:rPr>
        <w:t>The seven normalised descriptors  d ∈ ℝ⁷  are mapped to the same latent space through a deeper three-layer MLP to compensate for their low dimensionality:</w:t>
      </w:r>
    </w:p>
    <w:p>
      <w:pPr>
        <w:spacing w:before="80" w:after="80"/>
        <w:jc w:val="center"/>
      </w:pPr>
      <w:r>
        <w:rPr>
          <w:i/>
          <w:sz w:val="21"/>
        </w:rPr>
        <w:t>h_desc = MLP_desc( d_norm )  ∈  ℝ⁷⁶⁸</w:t>
      </w:r>
    </w:p>
    <w:p>
      <w:r>
        <w:rPr>
          <w:i/>
        </w:rPr>
        <w:t>MLP_desc:  Linear(7→256) → LN → GELU → Dropout(0.15) → Linear(256→512) → LN → GELU → Dropout(0.15) → Linear(512→768) → LN → GELU → Dropout(0.30)</w:t>
      </w:r>
    </w:p>
    <w:p>
      <w:pPr>
        <w:pStyle w:val="Heading1"/>
        <w:jc w:val="left"/>
      </w:pPr>
      <w:r>
        <w:t>3.  Cross-Modal Multi-Head Attention</w:t>
      </w:r>
    </w:p>
    <w:p>
      <w:r>
        <w:rPr>
          <w:i w:val="0"/>
        </w:rPr>
        <w:t>After the three encoders, structural (ECFP) and physicochemical (descriptor) embeddings are stacked along the sequence dimension to form a query tensor, while the SMILES embedding serves as both key and value.  This design allows fingerprint and descriptor features to selectively attend to the parts of the molecular sequence most relevant to their respective information content:</w:t>
      </w:r>
    </w:p>
    <w:p>
      <w:pPr>
        <w:spacing w:before="80" w:after="80"/>
        <w:jc w:val="center"/>
      </w:pPr>
      <w:r>
        <w:rPr>
          <w:i/>
          <w:sz w:val="21"/>
        </w:rPr>
        <w:t>Q  =  stack( [h_ECFP, h_desc], dim=1 )  ∈  ℝᴮˣ²ˣ⁷⁶⁸</w:t>
      </w:r>
    </w:p>
    <w:p>
      <w:pPr>
        <w:spacing w:before="80" w:after="80"/>
        <w:jc w:val="center"/>
      </w:pPr>
      <w:r>
        <w:rPr>
          <w:i/>
          <w:sz w:val="21"/>
        </w:rPr>
        <w:t>K  =  V  =  h_SMILES.unsqueeze(1)        ∈  ℝᴮˣ¹ˣ⁷⁶⁸</w:t>
      </w:r>
    </w:p>
    <w:p>
      <w:r>
        <w:rPr>
          <w:i w:val="0"/>
        </w:rPr>
        <w:t>The standard scaled dot-product multi-head attention (H = 8 heads, d_k = d_model / H = 96) is computed as:</w:t>
      </w:r>
    </w:p>
    <w:p>
      <w:pPr>
        <w:spacing w:before="80" w:after="80"/>
        <w:jc w:val="center"/>
      </w:pPr>
      <w:r>
        <w:rPr>
          <w:i/>
          <w:sz w:val="21"/>
        </w:rPr>
        <w:t>headᵢ = softmax( Q Wᵢᴿ (K Wᵢᴷ)ᵀ / √d_k ) · V Wᵢᵛ</w:t>
      </w:r>
    </w:p>
    <w:p>
      <w:pPr>
        <w:spacing w:before="80" w:after="80"/>
        <w:jc w:val="center"/>
      </w:pPr>
      <w:r>
        <w:rPr>
          <w:i/>
          <w:sz w:val="21"/>
        </w:rPr>
        <w:t>MultiHead(Q, K, V) = Concat(head₁, …, headₕ) Wᴼ  ∈  ℝᴮˣ²ˣ⁷⁶⁸</w:t>
      </w:r>
    </w:p>
    <w:p>
      <w:r>
        <w:rPr>
          <w:i/>
        </w:rPr>
        <w:t>where  Wᵢᴿ, Wᵢᴷ, Wᵢᵛ ∈ ℝ⁷⁶⁸ˣ⁶⁴  and  Wᴼ ∈ ℝ⁷⁶⁸ˣ⁷⁶⁸  are learned projection matrices, and the softmax normalises across the single SMILES token (key–value dimension = 1).</w:t>
      </w:r>
    </w:p>
    <w:p>
      <w:r>
        <w:rPr>
          <w:i w:val="0"/>
        </w:rPr>
        <w:t>Residual connections with Layer Normalisation prevent representation collapse and stabilise gradient flow:</w:t>
      </w:r>
    </w:p>
    <w:p>
      <w:pPr>
        <w:spacing w:before="80" w:after="80"/>
        <w:jc w:val="center"/>
      </w:pPr>
      <w:r>
        <w:rPr>
          <w:i/>
          <w:sz w:val="21"/>
        </w:rPr>
        <w:t>h_ECFP_attn = LayerNorm( h_ECFP + MultiHead(Q, K, V)[:,0,:] )  ∈  ℝ⁷⁶⁸</w:t>
      </w:r>
    </w:p>
    <w:p>
      <w:pPr>
        <w:spacing w:before="80" w:after="80"/>
        <w:jc w:val="center"/>
      </w:pPr>
      <w:r>
        <w:rPr>
          <w:i/>
          <w:sz w:val="21"/>
        </w:rPr>
        <w:t>h_desc_attn = LayerNorm( h_desc + MultiHead(Q, K, V)[:,1,:] )  ∈  ℝ⁷⁶⁸</w:t>
      </w:r>
    </w:p>
    <w:p>
      <w:pPr>
        <w:pStyle w:val="Heading1"/>
        <w:jc w:val="left"/>
      </w:pPr>
      <w:r>
        <w:t>4.  Gated Feature Fusion</w:t>
      </w:r>
    </w:p>
    <w:p>
      <w:r>
        <w:rPr>
          <w:i w:val="0"/>
        </w:rPr>
        <w:t>After cross-modal attention, the three representation streams — h_SMILES, h_ECFP_attn, and h_desc_attn — are integrated through a gated fusion mechanism.  All three vectors are first concatenated to form a joint representation  z:</w:t>
      </w:r>
    </w:p>
    <w:p>
      <w:pPr>
        <w:spacing w:before="80" w:after="80"/>
        <w:jc w:val="center"/>
      </w:pPr>
      <w:r>
        <w:rPr>
          <w:i/>
          <w:sz w:val="21"/>
        </w:rPr>
        <w:t>z  =  Concat( h_SMILES,  h_ECFP_attn,  h_desc_attn )  ∈  ℝ²³⁰⁴</w:t>
      </w:r>
    </w:p>
    <w:p>
      <w:r>
        <w:rPr>
          <w:i w:val="0"/>
        </w:rPr>
        <w:t>A learned sigmoid gate vector  g ∈ ℝ⁷⁶⁸  is computed from  z  through a linear projection followed by a sigmoid non-linearity.  This gate acts as a per-dimension soft switch, independently amplifying or suppressing each embedding component based on how informative it is for the prediction task:</w:t>
      </w:r>
    </w:p>
    <w:p>
      <w:pPr>
        <w:spacing w:before="80" w:after="80"/>
        <w:jc w:val="center"/>
      </w:pPr>
      <w:r>
        <w:rPr>
          <w:i/>
          <w:sz w:val="21"/>
        </w:rPr>
        <w:t>g  =  σ( W_g · z + b_g ),    W_g ∈ ℝ⁷⁶⁸ˣ²³⁰⁴,    g ∈ ℝ⁷⁶⁸</w:t>
      </w:r>
    </w:p>
    <w:p>
      <w:r>
        <w:rPr>
          <w:i w:val="0"/>
        </w:rPr>
        <w:t>A separate linear projection maps  z  into the same 768-dimensional space, and the final fused representation is produced by an element-wise (Hadamard) product with the gate:</w:t>
      </w:r>
    </w:p>
    <w:p>
      <w:pPr>
        <w:spacing w:before="80" w:after="80"/>
        <w:jc w:val="center"/>
      </w:pPr>
      <w:r>
        <w:rPr>
          <w:i/>
          <w:sz w:val="21"/>
        </w:rPr>
        <w:t>h_fused  =  g  ⊙  ( W_f · z + b_f ),    W_f ∈ ℝ⁷⁶⁸ˣ²³⁰⁴,    h_fused ∈ ℝ⁷⁶⁸</w:t>
      </w:r>
    </w:p>
    <w:p>
      <w:r>
        <w:rPr>
          <w:i/>
        </w:rPr>
        <w:t>The element-wise product (⊙) ensures that each output dimension of the fused representation is gated by a value in (0, 1).  Dimensions encoded by the gate close to 0 are effectively suppressed, while those close to 1 are passed through unchanged.  This provides a compact 768-dimensional fused embedding that discards redundant cross-modal information before the classification head, without tripling the classifier input size (as would occur with simple concatenation) or requiring a quadratic weight tensor (as in bilinear fusion).</w:t>
      </w:r>
    </w:p>
    <w:p>
      <w:pPr>
        <w:pStyle w:val="Heading1"/>
        <w:jc w:val="left"/>
      </w:pPr>
      <w:r>
        <w:t>5.  Classification Head</w:t>
      </w:r>
    </w:p>
    <w:p>
      <w:r>
        <w:rPr>
          <w:i w:val="0"/>
        </w:rPr>
        <w:t>The fused representation h_fused ∈ ℝ⁷⁶⁸ is passed through a progressively contracting MLP classifier with N = 4 layers, halving the hidden dimension at each step to force increasingly abstract representations:</w:t>
      </w:r>
    </w:p>
    <w:p>
      <w:pPr>
        <w:spacing w:before="80" w:after="80"/>
        <w:jc w:val="center"/>
      </w:pPr>
      <w:r>
        <w:rPr>
          <w:i/>
          <w:sz w:val="21"/>
        </w:rPr>
        <w:t>h⁽⁰⁾  =  h_fused  ∈  ℝ⁷⁶⁸</w:t>
      </w:r>
    </w:p>
    <w:p>
      <w:pPr>
        <w:spacing w:before="80" w:after="80"/>
        <w:jc w:val="center"/>
      </w:pPr>
      <w:r>
        <w:rPr>
          <w:i/>
          <w:sz w:val="21"/>
        </w:rPr>
        <w:t>h⁽ⁱ⁾  =  Dropout_{pᵢ}( GELU( LayerNorm( Wᵢ h⁽ⁱ⁻¹⁾ + bᵢ ) ) ),    i = 1, …, 4</w:t>
      </w:r>
    </w:p>
    <w:p>
      <w:pPr>
        <w:spacing w:before="80" w:after="80"/>
        <w:jc w:val="center"/>
      </w:pPr>
      <w:r>
        <w:rPr>
          <w:i/>
          <w:sz w:val="21"/>
        </w:rPr>
        <w:t>ŷ      =  w_outᵀ h⁽⁴⁾  ∈  ℝ</w:t>
      </w:r>
    </w:p>
    <w:p>
      <w:r>
        <w:rPr>
          <w:b/>
          <w:i w:val="0"/>
        </w:rPr>
        <w:t xml:space="preserve">Dimensionality trace </w:t>
      </w:r>
      <w:r>
        <w:rPr>
          <w:b w:val="0"/>
          <w:i w:val="0"/>
        </w:rPr>
        <w:t>(hidden_dim = 768, num_classifier_layers = 4):</w:t>
      </w:r>
    </w:p>
    <w:p>
      <w:pPr>
        <w:pStyle w:val="ListBullet"/>
        <w:ind w:left="454"/>
      </w:pPr>
      <w:r>
        <w:t>Layer 1:  ℝ⁷⁶⁸  →  Linear(768→768) + LayerNorm + GELU + Dropout(0.30)</w:t>
      </w:r>
    </w:p>
    <w:p>
      <w:pPr>
        <w:pStyle w:val="ListBullet"/>
        <w:ind w:left="454"/>
      </w:pPr>
      <w:r>
        <w:t>Layer 2:  ℝ⁷⁶⁸  →  Linear(768→384) + LayerNorm + GELU + Dropout(0.30)</w:t>
      </w:r>
    </w:p>
    <w:p>
      <w:pPr>
        <w:pStyle w:val="ListBullet"/>
        <w:ind w:left="454"/>
      </w:pPr>
      <w:r>
        <w:t>Layer 3:  ℝ³⁸⁴  →  Linear(384→192) + LayerNorm + GELU + Dropout(0.30)</w:t>
      </w:r>
    </w:p>
    <w:p>
      <w:pPr>
        <w:pStyle w:val="ListBullet"/>
        <w:ind w:left="454"/>
      </w:pPr>
      <w:r>
        <w:t>Layer 4:  ℝ¹⁹²  →  Linear(192→96)  + LayerNorm + GELU + Dropout(0.15)</w:t>
      </w:r>
    </w:p>
    <w:p>
      <w:pPr>
        <w:pStyle w:val="ListBullet"/>
        <w:ind w:left="454"/>
      </w:pPr>
      <w:r>
        <w:t>Output:   ℝ⁹⁶   →  Linear(96→1)    =  ŷ</w:t>
      </w:r>
    </w:p>
    <w:p>
      <w:r>
        <w:rPr>
          <w:i w:val="0"/>
        </w:rPr>
        <w:t>Dropout probability is halved in the final layer to retain predictive signal close to the output.  Batch normalisation was replaced by LayerNorm to avoid dependence on batch statistics at inference time.</w:t>
      </w:r>
    </w:p>
    <w:p>
      <w:pPr>
        <w:pStyle w:val="Heading1"/>
        <w:jc w:val="left"/>
      </w:pPr>
      <w:r>
        <w:t>6.  Training Procedure</w:t>
      </w:r>
    </w:p>
    <w:p>
      <w:pPr>
        <w:pStyle w:val="Heading2"/>
        <w:jc w:val="left"/>
      </w:pPr>
      <w:r>
        <w:t>6.1  Loss Function</w:t>
      </w:r>
    </w:p>
    <w:p>
      <w:r>
        <w:rPr>
          <w:i w:val="0"/>
        </w:rPr>
        <w:t>Class imbalance (≈79 % inactive vs 21 % active) is addressed through a class-weighted Binary Cross-Entropy (BCE) loss with a per-sample positive weight  w_pos = N_neg / N_pos:</w:t>
      </w:r>
    </w:p>
    <w:p>
      <w:pPr>
        <w:spacing w:before="80" w:after="80"/>
        <w:jc w:val="center"/>
      </w:pPr>
      <w:r>
        <w:rPr>
          <w:i/>
          <w:sz w:val="21"/>
        </w:rPr>
        <w:t>ℒ(ŷ, y) = − (1/B) Σᵢ [ w_pos · yᵢ log σ(ŷᵢ) + (1−yᵢ) log(1−σ(ŷᵢ)) ]</w:t>
      </w:r>
    </w:p>
    <w:p>
      <w:r>
        <w:rPr>
          <w:i/>
        </w:rPr>
        <w:t>where  B  is the mini-batch size,  σ(·)  is the sigmoid function, and  w_pos  penalises false negatives proportionally to the imbalance ratio.</w:t>
      </w:r>
    </w:p>
    <w:p>
      <w:pPr>
        <w:pStyle w:val="Heading2"/>
        <w:jc w:val="left"/>
      </w:pPr>
      <w:r>
        <w:t>6.2  Optimiser and Learning-Rate Schedule</w:t>
      </w:r>
    </w:p>
    <w:p>
      <w:r>
        <w:rPr>
          <w:i w:val="0"/>
        </w:rPr>
        <w:t>RMSprop (momentum = 0.9, ε = 10⁻⁸) is used as the base optimiser with weight decay  λ = 1.24×10⁻⁴.  The learning rate follows a One-Cycle cosine schedule:</w:t>
      </w:r>
    </w:p>
    <w:p>
      <w:pPr>
        <w:spacing w:before="80" w:after="80"/>
        <w:jc w:val="center"/>
      </w:pPr>
      <w:r>
        <w:rPr>
          <w:i/>
          <w:sz w:val="21"/>
        </w:rPr>
        <w:t>α(t) = αₘₐₓ · [ (1 − t/T) · cos(π·t/T) + 1 ] / 2  +  αₘᵢₙ</w:t>
      </w:r>
    </w:p>
    <w:p>
      <w:r>
        <w:rPr>
          <w:i/>
        </w:rPr>
        <w:t>where  αₘₐₓ = 2.37×10⁻⁶  is the peak learning rate, αₘᵢₙ = αₘₐₓ / 25,  t  is the current step, and T  is the total number of training steps.  A warm-up phase covering 10 % of T brings the learning rate from αₘᵢₙ to αₘₐₓ before the cosine annealing begins.</w:t>
      </w:r>
    </w:p>
    <w:p>
      <w:pPr>
        <w:pStyle w:val="Heading2"/>
        <w:jc w:val="left"/>
      </w:pPr>
      <w:r>
        <w:t>6.3  Regularisation and Training Details</w:t>
      </w:r>
    </w:p>
    <w:p>
      <w:pPr>
        <w:pStyle w:val="ListBullet"/>
        <w:ind w:left="454"/>
      </w:pPr>
      <w:r>
        <w:t>Dropout: p = 0.30 in all intermediate layers; p = 0.15 in final classifier layer and attention.</w:t>
      </w:r>
    </w:p>
    <w:p>
      <w:pPr>
        <w:pStyle w:val="ListBullet"/>
        <w:ind w:left="454"/>
      </w:pPr>
      <w:r>
        <w:t>Gradient clipping: max_norm = 1.0 (L₂-norm of all parameters).</w:t>
      </w:r>
    </w:p>
    <w:p>
      <w:pPr>
        <w:pStyle w:val="ListBullet"/>
        <w:ind w:left="454"/>
      </w:pPr>
      <w:r>
        <w:t>Gradient accumulation: 2 steps → effective batch size = 32 × 2 = 64.</w:t>
      </w:r>
    </w:p>
    <w:p>
      <w:pPr>
        <w:pStyle w:val="ListBullet"/>
        <w:ind w:left="454"/>
      </w:pPr>
      <w:r>
        <w:t>Early stopping: patience = 7 epochs on validation AUROC.</w:t>
      </w:r>
    </w:p>
    <w:p>
      <w:pPr>
        <w:pStyle w:val="ListBullet"/>
        <w:ind w:left="454"/>
      </w:pPr>
      <w:r>
        <w:t>Maximum epochs: 50.  Training hardware: NVIDIA GPU (CUDA).</w:t>
      </w:r>
    </w:p>
    <w:p>
      <w:pPr>
        <w:pStyle w:val="ListBullet"/>
        <w:ind w:left="454"/>
      </w:pPr>
      <w:r>
        <w:t>All random seeds set to 42 (PyTorch, NumPy, Python random).</w:t>
      </w:r>
    </w:p>
    <w:p>
      <w:pPr>
        <w:pStyle w:val="Heading1"/>
        <w:jc w:val="left"/>
      </w:pPr>
      <w:r>
        <w:t>7.  Hyperparameter Optimisation via Optuna</w:t>
      </w:r>
    </w:p>
    <w:p>
      <w:r>
        <w:rPr>
          <w:i w:val="0"/>
        </w:rPr>
        <w:t>All architectural and training hyperparameters are jointly optimised using Optuna's Tree-structured Parzen Estimator (TPE) sampler (n_startup_trials = 5) over 50 trials with a maximum wall-clock budget of 6 hours.  Poorly performing trials are pruned early by the MedianPruner (n_warmup_steps = 5 epochs), which terminates a trial if its intermediate validation AUROC falls below the median of completed trials at the same epoch.  The objective function is validation AUROC (maximised).</w:t>
      </w:r>
    </w:p>
    <w:p>
      <w:r>
        <w:rPr>
          <w:b/>
          <w:i w:val="0"/>
        </w:rPr>
        <w:t xml:space="preserve">Table 1.  </w:t>
      </w:r>
      <w:r>
        <w:rPr>
          <w:b w:val="0"/>
          <w:i w:val="0"/>
        </w:rPr>
        <w:t>Hyperparameter search space.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9"/>
              </w:rPr>
              <w:t>Hyperparameter</w:t>
            </w:r>
          </w:p>
        </w:tc>
        <w:tc>
          <w:tcPr>
            <w:tcW w:type="dxa" w:w="2351"/>
            <w:shd w:val="clear" w:color="auto" w:fill="1F497D"/>
          </w:tcPr>
          <w:p>
            <w:pPr>
              <w:jc w:val="center"/>
            </w:pPr>
            <w:r>
              <w:rPr>
                <w:b/>
                <w:color w:val="FFFFFF"/>
                <w:sz w:val="19"/>
              </w:rPr>
              <w:t>Search Range / Options</w:t>
            </w:r>
          </w:p>
        </w:tc>
        <w:tc>
          <w:tcPr>
            <w:tcW w:type="dxa" w:w="2351"/>
            <w:shd w:val="clear" w:color="auto" w:fill="1F497D"/>
          </w:tcPr>
          <w:p>
            <w:pPr>
              <w:jc w:val="center"/>
            </w:pPr>
            <w:r>
              <w:rPr>
                <w:b/>
                <w:color w:val="FFFFFF"/>
                <w:sz w:val="19"/>
              </w:rPr>
              <w:t>Hyperparameter</w:t>
            </w:r>
          </w:p>
        </w:tc>
        <w:tc>
          <w:tcPr>
            <w:tcW w:type="dxa" w:w="2351"/>
            <w:shd w:val="clear" w:color="auto" w:fill="1F497D"/>
          </w:tcPr>
          <w:p>
            <w:pPr>
              <w:jc w:val="center"/>
            </w:pPr>
            <w:r>
              <w:rPr>
                <w:b/>
                <w:color w:val="FFFFFF"/>
                <w:sz w:val="19"/>
              </w:rPr>
              <w:t>Search Range / Options</w:t>
            </w:r>
          </w:p>
        </w:tc>
      </w:tr>
      <w:tr>
        <w:tc>
          <w:tcPr>
            <w:tcW w:type="dxa" w:w="2351"/>
            <w:shd w:val="clear" w:color="auto" w:fill="EBF5FB"/>
          </w:tcPr>
          <w:p>
            <w:r>
              <w:rPr>
                <w:b w:val="0"/>
                <w:sz w:val="18"/>
              </w:rPr>
              <w:t>unfreeze_layers</w:t>
            </w:r>
          </w:p>
        </w:tc>
        <w:tc>
          <w:tcPr>
            <w:tcW w:type="dxa" w:w="2351"/>
            <w:shd w:val="clear" w:color="auto" w:fill="EBF5FB"/>
          </w:tcPr>
          <w:p>
            <w:r>
              <w:rPr>
                <w:b w:val="0"/>
                <w:sz w:val="18"/>
              </w:rPr>
              <w:t>ℤ ∈ [4, 12]</w:t>
            </w:r>
          </w:p>
        </w:tc>
        <w:tc>
          <w:tcPr>
            <w:tcW w:type="dxa" w:w="2351"/>
            <w:shd w:val="clear" w:color="auto" w:fill="EBF5FB"/>
          </w:tcPr>
          <w:p>
            <w:r>
              <w:rPr>
                <w:b w:val="0"/>
                <w:sz w:val="18"/>
              </w:rPr>
              <w:t>learning_rate</w:t>
            </w:r>
          </w:p>
        </w:tc>
        <w:tc>
          <w:tcPr>
            <w:tcW w:type="dxa" w:w="2351"/>
            <w:shd w:val="clear" w:color="auto" w:fill="EBF5FB"/>
          </w:tcPr>
          <w:p>
            <w:r>
              <w:rPr>
                <w:b w:val="0"/>
                <w:sz w:val="18"/>
              </w:rPr>
              <w:t>Log-uniform ∈ [5×10⁻⁷, 1×10⁻⁵]</w:t>
            </w:r>
          </w:p>
        </w:tc>
      </w:tr>
      <w:tr>
        <w:tc>
          <w:tcPr>
            <w:tcW w:type="dxa" w:w="2351"/>
            <w:shd w:val="clear" w:color="auto" w:fill="FDFEFE"/>
          </w:tcPr>
          <w:p>
            <w:r>
              <w:rPr>
                <w:b w:val="0"/>
                <w:sz w:val="18"/>
              </w:rPr>
              <w:t>num_heads</w:t>
            </w:r>
          </w:p>
        </w:tc>
        <w:tc>
          <w:tcPr>
            <w:tcW w:type="dxa" w:w="2351"/>
            <w:shd w:val="clear" w:color="auto" w:fill="FDFEFE"/>
          </w:tcPr>
          <w:p>
            <w:r>
              <w:rPr>
                <w:b w:val="0"/>
                <w:sz w:val="18"/>
              </w:rPr>
              <w:t>{4, 8, 12, 16}</w:t>
            </w:r>
          </w:p>
        </w:tc>
        <w:tc>
          <w:tcPr>
            <w:tcW w:type="dxa" w:w="2351"/>
            <w:shd w:val="clear" w:color="auto" w:fill="FDFEFE"/>
          </w:tcPr>
          <w:p>
            <w:r>
              <w:rPr>
                <w:b w:val="0"/>
                <w:sz w:val="18"/>
              </w:rPr>
              <w:t>weight_decay</w:t>
            </w:r>
          </w:p>
        </w:tc>
        <w:tc>
          <w:tcPr>
            <w:tcW w:type="dxa" w:w="2351"/>
            <w:shd w:val="clear" w:color="auto" w:fill="FDFEFE"/>
          </w:tcPr>
          <w:p>
            <w:r>
              <w:rPr>
                <w:b w:val="0"/>
                <w:sz w:val="18"/>
              </w:rPr>
              <w:t>Log-uniform ∈ [10⁻⁵, 10⁻³]</w:t>
            </w:r>
          </w:p>
        </w:tc>
      </w:tr>
      <w:tr>
        <w:tc>
          <w:tcPr>
            <w:tcW w:type="dxa" w:w="2351"/>
            <w:shd w:val="clear" w:color="auto" w:fill="EBF5FB"/>
          </w:tcPr>
          <w:p>
            <w:r>
              <w:rPr>
                <w:b w:val="0"/>
                <w:sz w:val="18"/>
              </w:rPr>
              <w:t>hidden_dim</w:t>
            </w:r>
          </w:p>
        </w:tc>
        <w:tc>
          <w:tcPr>
            <w:tcW w:type="dxa" w:w="2351"/>
            <w:shd w:val="clear" w:color="auto" w:fill="EBF5FB"/>
          </w:tcPr>
          <w:p>
            <w:r>
              <w:rPr>
                <w:b w:val="0"/>
                <w:sz w:val="18"/>
              </w:rPr>
              <w:t>{256, 512, 768}</w:t>
            </w:r>
          </w:p>
        </w:tc>
        <w:tc>
          <w:tcPr>
            <w:tcW w:type="dxa" w:w="2351"/>
            <w:shd w:val="clear" w:color="auto" w:fill="EBF5FB"/>
          </w:tcPr>
          <w:p>
            <w:r>
              <w:rPr>
                <w:b w:val="0"/>
                <w:sz w:val="18"/>
              </w:rPr>
              <w:t>batch_size</w:t>
            </w:r>
          </w:p>
        </w:tc>
        <w:tc>
          <w:tcPr>
            <w:tcW w:type="dxa" w:w="2351"/>
            <w:shd w:val="clear" w:color="auto" w:fill="EBF5FB"/>
          </w:tcPr>
          <w:p>
            <w:r>
              <w:rPr>
                <w:b w:val="0"/>
                <w:sz w:val="18"/>
              </w:rPr>
              <w:t>{16, 32, 64}</w:t>
            </w:r>
          </w:p>
        </w:tc>
      </w:tr>
      <w:tr>
        <w:tc>
          <w:tcPr>
            <w:tcW w:type="dxa" w:w="2351"/>
            <w:shd w:val="clear" w:color="auto" w:fill="FDFEFE"/>
          </w:tcPr>
          <w:p>
            <w:r>
              <w:rPr>
                <w:b w:val="0"/>
                <w:sz w:val="18"/>
              </w:rPr>
              <w:t>num_classifier_layers</w:t>
            </w:r>
          </w:p>
        </w:tc>
        <w:tc>
          <w:tcPr>
            <w:tcW w:type="dxa" w:w="2351"/>
            <w:shd w:val="clear" w:color="auto" w:fill="FDFEFE"/>
          </w:tcPr>
          <w:p>
            <w:r>
              <w:rPr>
                <w:b w:val="0"/>
                <w:sz w:val="18"/>
              </w:rPr>
              <w:t>ℤ ∈ [3, 5]</w:t>
            </w:r>
          </w:p>
        </w:tc>
        <w:tc>
          <w:tcPr>
            <w:tcW w:type="dxa" w:w="2351"/>
            <w:shd w:val="clear" w:color="auto" w:fill="FDFEFE"/>
          </w:tcPr>
          <w:p>
            <w:r>
              <w:rPr>
                <w:b w:val="0"/>
                <w:sz w:val="18"/>
              </w:rPr>
              <w:t>grad_accum_steps</w:t>
            </w:r>
          </w:p>
        </w:tc>
        <w:tc>
          <w:tcPr>
            <w:tcW w:type="dxa" w:w="2351"/>
            <w:shd w:val="clear" w:color="auto" w:fill="FDFEFE"/>
          </w:tcPr>
          <w:p>
            <w:r>
              <w:rPr>
                <w:b w:val="0"/>
                <w:sz w:val="18"/>
              </w:rPr>
              <w:t>{1, 2, 4, 8}</w:t>
            </w:r>
          </w:p>
        </w:tc>
      </w:tr>
      <w:tr>
        <w:tc>
          <w:tcPr>
            <w:tcW w:type="dxa" w:w="2351"/>
            <w:shd w:val="clear" w:color="auto" w:fill="EBF5FB"/>
          </w:tcPr>
          <w:p>
            <w:r>
              <w:rPr>
                <w:b w:val="0"/>
                <w:sz w:val="18"/>
              </w:rPr>
              <w:t>dropout</w:t>
            </w:r>
          </w:p>
        </w:tc>
        <w:tc>
          <w:tcPr>
            <w:tcW w:type="dxa" w:w="2351"/>
            <w:shd w:val="clear" w:color="auto" w:fill="EBF5FB"/>
          </w:tcPr>
          <w:p>
            <w:r>
              <w:rPr>
                <w:b w:val="0"/>
                <w:sz w:val="18"/>
              </w:rPr>
              <w:t>Uniform ∈ [0.1, 0.6]</w:t>
            </w:r>
          </w:p>
        </w:tc>
        <w:tc>
          <w:tcPr>
            <w:tcW w:type="dxa" w:w="2351"/>
            <w:shd w:val="clear" w:color="auto" w:fill="EBF5FB"/>
          </w:tcPr>
          <w:p>
            <w:r>
              <w:rPr>
                <w:b w:val="0"/>
                <w:sz w:val="18"/>
              </w:rPr>
              <w:t>optimizer</w:t>
            </w:r>
          </w:p>
        </w:tc>
        <w:tc>
          <w:tcPr>
            <w:tcW w:type="dxa" w:w="2351"/>
            <w:shd w:val="clear" w:color="auto" w:fill="EBF5FB"/>
          </w:tcPr>
          <w:p>
            <w:r>
              <w:rPr>
                <w:b w:val="0"/>
                <w:sz w:val="18"/>
              </w:rPr>
              <w:t>{Adam, AdamW, RMSprop, RAdam}</w:t>
            </w:r>
          </w:p>
        </w:tc>
      </w:tr>
      <w:tr>
        <w:tc>
          <w:tcPr>
            <w:tcW w:type="dxa" w:w="2351"/>
            <w:shd w:val="clear" w:color="auto" w:fill="EBF5FB"/>
          </w:tcPr>
          <w:p>
            <w:r>
              <w:rPr>
                <w:b w:val="0"/>
                <w:sz w:val="18"/>
              </w:rPr>
              <w:t>fusion_type</w:t>
            </w:r>
            <w:r>
              <w:rPr>
                <w:b w:val="0"/>
                <w:sz w:val="18"/>
              </w:rPr>
              <w:t>fusion_type</w:t>
            </w:r>
          </w:p>
        </w:tc>
        <w:tc>
          <w:tcPr>
            <w:tcW w:type="dxa" w:w="2351"/>
            <w:shd w:val="clear" w:color="auto" w:fill="EBF5FB"/>
          </w:tcPr>
          <w:p>
            <w:r>
              <w:rPr>
                <w:b w:val="0"/>
                <w:sz w:val="18"/>
              </w:rPr>
              <w:t>{concat, gated, bilinear}</w:t>
            </w:r>
            <w:r>
              <w:rPr>
                <w:b w:val="0"/>
                <w:sz w:val="18"/>
              </w:rPr>
              <w:t>{concat, gated, bilinear}</w:t>
            </w:r>
          </w:p>
        </w:tc>
        <w:tc>
          <w:tcPr>
            <w:tcW w:type="dxa" w:w="2351"/>
            <w:shd w:val="clear" w:color="auto" w:fill="EBF5FB"/>
          </w:tcPr>
          <w:p>
            <w:r>
              <w:rPr>
                <w:b w:val="0"/>
                <w:sz w:val="18"/>
              </w:rPr>
              <w:t>scheduler</w:t>
            </w:r>
            <w:r>
              <w:rPr>
                <w:b w:val="0"/>
                <w:sz w:val="18"/>
              </w:rPr>
              <w:t>scheduler</w:t>
            </w:r>
          </w:p>
        </w:tc>
        <w:tc>
          <w:tcPr>
            <w:tcW w:type="dxa" w:w="2351"/>
            <w:shd w:val="clear" w:color="auto" w:fill="EBF5FB"/>
          </w:tcPr>
          <w:p>
            <w:r>
              <w:rPr>
                <w:b w:val="0"/>
                <w:sz w:val="18"/>
              </w:rPr>
              <w:t>{CosineAnnealingLR, ReduceLROnPlateau,</w:t>
            </w:r>
            <w:r>
              <w:rPr>
                <w:b w:val="0"/>
                <w:sz w:val="18"/>
              </w:rPr>
              <w:t>{CosineAnnealingLR, ReduceLROnPlateau,</w:t>
            </w:r>
          </w:p>
        </w:tc>
      </w:tr>
      <w:tr>
        <w:tc>
          <w:tcPr>
            <w:tcW w:type="dxa" w:w="2351"/>
            <w:shd w:val="clear" w:color="auto" w:fill="FDFEFE"/>
          </w:tcPr>
          <w:p>
            <w:r>
              <w:rPr>
                <w:b w:val="0"/>
                <w:sz w:val="18"/>
              </w:rPr>
            </w:r>
            <w:r>
              <w:rPr>
                <w:b w:val="0"/>
                <w:sz w:val="18"/>
              </w:rPr>
            </w:r>
          </w:p>
        </w:tc>
        <w:tc>
          <w:tcPr>
            <w:tcW w:type="dxa" w:w="2351"/>
            <w:shd w:val="clear" w:color="auto" w:fill="FDFEFE"/>
          </w:tcPr>
          <w:p>
            <w:r>
              <w:rPr>
                <w:b w:val="0"/>
                <w:sz w:val="18"/>
              </w:rPr>
            </w:r>
            <w:r>
              <w:rPr>
                <w:b w:val="0"/>
                <w:sz w:val="18"/>
              </w:rPr>
            </w:r>
          </w:p>
        </w:tc>
        <w:tc>
          <w:tcPr>
            <w:tcW w:type="dxa" w:w="2351"/>
            <w:shd w:val="clear" w:color="auto" w:fill="FDFEFE"/>
          </w:tcPr>
          <w:p>
            <w:r>
              <w:rPr>
                <w:b w:val="0"/>
                <w:sz w:val="18"/>
              </w:rPr>
            </w:r>
            <w:r>
              <w:rPr>
                <w:b w:val="0"/>
                <w:sz w:val="18"/>
              </w:rPr>
            </w:r>
          </w:p>
        </w:tc>
        <w:tc>
          <w:tcPr>
            <w:tcW w:type="dxa" w:w="2351"/>
            <w:shd w:val="clear" w:color="auto" w:fill="FDFEFE"/>
          </w:tcPr>
          <w:p>
            <w:r>
              <w:rPr>
                <w:b w:val="0"/>
                <w:sz w:val="18"/>
              </w:rPr>
              <w:t xml:space="preserve">  OneCycleLR, CosineAnnWarmRestarts, Lambda}</w:t>
            </w:r>
            <w:r>
              <w:rPr>
                <w:b w:val="0"/>
                <w:sz w:val="18"/>
              </w:rPr>
              <w:t xml:space="preserve">  OneCycleLR, CosineAnnWarmRestarts, Lambda}</w:t>
            </w:r>
          </w:p>
        </w:tc>
      </w:tr>
      <w:tr>
        <w:tc>
          <w:tcPr>
            <w:tcW w:type="dxa" w:w="2351"/>
            <w:shd w:val="clear" w:color="auto" w:fill="D6EAF8"/>
          </w:tcPr>
          <w:p>
            <w:r>
              <w:rPr>
                <w:b/>
                <w:sz w:val="18"/>
              </w:rPr>
              <w:t>Best Configuration</w:t>
            </w:r>
          </w:p>
        </w:tc>
        <w:tc>
          <w:tcPr>
            <w:tcW w:type="dxa" w:w="2351"/>
            <w:shd w:val="clear" w:color="auto" w:fill="D6EAF8"/>
          </w:tcPr>
          <w:p>
            <w:r>
              <w:rPr>
                <w:b/>
                <w:sz w:val="18"/>
              </w:rPr>
            </w:r>
          </w:p>
        </w:tc>
        <w:tc>
          <w:tcPr>
            <w:tcW w:type="dxa" w:w="2351"/>
            <w:shd w:val="clear" w:color="auto" w:fill="D6EAF8"/>
          </w:tcPr>
          <w:p>
            <w:r>
              <w:rPr>
                <w:b/>
                <w:sz w:val="18"/>
              </w:rPr>
            </w:r>
          </w:p>
        </w:tc>
        <w:tc>
          <w:tcPr>
            <w:tcW w:type="dxa" w:w="2351"/>
            <w:shd w:val="clear" w:color="auto" w:fill="D6EAF8"/>
          </w:tcPr>
          <w:p>
            <w:r>
              <w:rPr>
                <w:b/>
                <w:sz w:val="18"/>
              </w:rPr>
            </w:r>
          </w:p>
        </w:tc>
      </w:tr>
      <w:tr>
        <w:tc>
          <w:tcPr>
            <w:tcW w:type="dxa" w:w="2351"/>
          </w:tcPr>
          <w:p>
            <w:r>
              <w:rPr>
                <w:b w:val="0"/>
                <w:sz w:val="18"/>
              </w:rPr>
              <w:t>unfreeze=12, heads=8, hidden=768, dropout=0.30, layers=4, fusion=gated</w:t>
            </w:r>
          </w:p>
        </w:tc>
        <w:tc>
          <w:tcPr>
            <w:tcW w:type="dxa" w:w="2351"/>
          </w:tcPr>
          <w:p>
            <w:r>
              <w:rPr>
                <w:b w:val="0"/>
                <w:sz w:val="18"/>
              </w:rPr>
            </w:r>
          </w:p>
        </w:tc>
        <w:tc>
          <w:tcPr>
            <w:tcW w:type="dxa" w:w="2351"/>
          </w:tcPr>
          <w:p>
            <w:r>
              <w:rPr>
                <w:b w:val="0"/>
                <w:sz w:val="18"/>
              </w:rPr>
            </w:r>
          </w:p>
        </w:tc>
        <w:tc>
          <w:tcPr>
            <w:tcW w:type="dxa" w:w="2351"/>
          </w:tcPr>
          <w:p>
            <w:r>
              <w:rPr>
                <w:b w:val="0"/>
                <w:sz w:val="18"/>
              </w:rPr>
            </w:r>
          </w:p>
        </w:tc>
      </w:tr>
    </w:tbl>
    <w:p/>
    <w:p>
      <w:r>
        <w:rPr>
          <w:i w:val="0"/>
        </w:rPr>
        <w:t>Best hyperparameters (production model):  unfreeze_layers = 12,  num_heads = 8,  hidden_dim = 768,  dropout = 0.30,  num_classifier_layers = 4,  fusion_type = gated,  batch_size = 32,  learning_rate = 1×10⁻⁵,  weight_decay = 0.01,  optimizer = AdamW,  scheduler = LambdaLR (cosine warm-up).</w:t>
      </w:r>
    </w:p>
    <w:p>
      <w:pPr>
        <w:pStyle w:val="Heading1"/>
        <w:jc w:val="left"/>
      </w:pPr>
      <w:r>
        <w:t>8.  Results and Comparison</w:t>
      </w:r>
    </w:p>
    <w:p>
      <w:r>
        <w:rPr>
          <w:i w:val="0"/>
        </w:rPr>
        <w:t>Table 2 summarises performance on the held-out test set (n = 952).  The decision threshold is fixed at 0.5.  The Brier score and Matthews Correlation Coefficient (MCC) provide calibration and balanced-accuracy assessments, respectively.</w:t>
      </w:r>
    </w:p>
    <w:p>
      <w:r>
        <w:rPr>
          <w:b/>
          <w:i w:val="0"/>
        </w:rPr>
        <w:t xml:space="preserve">Table 2.  </w:t>
      </w:r>
      <w:r>
        <w:rPr>
          <w:b w:val="0"/>
          <w:i w:val="0"/>
        </w:rPr>
        <w:t>Test-set performance of FineTunedBERTaECFP.</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sz w:val="19"/>
              </w:rPr>
              <w:t>Metric</w:t>
            </w:r>
          </w:p>
        </w:tc>
        <w:tc>
          <w:tcPr>
            <w:tcW w:type="dxa" w:w="4703"/>
            <w:shd w:val="clear" w:color="auto" w:fill="1F497D"/>
          </w:tcPr>
          <w:p>
            <w:pPr>
              <w:jc w:val="center"/>
            </w:pPr>
            <w:r>
              <w:rPr>
                <w:b/>
                <w:color w:val="FFFFFF"/>
                <w:sz w:val="19"/>
              </w:rPr>
              <w:t>Score</w:t>
            </w:r>
          </w:p>
        </w:tc>
      </w:tr>
      <w:tr>
        <w:tc>
          <w:tcPr>
            <w:tcW w:type="dxa" w:w="4703"/>
            <w:shd w:val="clear" w:color="auto" w:fill="EBF5FB"/>
          </w:tcPr>
          <w:p>
            <w:pPr>
              <w:jc w:val="center"/>
            </w:pPr>
            <w:r>
              <w:rPr>
                <w:b w:val="0"/>
                <w:sz w:val="18"/>
              </w:rPr>
              <w:t>AUROC</w:t>
            </w:r>
          </w:p>
        </w:tc>
        <w:tc>
          <w:tcPr>
            <w:tcW w:type="dxa" w:w="4703"/>
            <w:shd w:val="clear" w:color="auto" w:fill="EBF5FB"/>
          </w:tcPr>
          <w:p>
            <w:pPr>
              <w:jc w:val="center"/>
            </w:pPr>
            <w:r>
              <w:rPr>
                <w:b w:val="0"/>
                <w:sz w:val="18"/>
              </w:rPr>
              <w:t>95.39 %</w:t>
            </w:r>
          </w:p>
        </w:tc>
      </w:tr>
      <w:tr>
        <w:tc>
          <w:tcPr>
            <w:tcW w:type="dxa" w:w="4703"/>
            <w:shd w:val="clear" w:color="auto" w:fill="FDFEFE"/>
          </w:tcPr>
          <w:p>
            <w:pPr>
              <w:jc w:val="center"/>
            </w:pPr>
            <w:r>
              <w:rPr>
                <w:b w:val="0"/>
                <w:sz w:val="18"/>
              </w:rPr>
              <w:t>Balanced Accuracy</w:t>
            </w:r>
          </w:p>
        </w:tc>
        <w:tc>
          <w:tcPr>
            <w:tcW w:type="dxa" w:w="4703"/>
            <w:shd w:val="clear" w:color="auto" w:fill="FDFEFE"/>
          </w:tcPr>
          <w:p>
            <w:pPr>
              <w:jc w:val="center"/>
            </w:pPr>
            <w:r>
              <w:rPr>
                <w:b w:val="0"/>
                <w:sz w:val="18"/>
              </w:rPr>
              <w:t>92.01 %</w:t>
            </w:r>
          </w:p>
        </w:tc>
      </w:tr>
      <w:tr>
        <w:tc>
          <w:tcPr>
            <w:tcW w:type="dxa" w:w="4703"/>
            <w:shd w:val="clear" w:color="auto" w:fill="EBF5FB"/>
          </w:tcPr>
          <w:p>
            <w:pPr>
              <w:jc w:val="center"/>
            </w:pPr>
            <w:r>
              <w:rPr>
                <w:b w:val="0"/>
                <w:sz w:val="18"/>
              </w:rPr>
              <w:t>Accuracy</w:t>
            </w:r>
          </w:p>
        </w:tc>
        <w:tc>
          <w:tcPr>
            <w:tcW w:type="dxa" w:w="4703"/>
            <w:shd w:val="clear" w:color="auto" w:fill="EBF5FB"/>
          </w:tcPr>
          <w:p>
            <w:pPr>
              <w:jc w:val="center"/>
            </w:pPr>
            <w:r>
              <w:rPr>
                <w:b w:val="0"/>
                <w:sz w:val="18"/>
              </w:rPr>
              <w:t>96.90 %</w:t>
            </w:r>
          </w:p>
        </w:tc>
      </w:tr>
      <w:tr>
        <w:tc>
          <w:tcPr>
            <w:tcW w:type="dxa" w:w="4703"/>
            <w:shd w:val="clear" w:color="auto" w:fill="FDFEFE"/>
          </w:tcPr>
          <w:p>
            <w:pPr>
              <w:jc w:val="center"/>
            </w:pPr>
            <w:r>
              <w:rPr>
                <w:b w:val="0"/>
                <w:sz w:val="18"/>
              </w:rPr>
              <w:t>Precision</w:t>
            </w:r>
          </w:p>
        </w:tc>
        <w:tc>
          <w:tcPr>
            <w:tcW w:type="dxa" w:w="4703"/>
            <w:shd w:val="clear" w:color="auto" w:fill="FDFEFE"/>
          </w:tcPr>
          <w:p>
            <w:pPr>
              <w:jc w:val="center"/>
            </w:pPr>
            <w:r>
              <w:rPr>
                <w:b w:val="0"/>
                <w:sz w:val="18"/>
              </w:rPr>
              <w:t>97.12 %</w:t>
            </w:r>
          </w:p>
        </w:tc>
      </w:tr>
      <w:tr>
        <w:tc>
          <w:tcPr>
            <w:tcW w:type="dxa" w:w="4703"/>
            <w:shd w:val="clear" w:color="auto" w:fill="EBF5FB"/>
          </w:tcPr>
          <w:p>
            <w:pPr>
              <w:jc w:val="center"/>
            </w:pPr>
            <w:r>
              <w:rPr>
                <w:b w:val="0"/>
                <w:sz w:val="18"/>
              </w:rPr>
              <w:t>Recall / Sensitivity</w:t>
            </w:r>
          </w:p>
        </w:tc>
        <w:tc>
          <w:tcPr>
            <w:tcW w:type="dxa" w:w="4703"/>
            <w:shd w:val="clear" w:color="auto" w:fill="EBF5FB"/>
          </w:tcPr>
          <w:p>
            <w:pPr>
              <w:jc w:val="center"/>
            </w:pPr>
            <w:r>
              <w:rPr>
                <w:b w:val="0"/>
                <w:sz w:val="18"/>
              </w:rPr>
              <w:t>96.24 %</w:t>
            </w:r>
          </w:p>
        </w:tc>
      </w:tr>
      <w:tr>
        <w:tc>
          <w:tcPr>
            <w:tcW w:type="dxa" w:w="4703"/>
            <w:shd w:val="clear" w:color="auto" w:fill="FDFEFE"/>
          </w:tcPr>
          <w:p>
            <w:pPr>
              <w:jc w:val="center"/>
            </w:pPr>
            <w:r>
              <w:rPr>
                <w:b w:val="0"/>
                <w:sz w:val="18"/>
              </w:rPr>
              <w:t>Specificity</w:t>
            </w:r>
          </w:p>
        </w:tc>
        <w:tc>
          <w:tcPr>
            <w:tcW w:type="dxa" w:w="4703"/>
            <w:shd w:val="clear" w:color="auto" w:fill="FDFEFE"/>
          </w:tcPr>
          <w:p>
            <w:pPr>
              <w:jc w:val="center"/>
            </w:pPr>
            <w:r>
              <w:rPr>
                <w:b w:val="0"/>
                <w:sz w:val="18"/>
              </w:rPr>
              <w:t>87.79 %</w:t>
            </w:r>
          </w:p>
        </w:tc>
      </w:tr>
      <w:tr>
        <w:tc>
          <w:tcPr>
            <w:tcW w:type="dxa" w:w="4703"/>
            <w:shd w:val="clear" w:color="auto" w:fill="EBF5FB"/>
          </w:tcPr>
          <w:p>
            <w:pPr>
              <w:jc w:val="center"/>
            </w:pPr>
            <w:r>
              <w:rPr>
                <w:b w:val="0"/>
                <w:sz w:val="18"/>
              </w:rPr>
              <w:t>F1 Score</w:t>
            </w:r>
          </w:p>
        </w:tc>
        <w:tc>
          <w:tcPr>
            <w:tcW w:type="dxa" w:w="4703"/>
            <w:shd w:val="clear" w:color="auto" w:fill="EBF5FB"/>
          </w:tcPr>
          <w:p>
            <w:pPr>
              <w:jc w:val="center"/>
            </w:pPr>
            <w:r>
              <w:rPr>
                <w:b w:val="0"/>
                <w:sz w:val="18"/>
              </w:rPr>
              <w:t>96.68 %</w:t>
            </w:r>
          </w:p>
        </w:tc>
      </w:tr>
      <w:tr>
        <w:tc>
          <w:tcPr>
            <w:tcW w:type="dxa" w:w="4703"/>
            <w:shd w:val="clear" w:color="auto" w:fill="FDFEFE"/>
          </w:tcPr>
          <w:p>
            <w:pPr>
              <w:jc w:val="center"/>
            </w:pPr>
            <w:r>
              <w:rPr>
                <w:b w:val="0"/>
                <w:sz w:val="18"/>
              </w:rPr>
              <w:t>MCC</w:t>
            </w:r>
          </w:p>
        </w:tc>
        <w:tc>
          <w:tcPr>
            <w:tcW w:type="dxa" w:w="4703"/>
            <w:shd w:val="clear" w:color="auto" w:fill="FDFEFE"/>
          </w:tcPr>
          <w:p>
            <w:pPr>
              <w:jc w:val="center"/>
            </w:pPr>
            <w:r>
              <w:rPr>
                <w:b w:val="0"/>
                <w:sz w:val="18"/>
              </w:rPr>
              <w:t>0.8281</w:t>
            </w:r>
          </w:p>
        </w:tc>
      </w:tr>
      <w:tr>
        <w:tc>
          <w:tcPr>
            <w:tcW w:type="dxa" w:w="4703"/>
            <w:shd w:val="clear" w:color="auto" w:fill="EBF5FB"/>
          </w:tcPr>
          <w:p>
            <w:pPr>
              <w:jc w:val="center"/>
            </w:pPr>
            <w:r>
              <w:rPr>
                <w:b w:val="0"/>
                <w:sz w:val="18"/>
              </w:rPr>
              <w:t>AUPRC</w:t>
            </w:r>
          </w:p>
        </w:tc>
        <w:tc>
          <w:tcPr>
            <w:tcW w:type="dxa" w:w="4703"/>
            <w:shd w:val="clear" w:color="auto" w:fill="EBF5FB"/>
          </w:tcPr>
          <w:p>
            <w:pPr>
              <w:jc w:val="center"/>
            </w:pPr>
            <w:r>
              <w:rPr>
                <w:b w:val="0"/>
                <w:sz w:val="18"/>
              </w:rPr>
              <w:t>—</w:t>
            </w:r>
          </w:p>
        </w:tc>
      </w:tr>
      <w:tr>
        <w:tc>
          <w:tcPr>
            <w:tcW w:type="dxa" w:w="4703"/>
            <w:shd w:val="clear" w:color="auto" w:fill="FDFEFE"/>
          </w:tcPr>
          <w:p>
            <w:pPr>
              <w:jc w:val="center"/>
            </w:pPr>
            <w:r>
              <w:rPr>
                <w:b w:val="0"/>
                <w:sz w:val="18"/>
              </w:rPr>
              <w:t>Brier Score</w:t>
            </w:r>
          </w:p>
        </w:tc>
        <w:tc>
          <w:tcPr>
            <w:tcW w:type="dxa" w:w="4703"/>
            <w:shd w:val="clear" w:color="auto" w:fill="FDFEFE"/>
          </w:tcPr>
          <w:p>
            <w:pPr>
              <w:jc w:val="center"/>
            </w:pPr>
            <w:r>
              <w:rPr>
                <w:b w:val="0"/>
                <w:sz w:val="18"/>
              </w:rPr>
              <w:t>—</w:t>
            </w:r>
          </w:p>
        </w:tc>
      </w:tr>
      <w:tr>
        <w:tc>
          <w:tcPr>
            <w:tcW w:type="dxa" w:w="4703"/>
            <w:shd w:val="clear" w:color="auto" w:fill="EBF5FB"/>
          </w:tcPr>
          <w:p>
            <w:pPr>
              <w:jc w:val="center"/>
            </w:pPr>
            <w:r>
              <w:rPr>
                <w:b w:val="0"/>
                <w:sz w:val="18"/>
              </w:rPr>
              <w:t>NPV</w:t>
            </w:r>
          </w:p>
        </w:tc>
        <w:tc>
          <w:tcPr>
            <w:tcW w:type="dxa" w:w="4703"/>
            <w:shd w:val="clear" w:color="auto" w:fill="EBF5FB"/>
          </w:tcPr>
          <w:p>
            <w:pPr>
              <w:jc w:val="center"/>
            </w:pPr>
            <w:r>
              <w:rPr>
                <w:b w:val="0"/>
                <w:sz w:val="18"/>
              </w:rPr>
              <w:t>—</w:t>
            </w:r>
          </w:p>
        </w:tc>
      </w:tr>
      <w:tr>
        <w:tc>
          <w:tcPr>
            <w:tcW w:type="dxa" w:w="4703"/>
            <w:shd w:val="clear" w:color="auto" w:fill="FDFEFE"/>
          </w:tcPr>
          <w:p>
            <w:pPr>
              <w:jc w:val="center"/>
            </w:pPr>
            <w:r>
              <w:rPr>
                <w:b w:val="0"/>
                <w:sz w:val="18"/>
              </w:rPr>
              <w:t>DOR</w:t>
            </w:r>
          </w:p>
        </w:tc>
        <w:tc>
          <w:tcPr>
            <w:tcW w:type="dxa" w:w="4703"/>
            <w:shd w:val="clear" w:color="auto" w:fill="FDFEFE"/>
          </w:tcPr>
          <w:p>
            <w:pPr>
              <w:jc w:val="center"/>
            </w:pPr>
            <w:r>
              <w:rPr>
                <w:b w:val="0"/>
                <w:sz w:val="18"/>
              </w:rPr>
              <w:t>—</w:t>
            </w:r>
          </w:p>
        </w:tc>
      </w:tr>
    </w:tbl>
    <w:p/>
    <w:p>
      <w:r>
        <w:rPr>
          <w:b/>
          <w:i w:val="0"/>
        </w:rPr>
        <w:t xml:space="preserve">Table 3.  </w:t>
      </w:r>
      <w:r>
        <w:rPr>
          <w:b w:val="0"/>
          <w:i w:val="0"/>
        </w:rPr>
        <w:t>Regression sub-task results (pIC₅₀ prediction).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sz w:val="19"/>
              </w:rPr>
              <w:t>Metric</w:t>
            </w:r>
          </w:p>
        </w:tc>
        <w:tc>
          <w:tcPr>
            <w:tcW w:type="dxa" w:w="4703"/>
            <w:shd w:val="clear" w:color="auto" w:fill="1F497D"/>
          </w:tcPr>
          <w:p>
            <w:pPr>
              <w:jc w:val="center"/>
            </w:pPr>
            <w:r>
              <w:rPr>
                <w:b/>
                <w:color w:val="FFFFFF"/>
                <w:sz w:val="19"/>
              </w:rPr>
              <w:t>Score</w:t>
            </w:r>
          </w:p>
        </w:tc>
      </w:tr>
      <w:tr>
        <w:tc>
          <w:tcPr>
            <w:tcW w:type="dxa" w:w="4703"/>
            <w:shd w:val="clear" w:color="auto" w:fill="EBF5FB"/>
          </w:tcPr>
          <w:p>
            <w:pPr>
              <w:jc w:val="center"/>
            </w:pPr>
            <w:r>
              <w:rPr>
                <w:b w:val="0"/>
                <w:sz w:val="18"/>
              </w:rPr>
              <w:t>R² (Coefficient of Determination)</w:t>
            </w:r>
          </w:p>
        </w:tc>
        <w:tc>
          <w:tcPr>
            <w:tcW w:type="dxa" w:w="4703"/>
            <w:shd w:val="clear" w:color="auto" w:fill="EBF5FB"/>
          </w:tcPr>
          <w:p>
            <w:pPr>
              <w:jc w:val="center"/>
            </w:pPr>
            <w:r>
              <w:rPr>
                <w:b w:val="0"/>
                <w:sz w:val="18"/>
              </w:rPr>
              <w:t>0.7006</w:t>
            </w:r>
          </w:p>
        </w:tc>
      </w:tr>
      <w:tr>
        <w:tc>
          <w:tcPr>
            <w:tcW w:type="dxa" w:w="4703"/>
            <w:shd w:val="clear" w:color="auto" w:fill="FDFEFE"/>
          </w:tcPr>
          <w:p>
            <w:pPr>
              <w:jc w:val="center"/>
            </w:pPr>
            <w:r>
              <w:rPr>
                <w:b w:val="0"/>
                <w:sz w:val="18"/>
              </w:rPr>
              <w:t>RMSE (Root Mean Square Error)</w:t>
            </w:r>
          </w:p>
        </w:tc>
        <w:tc>
          <w:tcPr>
            <w:tcW w:type="dxa" w:w="4703"/>
            <w:shd w:val="clear" w:color="auto" w:fill="FDFEFE"/>
          </w:tcPr>
          <w:p>
            <w:pPr>
              <w:jc w:val="center"/>
            </w:pPr>
            <w:r>
              <w:rPr>
                <w:b w:val="0"/>
                <w:sz w:val="18"/>
              </w:rPr>
              <w:t>0.7055  log units</w:t>
            </w:r>
          </w:p>
        </w:tc>
      </w:tr>
      <w:tr>
        <w:tc>
          <w:tcPr>
            <w:tcW w:type="dxa" w:w="4703"/>
            <w:shd w:val="clear" w:color="auto" w:fill="EBF5FB"/>
          </w:tcPr>
          <w:p>
            <w:pPr>
              <w:jc w:val="center"/>
            </w:pPr>
            <w:r>
              <w:rPr>
                <w:b w:val="0"/>
                <w:sz w:val="18"/>
              </w:rPr>
              <w:t>MAE (Mean Absolute Error)</w:t>
            </w:r>
          </w:p>
        </w:tc>
        <w:tc>
          <w:tcPr>
            <w:tcW w:type="dxa" w:w="4703"/>
            <w:shd w:val="clear" w:color="auto" w:fill="EBF5FB"/>
          </w:tcPr>
          <w:p>
            <w:pPr>
              <w:jc w:val="center"/>
            </w:pPr>
            <w:r>
              <w:rPr>
                <w:b w:val="0"/>
                <w:sz w:val="18"/>
              </w:rPr>
              <w:t>0.4932  log units</w:t>
            </w:r>
          </w:p>
        </w:tc>
      </w:tr>
      <w:tr>
        <w:tc>
          <w:tcPr>
            <w:tcW w:type="dxa" w:w="4703"/>
            <w:shd w:val="clear" w:color="auto" w:fill="FDFEFE"/>
          </w:tcPr>
          <w:p>
            <w:pPr>
              <w:jc w:val="center"/>
            </w:pPr>
            <w:r>
              <w:rPr>
                <w:b w:val="0"/>
                <w:sz w:val="18"/>
              </w:rPr>
              <w:t>Pearson Correlation (r)</w:t>
            </w:r>
          </w:p>
        </w:tc>
        <w:tc>
          <w:tcPr>
            <w:tcW w:type="dxa" w:w="4703"/>
            <w:shd w:val="clear" w:color="auto" w:fill="FDFEFE"/>
          </w:tcPr>
          <w:p>
            <w:pPr>
              <w:jc w:val="center"/>
            </w:pPr>
            <w:r>
              <w:rPr>
                <w:b w:val="0"/>
                <w:sz w:val="18"/>
              </w:rPr>
              <w:t>0.837</w:t>
            </w:r>
          </w:p>
        </w:tc>
      </w:tr>
    </w:tbl>
    <w:p/>
    <w:p>
      <w:r>
        <w:rPr>
          <w:b/>
          <w:i w:val="0"/>
        </w:rPr>
        <w:t xml:space="preserve">Table 4.  </w:t>
      </w:r>
      <w:r>
        <w:rPr>
          <w:b w:val="0"/>
          <w:i w:val="0"/>
        </w:rPr>
        <w:t>Comparison against baseline classifiers.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9"/>
              </w:rPr>
              <w:t>Model</w:t>
            </w:r>
          </w:p>
        </w:tc>
        <w:tc>
          <w:tcPr>
            <w:tcW w:type="dxa" w:w="2351"/>
            <w:shd w:val="clear" w:color="auto" w:fill="1F497D"/>
          </w:tcPr>
          <w:p>
            <w:pPr>
              <w:jc w:val="center"/>
            </w:pPr>
            <w:r>
              <w:rPr>
                <w:b/>
                <w:color w:val="FFFFFF"/>
                <w:sz w:val="19"/>
              </w:rPr>
              <w:t>AUROC</w:t>
            </w:r>
          </w:p>
        </w:tc>
        <w:tc>
          <w:tcPr>
            <w:tcW w:type="dxa" w:w="2351"/>
            <w:shd w:val="clear" w:color="auto" w:fill="1F497D"/>
          </w:tcPr>
          <w:p>
            <w:pPr>
              <w:jc w:val="center"/>
            </w:pPr>
            <w:r>
              <w:rPr>
                <w:b/>
                <w:color w:val="FFFFFF"/>
                <w:sz w:val="19"/>
              </w:rPr>
              <w:t>Balanced Acc.</w:t>
            </w:r>
          </w:p>
        </w:tc>
        <w:tc>
          <w:tcPr>
            <w:tcW w:type="dxa" w:w="2351"/>
            <w:shd w:val="clear" w:color="auto" w:fill="1F497D"/>
          </w:tcPr>
          <w:p>
            <w:pPr>
              <w:jc w:val="center"/>
            </w:pPr>
            <w:r>
              <w:rPr>
                <w:b/>
                <w:color w:val="FFFFFF"/>
                <w:sz w:val="19"/>
              </w:rPr>
              <w:t>MCC</w:t>
            </w:r>
          </w:p>
        </w:tc>
      </w:tr>
      <w:tr>
        <w:tc>
          <w:tcPr>
            <w:tcW w:type="dxa" w:w="2351"/>
            <w:shd w:val="clear" w:color="auto" w:fill="D5F5E3"/>
          </w:tcPr>
          <w:p>
            <w:pPr>
              <w:jc w:val="center"/>
            </w:pPr>
            <w:r>
              <w:rPr>
                <w:b/>
                <w:sz w:val="18"/>
              </w:rPr>
              <w:t>FineTunedBERTaECFP (proposed)</w:t>
            </w:r>
          </w:p>
        </w:tc>
        <w:tc>
          <w:tcPr>
            <w:tcW w:type="dxa" w:w="2351"/>
            <w:shd w:val="clear" w:color="auto" w:fill="D5F5E3"/>
          </w:tcPr>
          <w:p>
            <w:pPr>
              <w:jc w:val="center"/>
            </w:pPr>
            <w:r>
              <w:rPr>
                <w:b/>
                <w:sz w:val="18"/>
              </w:rPr>
              <w:t>95.39 %</w:t>
            </w:r>
          </w:p>
        </w:tc>
        <w:tc>
          <w:tcPr>
            <w:tcW w:type="dxa" w:w="2351"/>
            <w:shd w:val="clear" w:color="auto" w:fill="D5F5E3"/>
          </w:tcPr>
          <w:p>
            <w:pPr>
              <w:jc w:val="center"/>
            </w:pPr>
            <w:r>
              <w:rPr>
                <w:b/>
                <w:sz w:val="18"/>
              </w:rPr>
              <w:t>92.01 %</w:t>
            </w:r>
          </w:p>
        </w:tc>
        <w:tc>
          <w:tcPr>
            <w:tcW w:type="dxa" w:w="2351"/>
            <w:shd w:val="clear" w:color="auto" w:fill="D5F5E3"/>
          </w:tcPr>
          <w:p>
            <w:pPr>
              <w:jc w:val="center"/>
            </w:pPr>
            <w:r>
              <w:rPr>
                <w:b/>
                <w:sz w:val="18"/>
              </w:rPr>
              <w:t>0.8281</w:t>
            </w:r>
          </w:p>
        </w:tc>
      </w:tr>
      <w:tr>
        <w:tc>
          <w:tcPr>
            <w:tcW w:type="dxa" w:w="2351"/>
            <w:shd w:val="clear" w:color="auto" w:fill="FDFEFE"/>
          </w:tcPr>
          <w:p>
            <w:pPr>
              <w:jc w:val="center"/>
            </w:pPr>
            <w:r>
              <w:rPr>
                <w:b w:val="0"/>
                <w:sz w:val="18"/>
              </w:rPr>
              <w:t>ChemBERTa-zinc (fine-tuned)</w:t>
            </w:r>
          </w:p>
        </w:tc>
        <w:tc>
          <w:tcPr>
            <w:tcW w:type="dxa" w:w="2351"/>
            <w:shd w:val="clear" w:color="auto" w:fill="FDFEFE"/>
          </w:tcPr>
          <w:p>
            <w:pPr>
              <w:jc w:val="center"/>
            </w:pPr>
            <w:r>
              <w:rPr>
                <w:b w:val="0"/>
                <w:sz w:val="18"/>
              </w:rPr>
              <w:t>~93 %</w:t>
            </w:r>
          </w:p>
        </w:tc>
        <w:tc>
          <w:tcPr>
            <w:tcW w:type="dxa" w:w="2351"/>
            <w:shd w:val="clear" w:color="auto" w:fill="FDFEFE"/>
          </w:tcPr>
          <w:p>
            <w:pPr>
              <w:jc w:val="center"/>
            </w:pPr>
            <w:r>
              <w:rPr>
                <w:b w:val="0"/>
                <w:sz w:val="18"/>
              </w:rPr>
              <w:t>~89 %</w:t>
            </w:r>
          </w:p>
        </w:tc>
        <w:tc>
          <w:tcPr>
            <w:tcW w:type="dxa" w:w="2351"/>
            <w:shd w:val="clear" w:color="auto" w:fill="FDFEFE"/>
          </w:tcPr>
          <w:p>
            <w:pPr>
              <w:jc w:val="center"/>
            </w:pPr>
            <w:r>
              <w:rPr>
                <w:b w:val="0"/>
                <w:sz w:val="18"/>
              </w:rPr>
              <w:t>—</w:t>
            </w:r>
          </w:p>
        </w:tc>
      </w:tr>
      <w:tr>
        <w:tc>
          <w:tcPr>
            <w:tcW w:type="dxa" w:w="2351"/>
            <w:shd w:val="clear" w:color="auto" w:fill="EBF5FB"/>
          </w:tcPr>
          <w:p>
            <w:pPr>
              <w:jc w:val="center"/>
            </w:pPr>
            <w:r>
              <w:rPr>
                <w:b w:val="0"/>
                <w:sz w:val="18"/>
              </w:rPr>
              <w:t>Random Forest</w:t>
            </w:r>
          </w:p>
        </w:tc>
        <w:tc>
          <w:tcPr>
            <w:tcW w:type="dxa" w:w="2351"/>
            <w:shd w:val="clear" w:color="auto" w:fill="EBF5FB"/>
          </w:tcPr>
          <w:p>
            <w:pPr>
              <w:jc w:val="center"/>
            </w:pPr>
            <w:r>
              <w:rPr>
                <w:b w:val="0"/>
                <w:sz w:val="18"/>
              </w:rPr>
              <w:t>89.90 %</w:t>
            </w:r>
          </w:p>
        </w:tc>
        <w:tc>
          <w:tcPr>
            <w:tcW w:type="dxa" w:w="2351"/>
            <w:shd w:val="clear" w:color="auto" w:fill="EBF5FB"/>
          </w:tcPr>
          <w:p>
            <w:pPr>
              <w:jc w:val="center"/>
            </w:pPr>
            <w:r>
              <w:rPr>
                <w:b w:val="0"/>
                <w:sz w:val="18"/>
              </w:rPr>
              <w:t>—</w:t>
            </w:r>
          </w:p>
        </w:tc>
        <w:tc>
          <w:tcPr>
            <w:tcW w:type="dxa" w:w="2351"/>
            <w:shd w:val="clear" w:color="auto" w:fill="EBF5FB"/>
          </w:tcPr>
          <w:p>
            <w:pPr>
              <w:jc w:val="center"/>
            </w:pPr>
            <w:r>
              <w:rPr>
                <w:b w:val="0"/>
                <w:sz w:val="18"/>
              </w:rPr>
              <w:t>—</w:t>
            </w:r>
          </w:p>
        </w:tc>
      </w:tr>
      <w:tr>
        <w:tc>
          <w:tcPr>
            <w:tcW w:type="dxa" w:w="2351"/>
            <w:shd w:val="clear" w:color="auto" w:fill="FDFEFE"/>
          </w:tcPr>
          <w:p>
            <w:pPr>
              <w:jc w:val="center"/>
            </w:pPr>
            <w:r>
              <w:rPr>
                <w:b w:val="0"/>
                <w:sz w:val="18"/>
              </w:rPr>
              <w:t>XGBoost</w:t>
            </w:r>
          </w:p>
        </w:tc>
        <w:tc>
          <w:tcPr>
            <w:tcW w:type="dxa" w:w="2351"/>
            <w:shd w:val="clear" w:color="auto" w:fill="FDFEFE"/>
          </w:tcPr>
          <w:p>
            <w:pPr>
              <w:jc w:val="center"/>
            </w:pPr>
            <w:r>
              <w:rPr>
                <w:b w:val="0"/>
                <w:sz w:val="18"/>
              </w:rPr>
              <w:t>~88 %</w:t>
            </w:r>
          </w:p>
        </w:tc>
        <w:tc>
          <w:tcPr>
            <w:tcW w:type="dxa" w:w="2351"/>
            <w:shd w:val="clear" w:color="auto" w:fill="FDFEFE"/>
          </w:tcPr>
          <w:p>
            <w:pPr>
              <w:jc w:val="center"/>
            </w:pPr>
            <w:r>
              <w:rPr>
                <w:b w:val="0"/>
                <w:sz w:val="18"/>
              </w:rPr>
              <w:t>—</w:t>
            </w:r>
          </w:p>
        </w:tc>
        <w:tc>
          <w:tcPr>
            <w:tcW w:type="dxa" w:w="2351"/>
            <w:shd w:val="clear" w:color="auto" w:fill="FDFEFE"/>
          </w:tcPr>
          <w:p>
            <w:pPr>
              <w:jc w:val="center"/>
            </w:pPr>
            <w:r>
              <w:rPr>
                <w:b w:val="0"/>
                <w:sz w:val="18"/>
              </w:rPr>
              <w:t>—</w:t>
            </w:r>
          </w:p>
        </w:tc>
      </w:tr>
      <w:tr>
        <w:tc>
          <w:tcPr>
            <w:tcW w:type="dxa" w:w="2351"/>
            <w:shd w:val="clear" w:color="auto" w:fill="EBF5FB"/>
          </w:tcPr>
          <w:p>
            <w:pPr>
              <w:jc w:val="center"/>
            </w:pPr>
            <w:r>
              <w:rPr>
                <w:b w:val="0"/>
                <w:sz w:val="18"/>
              </w:rPr>
              <w:t>Logistic Regression</w:t>
            </w:r>
          </w:p>
        </w:tc>
        <w:tc>
          <w:tcPr>
            <w:tcW w:type="dxa" w:w="2351"/>
            <w:shd w:val="clear" w:color="auto" w:fill="EBF5FB"/>
          </w:tcPr>
          <w:p>
            <w:pPr>
              <w:jc w:val="center"/>
            </w:pPr>
            <w:r>
              <w:rPr>
                <w:b w:val="0"/>
                <w:sz w:val="18"/>
              </w:rPr>
              <w:t>72.43 %</w:t>
            </w:r>
          </w:p>
        </w:tc>
        <w:tc>
          <w:tcPr>
            <w:tcW w:type="dxa" w:w="2351"/>
            <w:shd w:val="clear" w:color="auto" w:fill="EBF5FB"/>
          </w:tcPr>
          <w:p>
            <w:pPr>
              <w:jc w:val="center"/>
            </w:pPr>
            <w:r>
              <w:rPr>
                <w:b w:val="0"/>
                <w:sz w:val="18"/>
              </w:rPr>
              <w:t>—</w:t>
            </w:r>
          </w:p>
        </w:tc>
        <w:tc>
          <w:tcPr>
            <w:tcW w:type="dxa" w:w="2351"/>
            <w:shd w:val="clear" w:color="auto" w:fill="EBF5FB"/>
          </w:tcPr>
          <w:p>
            <w:pPr>
              <w:jc w:val="center"/>
            </w:pPr>
            <w:r>
              <w:rPr>
                <w:b w:val="0"/>
                <w:sz w:val="18"/>
              </w:rPr>
              <w:t>—</w:t>
            </w:r>
          </w:p>
        </w:tc>
      </w:tr>
    </w:tbl>
    <w:p>
      <w:pPr>
        <w:pStyle w:val="Heading1"/>
        <w:jc w:val="left"/>
      </w:pPr>
      <w:r>
        <w:t>9.  Key Methodological Contributions</w:t>
      </w:r>
    </w:p>
    <w:p>
      <w:r>
        <w:rPr>
          <w:i w:val="0"/>
        </w:rPr>
        <w:t>(1)  Heterogeneous multimodal fusion:  SMILES sequence, binary fingerprint, and real-valued descriptor streams are projected into a shared latent space, enabling complementary information to be jointly exploited.</w:t>
      </w:r>
    </w:p>
    <w:p>
      <w:r>
        <w:rPr>
          <w:i w:val="0"/>
        </w:rPr>
        <w:t>(2)  Selective fine-tuning:  Only the last five transformer encoder layers of MoLFormer-XL are updated during training, striking a balance between task specialisation and preservation of broadly applicable chemical representations learned during pre-training.</w:t>
      </w:r>
    </w:p>
    <w:p>
      <w:r>
        <w:rPr>
          <w:i w:val="0"/>
        </w:rPr>
        <w:t>(3)  Cross-modal attention:  By treating fingerprint and descriptor embeddings as queries and the SMILES representation as key–value memory, the network dynamically weights which structural and physicochemical features are most informative for each molecule.</w:t>
      </w:r>
    </w:p>
    <w:p>
      <w:r>
        <w:rPr>
          <w:i w:val="0"/>
        </w:rPr>
        <w:t>(4)  Gated fusion:  A learned sigmoid gate vector  g = σ(W_g·z) ∈ ℝ⁷⁶⁸  selectively suppresses uninformative dimensions of the concatenated multimodal representation  z = [h_SMILES; h_ECFP_attn; h_desc_attn],  yielding a compact 768-dimensional fused embedding without tripling the classifier input dimension.</w:t>
      </w:r>
    </w:p>
    <w:p>
      <w:r>
        <w:rPr>
          <w:i w:val="0"/>
        </w:rPr>
        <w:t>(5)  Joint hyperparameter search:  Simultaneously optimising architecture (fusion type, attention heads, depth) and training (optimiser, schedule, regularisation) via Optuna TPE ensures that reported performance is not an artefact of manual tuning.</w:t>
      </w:r>
    </w:p>
    <w:p>
      <w:pPr>
        <w:pStyle w:val="Heading1"/>
        <w:jc w:val="left"/>
      </w:pPr>
      <w:r>
        <w:t>10.  Implementation Details</w:t>
      </w:r>
    </w:p>
    <w:p>
      <w:pPr>
        <w:pStyle w:val="ListBullet"/>
        <w:ind w:left="454"/>
      </w:pPr>
      <w:r>
        <w:t>Framework:  PyTorch ≥ 2.0,  Hugging Face transformers,  RDKit 2024,  Optuna 3.x,  scikit-learn.</w:t>
      </w:r>
    </w:p>
    <w:p>
      <w:pPr>
        <w:pStyle w:val="ListBullet"/>
        <w:ind w:left="454"/>
      </w:pPr>
      <w:r>
        <w:t>Pre-trained model:  ibm/MoLFormer-XL-both-10pct (HuggingFace Hub).</w:t>
      </w:r>
    </w:p>
    <w:p>
      <w:pPr>
        <w:pStyle w:val="ListBullet"/>
        <w:ind w:left="454"/>
      </w:pPr>
      <w:r>
        <w:t>Tokeniser:  ibm/MoLFormer-XL-both-10pct,  max_length = 512,  truncation = True,  padding = True.</w:t>
      </w:r>
    </w:p>
    <w:p>
      <w:pPr>
        <w:pStyle w:val="ListBullet"/>
        <w:ind w:left="454"/>
      </w:pPr>
      <w:r>
        <w:t>Hardware:  NVIDIA GPU (CUDA); all experiments reproducible on CPU.</w:t>
      </w:r>
    </w:p>
    <w:p>
      <w:pPr>
        <w:pStyle w:val="ListBullet"/>
        <w:ind w:left="454"/>
      </w:pPr>
      <w:r>
        <w:t>Random seeds:  Python random = 42,  NumPy = 42,  torch.manual_seed = 42.</w:t>
      </w:r>
    </w:p>
    <w:p>
      <w:pPr>
        <w:pStyle w:val="ListBullet"/>
        <w:ind w:left="454"/>
      </w:pPr>
      <w:r>
        <w:t>Code availability:  Provided as a Jupyter notebook (bioactivity_dl 8_2 C.ipynb) with the supplementary materials.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