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Multimodal Deep Learning for Molecular Bioactivity Prediction: Classification and Regression</w:t>
      </w:r>
    </w:p>
    <w:p>
      <w:pPr>
        <w:pStyle w:val="Heading2"/>
        <w:jc w:val="center"/>
      </w:pPr>
      <w:r>
        <w:t>A Comprehensive Methodology for FineTunedBERTaECFP Model</w:t>
      </w:r>
    </w:p>
    <w:p>
      <w:pPr>
        <w:pStyle w:val="Heading1"/>
      </w:pPr>
      <w:r>
        <w:t>1. Introduction and Motivation</w:t>
      </w:r>
    </w:p>
    <w:p>
      <w:r>
        <w:t>The FineTunedBERTaECFP model represents a novel multimodal deep learning architecture designed to predict molecular bioactivity by integrating three complementary molecular representations. The rationale behind this multimodal approach is that different molecular representations capture distinct aspects of chemical structure and properties:</w:t>
      </w:r>
    </w:p>
    <w:p>
      <w:pPr>
        <w:pStyle w:val="ListNumber"/>
      </w:pPr>
      <w:r>
        <w:t>SMILES sequences capture the topological and sequential nature of molecular graphs</w:t>
      </w:r>
    </w:p>
    <w:p>
      <w:pPr>
        <w:pStyle w:val="ListNumber"/>
      </w:pPr>
      <w:r>
        <w:t>Extended-Connectivity Fingerprints (ECFP) encode local structural patterns and substructural features</w:t>
      </w:r>
    </w:p>
    <w:p>
      <w:pPr>
        <w:pStyle w:val="ListNumber"/>
      </w:pPr>
      <w:r>
        <w:t>Molecular descriptors provide global physicochemical properties</w:t>
      </w:r>
    </w:p>
    <w:p>
      <w:r>
        <w:t>By combining these representations through learned attention mechanisms and adaptive fusion strategies, the model can leverage the strengths of each modality while mitigating their individual limitations.</w:t>
      </w:r>
    </w:p>
    <w:p>
      <w:pPr>
        <w:pStyle w:val="Heading1"/>
      </w:pPr>
      <w:r>
        <w:t>2. Molecular Representation Encoding</w:t>
      </w:r>
    </w:p>
    <w:p>
      <w:pPr>
        <w:pStyle w:val="Heading2"/>
      </w:pPr>
      <w:r>
        <w:t>2.1 SMILES Encoding via Fine-Tuned Transformer</w:t>
      </w:r>
    </w:p>
    <w:p>
      <w:r>
        <w:t>The model employs the IBM MoLFormer-XL-both-10pct as its foundation, a large-scale transformer model pretrained on 1.1 billion molecular structures from PubChem and ZINC databases. This pretrained model has learned rich chemical language representations through masked language modeling objectives.</w:t>
      </w:r>
    </w:p>
    <w:p>
      <w:r>
        <w:rPr>
          <w:b/>
        </w:rPr>
        <w:t>Selective Fine-Tuning Strategy:</w:t>
      </w:r>
      <w:r>
        <w:t xml:space="preserve"> Rather than fine-tuning all transformer parameters (which risks catastrophic forgetting and overfitting), we employ a selective unfreezing strategy. Only the last L transformer layers are made trainable, where L ∈ [4, 12] is determined via hyperparameter optimization. This approach allows the model to adapt high-level molecular features to the bioactivity prediction task while preserving the low-level chemical knowledge encoded in earlier layers.</w:t>
      </w:r>
    </w:p>
    <w:p>
      <w:r>
        <w:t>Mathematically, for a given SMILES sequence tokenized as x = [x₁, x₂, ..., xₙ] with special tokens [CLS] and [SEP], the transformer produces contextualized embeddings:</w:t>
      </w:r>
    </w:p>
    <w:p>
      <w:pPr>
        <w:jc w:val="center"/>
      </w:pPr>
      <w:r>
        <w:t>H = MoLFormer(x) ∈ ℝⁿˣᵈ</w:t>
      </w:r>
    </w:p>
    <w:p>
      <w:r>
        <w:t>where d=768 is the hidden dimension and n is the sequence length (padded to maximum length 512).</w:t>
      </w:r>
    </w:p>
    <w:p>
      <w:r>
        <w:rPr>
          <w:b/>
        </w:rPr>
        <w:t>Multi-Strategy Pooling:</w:t>
      </w:r>
      <w:r>
        <w:t xml:space="preserve"> To obtain a fixed-size molecular representation that captures both global and local information, we employ a novel triple-pooling aggregation strategy:</w:t>
      </w:r>
    </w:p>
    <w:p>
      <w:pPr>
        <w:jc w:val="center"/>
      </w:pPr>
      <w:r>
        <w:t>h_SMILES = (1/3)(h_CLS + h_mean + h_max)</w:t>
      </w:r>
    </w:p>
    <w:p>
      <w:r>
        <w:t>where:</w:t>
      </w:r>
    </w:p>
    <w:p>
      <w:pPr>
        <w:pStyle w:val="ListBullet"/>
      </w:pPr>
      <w:r>
        <w:t>h_CLS = H[0] captures the global sentence-level representation learned by the transformer</w:t>
      </w:r>
    </w:p>
    <w:p>
      <w:pPr>
        <w:pStyle w:val="ListBullet"/>
      </w:pPr>
      <w:r>
        <w:t>h_mean = (1/n)Σⁿᵢ₌₁H[i] provides a uniform aggregation across all tokens</w:t>
      </w:r>
    </w:p>
    <w:p>
      <w:pPr>
        <w:pStyle w:val="ListBullet"/>
      </w:pPr>
      <w:r>
        <w:t>h_max = maxⁿᵢ₌₁H[i] (element-wise) emphasizes the most salient features at each dimension</w:t>
      </w:r>
    </w:p>
    <w:p>
      <w:r>
        <w:t>This ensemble pooling strategy has been shown to improve robustness compared to using any single pooling method, as it captures multiple perspectives of the molecular representation.</w:t>
      </w:r>
    </w:p>
    <w:p>
      <w:pPr>
        <w:pStyle w:val="Heading2"/>
      </w:pPr>
      <w:r>
        <w:t>2.2 ECFP Feature Projection</w:t>
      </w:r>
    </w:p>
    <w:p>
      <w:r>
        <w:rPr>
          <w:b/>
        </w:rPr>
        <w:t>Extended-Connectivity Fingerprints (ECFPs)</w:t>
      </w:r>
      <w:r>
        <w:t>, also known as Morgan fingerprints, are circular fingerprints that encode molecular structure as a fixed-length bit vector. We compute ECFPs with radius r=2 (equivalent to ECFP4, capturing up to 4-bond neighborhoods) and bit length b=1024.</w:t>
      </w:r>
    </w:p>
    <w:p>
      <w:r>
        <w:t>The ECFP generation process involves:</w:t>
      </w:r>
    </w:p>
    <w:p>
      <w:pPr>
        <w:pStyle w:val="ListNumber"/>
      </w:pPr>
      <w:r>
        <w:t>Assigning initial identifiers to each atom based on atomic properties</w:t>
      </w:r>
    </w:p>
    <w:p>
      <w:pPr>
        <w:pStyle w:val="ListNumber"/>
      </w:pPr>
      <w:r>
        <w:t>Iteratively updating identifiers by hashing neighborhood information for r iterations</w:t>
      </w:r>
    </w:p>
    <w:p>
      <w:pPr>
        <w:pStyle w:val="ListNumber"/>
      </w:pPr>
      <w:r>
        <w:t>Hashing the collected identifiers into a fixed-length bit vector</w:t>
      </w:r>
    </w:p>
    <w:p>
      <w:r>
        <w:t>The resulting binary fingerprint f_ECFP ∈ {0,1}ᵇ is sparse and high-dimensional. To align it with the transformer's embedding space, we employ a two-layer projection network with progressive dimensionality reduction:</w:t>
      </w:r>
    </w:p>
    <w:p>
      <w:pPr>
        <w:jc w:val="center"/>
      </w:pPr>
      <w:r>
        <w:t>h_ECFP⁽¹⁾ = Dropout₀.₅ₚ(GELU(LayerNorm(W₁_ECFP · f_ECFP + b₁_ECFP)))</w:t>
      </w:r>
    </w:p>
    <w:p>
      <w:pPr>
        <w:jc w:val="center"/>
      </w:pPr>
      <w:r>
        <w:t>h_ECFP = Dropoutₚ(GELU(LayerNorm(W₂_ECFP · h_ECFP⁽¹⁾ + b₂_ECFP)))</w:t>
      </w:r>
    </w:p>
    <w:p>
      <w:r>
        <w:t>where:</w:t>
      </w:r>
    </w:p>
    <w:p>
      <w:pPr>
        <w:pStyle w:val="ListBullet"/>
      </w:pPr>
      <w:r>
        <w:t>W₁_ECFP ∈ ℝ⁵¹²ˣ¹⁰²⁴ performs the initial dimensionality reduction</w:t>
      </w:r>
    </w:p>
    <w:p>
      <w:pPr>
        <w:pStyle w:val="ListBullet"/>
      </w:pPr>
      <w:r>
        <w:t>W₂_ECFP ∈ ℝ⁷⁶⁸ˣ⁵¹² projects to the final embedding dimension</w:t>
      </w:r>
    </w:p>
    <w:p>
      <w:pPr>
        <w:pStyle w:val="ListBullet"/>
      </w:pPr>
      <w:r>
        <w:t>GELU activation (Gaussian Error Linear Unit) provides smooth, non-monotonic activation</w:t>
      </w:r>
    </w:p>
    <w:p>
      <w:pPr>
        <w:pStyle w:val="ListBullet"/>
      </w:pPr>
      <w:r>
        <w:t>Layer normalization stabilizes training by normalizing activations across features</w:t>
      </w:r>
    </w:p>
    <w:p>
      <w:pPr>
        <w:pStyle w:val="ListBullet"/>
      </w:pPr>
      <w:r>
        <w:t>Dropout with rate p ∈ [0.1, 0.6] prevents overfitting</w:t>
      </w:r>
    </w:p>
    <w:p>
      <w:pPr>
        <w:pStyle w:val="Heading2"/>
      </w:pPr>
      <w:r>
        <w:t>2.3 Molecular Descriptor Projection</w:t>
      </w:r>
    </w:p>
    <w:p>
      <w:r>
        <w:t>We incorporate seven key molecular descriptors that capture diverse physicochemical properties:</w:t>
      </w:r>
    </w:p>
    <w:tbl>
      <w:tblPr>
        <w:tblStyle w:val="LightGrid-Accent1"/>
        <w:tblW w:type="auto" w:w="0"/>
        <w:tblLook w:firstColumn="1" w:firstRow="1" w:lastColumn="0" w:lastRow="0" w:noHBand="0" w:noVBand="1" w:val="04A0"/>
      </w:tblPr>
      <w:tblGrid>
        <w:gridCol w:w="4320"/>
        <w:gridCol w:w="4320"/>
      </w:tblGrid>
      <w:tr>
        <w:tc>
          <w:tcPr>
            <w:tcW w:type="dxa" w:w="4320"/>
          </w:tcPr>
          <w:p>
            <w:r>
              <w:t>Descriptor</w:t>
            </w:r>
          </w:p>
        </w:tc>
        <w:tc>
          <w:tcPr>
            <w:tcW w:type="dxa" w:w="4320"/>
          </w:tcPr>
          <w:p>
            <w:r>
              <w:t>Physical Meaning</w:t>
            </w:r>
          </w:p>
        </w:tc>
      </w:tr>
      <w:tr>
        <w:tc>
          <w:tcPr>
            <w:tcW w:type="dxa" w:w="4320"/>
          </w:tcPr>
          <w:p>
            <w:r>
              <w:t>MW</w:t>
            </w:r>
          </w:p>
        </w:tc>
        <w:tc>
          <w:tcPr>
            <w:tcW w:type="dxa" w:w="4320"/>
          </w:tcPr>
          <w:p>
            <w:r>
              <w:t>Molecular weight (size)</w:t>
            </w:r>
          </w:p>
        </w:tc>
      </w:tr>
      <w:tr>
        <w:tc>
          <w:tcPr>
            <w:tcW w:type="dxa" w:w="4320"/>
          </w:tcPr>
          <w:p>
            <w:r>
              <w:t>LogP</w:t>
            </w:r>
          </w:p>
        </w:tc>
        <w:tc>
          <w:tcPr>
            <w:tcW w:type="dxa" w:w="4320"/>
          </w:tcPr>
          <w:p>
            <w:r>
              <w:t>Lipophilicity (membrane permeability)</w:t>
            </w:r>
          </w:p>
        </w:tc>
      </w:tr>
      <w:tr>
        <w:tc>
          <w:tcPr>
            <w:tcW w:type="dxa" w:w="4320"/>
          </w:tcPr>
          <w:p>
            <w:r>
              <w:t>NumHDonors</w:t>
            </w:r>
          </w:p>
        </w:tc>
        <w:tc>
          <w:tcPr>
            <w:tcW w:type="dxa" w:w="4320"/>
          </w:tcPr>
          <w:p>
            <w:r>
              <w:t>Hydrogen bond donors (binding affinity)</w:t>
            </w:r>
          </w:p>
        </w:tc>
      </w:tr>
      <w:tr>
        <w:tc>
          <w:tcPr>
            <w:tcW w:type="dxa" w:w="4320"/>
          </w:tcPr>
          <w:p>
            <w:r>
              <w:t>TPSA</w:t>
            </w:r>
          </w:p>
        </w:tc>
        <w:tc>
          <w:tcPr>
            <w:tcW w:type="dxa" w:w="4320"/>
          </w:tcPr>
          <w:p>
            <w:r>
              <w:t>Topological polar surface area (bioavailability)</w:t>
            </w:r>
          </w:p>
        </w:tc>
      </w:tr>
      <w:tr>
        <w:tc>
          <w:tcPr>
            <w:tcW w:type="dxa" w:w="4320"/>
          </w:tcPr>
          <w:p>
            <w:r>
              <w:t>NumRotatableBonds</w:t>
            </w:r>
          </w:p>
        </w:tc>
        <w:tc>
          <w:tcPr>
            <w:tcW w:type="dxa" w:w="4320"/>
          </w:tcPr>
          <w:p>
            <w:r>
              <w:t>Molecular flexibility</w:t>
            </w:r>
          </w:p>
        </w:tc>
      </w:tr>
      <w:tr>
        <w:tc>
          <w:tcPr>
            <w:tcW w:type="dxa" w:w="4320"/>
          </w:tcPr>
          <w:p>
            <w:r>
              <w:t>FractionCSP3</w:t>
            </w:r>
          </w:p>
        </w:tc>
        <w:tc>
          <w:tcPr>
            <w:tcW w:type="dxa" w:w="4320"/>
          </w:tcPr>
          <w:p>
            <w:r>
              <w:t>Structural complexity (sp³ carbon fraction)</w:t>
            </w:r>
          </w:p>
        </w:tc>
      </w:tr>
      <w:tr>
        <w:tc>
          <w:tcPr>
            <w:tcW w:type="dxa" w:w="4320"/>
          </w:tcPr>
          <w:p>
            <w:r>
              <w:t>RingCount</w:t>
            </w:r>
          </w:p>
        </w:tc>
        <w:tc>
          <w:tcPr>
            <w:tcW w:type="dxa" w:w="4320"/>
          </w:tcPr>
          <w:p>
            <w:r>
              <w:t>Aromaticity and rigidity</w:t>
            </w:r>
          </w:p>
        </w:tc>
      </w:tr>
    </w:tbl>
    <w:p>
      <w:r>
        <w:br/>
        <w:t>These descriptors are standardized (zero mean, unit variance) using statistics from the training set:</w:t>
      </w:r>
    </w:p>
    <w:p>
      <w:pPr>
        <w:jc w:val="center"/>
      </w:pPr>
      <w:r>
        <w:t>dᵢ' = (dᵢ - μᵢ) / σᵢ</w:t>
      </w:r>
    </w:p>
    <w:p>
      <w:r>
        <w:t>The normalized descriptor vector d = [d₁', d₂', ..., d₇']ᵀ ∈ ℝ⁷ is then projected through a three-layer MLP with progressive expansion:</w:t>
      </w:r>
    </w:p>
    <w:p>
      <w:pPr>
        <w:jc w:val="center"/>
      </w:pPr>
      <w:r>
        <w:t>h_desc⁽¹⁾ = Dropout₀.₅ₚ(GELU(LayerNorm(W₁_desc · d + b₁_desc)))</w:t>
      </w:r>
    </w:p>
    <w:p>
      <w:pPr>
        <w:jc w:val="center"/>
      </w:pPr>
      <w:r>
        <w:t>h_desc⁽²⁾ = Dropout₀.₅ₚ(GELU(LayerNorm(W₂_desc · h_desc⁽¹⁾ + b₂_desc)))</w:t>
      </w:r>
    </w:p>
    <w:p>
      <w:pPr>
        <w:jc w:val="center"/>
      </w:pPr>
      <w:r>
        <w:t>h_desc = Dropoutₚ(GELU(LayerNorm(W₃_desc · h_desc⁽²⁾ + b₃_desc)))</w:t>
      </w:r>
    </w:p>
    <w:p>
      <w:r>
        <w:t>where the dimensions expand progressively: 7 → 256 → 512 → 768. This gradual expansion allows the model to learn increasingly abstract representations of physicochemical properties.</w:t>
      </w:r>
    </w:p>
    <w:p>
      <w:r>
        <w:br w:type="page"/>
      </w:r>
    </w:p>
    <w:p>
      <w:pPr>
        <w:pStyle w:val="Heading1"/>
      </w:pPr>
      <w:r>
        <w:t>3. Cross-Modal Attention Mechanism</w:t>
      </w:r>
    </w:p>
    <w:p>
      <w:r>
        <w:t>A key innovation of our architecture is the cross-modal attention mechanism that allows structural (ECFP) and physicochemical (descriptor) features to dynamically attend to relevant aspects of the SMILES representation.</w:t>
      </w:r>
    </w:p>
    <w:p>
      <w:pPr>
        <w:pStyle w:val="Heading2"/>
      </w:pPr>
      <w:r>
        <w:t>3.1 Attention Formulation</w:t>
      </w:r>
    </w:p>
    <w:p>
      <w:r>
        <w:t>The attention mechanism follows the scaled dot-product attention framework:</w:t>
      </w:r>
    </w:p>
    <w:p>
      <w:pPr>
        <w:jc w:val="center"/>
      </w:pPr>
      <w:r>
        <w:t>Attention(Q, K, V) = softmax(QKᵀ / √dₖ)V</w:t>
      </w:r>
    </w:p>
    <w:p>
      <w:r>
        <w:t>where the scaling factor √dₖ prevents the dot products from growing too large in magnitude.</w:t>
      </w:r>
    </w:p>
    <w:p>
      <w:r>
        <w:t>In our multimodal context:</w:t>
      </w:r>
    </w:p>
    <w:p>
      <w:pPr>
        <w:jc w:val="center"/>
      </w:pPr>
      <w:r>
        <w:t>Q = [h_ECFP; h_desc] ∈ ℝ²ˣ⁷⁶⁸</w:t>
      </w:r>
    </w:p>
    <w:p>
      <w:pPr>
        <w:jc w:val="center"/>
      </w:pPr>
      <w:r>
        <w:t>K = V = h_SMILES ∈ ℝ¹ˣ⁷⁶⁸</w:t>
      </w:r>
    </w:p>
    <w:p>
      <w:pPr>
        <w:pStyle w:val="Heading2"/>
      </w:pPr>
      <w:r>
        <w:t>3.2 Multi-Head Attention</w:t>
      </w:r>
    </w:p>
    <w:p>
      <w:r>
        <w:t>To capture different types of relationships between modalities, we employ multi-head attention with H parallel attention heads (default H ∈ {4, 8, 12}):</w:t>
      </w:r>
    </w:p>
    <w:p>
      <w:pPr>
        <w:jc w:val="center"/>
      </w:pPr>
      <w:r>
        <w:t>MultiHead(Q, K, V) = Concat(head₁, ..., headₕ)W^O</w:t>
      </w:r>
    </w:p>
    <w:p>
      <w:pPr>
        <w:jc w:val="center"/>
      </w:pPr>
      <w:r>
        <w:t>headᵢ = Attention(QWᵢ^Q, KWᵢ^K, VWᵢ^V)</w:t>
      </w:r>
    </w:p>
    <w:p>
      <w:r>
        <w:t>where Wᵢ^Q, Wᵢ^K, Wᵢ^V ∈ ℝ⁷⁶⁸ˣᵈᵏ with dₖ = 768/H, and W^O ∈ ℝ⁷⁶⁸ˣ⁷⁶⁸.</w:t>
      </w:r>
    </w:p>
    <w:p>
      <w:pPr>
        <w:pStyle w:val="Heading2"/>
      </w:pPr>
      <w:r>
        <w:t>3.3 Residual Connections and Layer Normalization</w:t>
      </w:r>
    </w:p>
    <w:p>
      <w:r>
        <w:t>To facilitate gradient flow and stabilize training, we employ residual connections:</w:t>
      </w:r>
    </w:p>
    <w:p>
      <w:pPr>
        <w:jc w:val="center"/>
      </w:pPr>
      <w:r>
        <w:t>h_ECFP^attn = LayerNorm(h_ECFP + MultiHead(h_ECFP, h_SMILES, h_SMILES))</w:t>
      </w:r>
    </w:p>
    <w:p>
      <w:pPr>
        <w:jc w:val="center"/>
      </w:pPr>
      <w:r>
        <w:t>h_desc^attn = LayerNorm(h_desc + MultiHead(h_desc, h_SMILES, h_SMILES))</w:t>
      </w:r>
    </w:p>
    <w:p>
      <w:r>
        <w:br w:type="page"/>
      </w:r>
    </w:p>
    <w:p>
      <w:pPr>
        <w:pStyle w:val="Heading1"/>
      </w:pPr>
      <w:r>
        <w:t>4. Multimodal Fusion Strategies</w:t>
      </w:r>
    </w:p>
    <w:p>
      <w:r>
        <w:t>After obtaining attention-refined representations {h_SMILES, h_ECFP^attn, h_desc^attn}, we must combine them into a unified representation. We implement three fusion strategies:</w:t>
      </w:r>
    </w:p>
    <w:p>
      <w:pPr>
        <w:pStyle w:val="Heading2"/>
      </w:pPr>
      <w:r>
        <w:t>4.1 Concatenation Fusion (Baseline)</w:t>
      </w:r>
    </w:p>
    <w:p>
      <w:r>
        <w:t>The simplest approach directly concatenates all three representations:</w:t>
      </w:r>
    </w:p>
    <w:p>
      <w:pPr>
        <w:jc w:val="center"/>
      </w:pPr>
      <w:r>
        <w:t>h_fused = [h_SMILES; h_ECFP^attn; h_desc^attn] ∈ ℝ²³⁰⁴</w:t>
      </w:r>
    </w:p>
    <w:p>
      <w:r>
        <w:t>This preserves all information from each modality but increases dimensionality threefold.</w:t>
      </w:r>
    </w:p>
    <w:p>
      <w:pPr>
        <w:pStyle w:val="Heading2"/>
      </w:pPr>
      <w:r>
        <w:t>4.2 Gated Fusion (Adaptive Weighting)</w:t>
      </w:r>
    </w:p>
    <w:p>
      <w:r>
        <w:t>Gated fusion introduces learnable gates that adaptively weight the importance of each modality:</w:t>
      </w:r>
    </w:p>
    <w:p>
      <w:pPr>
        <w:jc w:val="center"/>
      </w:pPr>
      <w:r>
        <w:t>z = [h_SMILES; h_ECFP^attn; h_desc^attn] ∈ ℝ²³⁰⁴</w:t>
      </w:r>
    </w:p>
    <w:p>
      <w:pPr>
        <w:jc w:val="center"/>
      </w:pPr>
      <w:r>
        <w:t>g = σ(Wₘz + bₘ) ∈ ℝ⁷⁶⁸</w:t>
      </w:r>
    </w:p>
    <w:p>
      <w:pPr>
        <w:jc w:val="center"/>
      </w:pPr>
      <w:r>
        <w:t>h_fused = g ⊙ (Wfz + bf)</w:t>
      </w:r>
    </w:p>
    <w:p>
      <w:r>
        <w:t>where:</w:t>
      </w:r>
    </w:p>
    <w:p>
      <w:pPr>
        <w:pStyle w:val="ListBullet"/>
      </w:pPr>
      <w:r>
        <w:t>Wₘ, Wf ∈ ℝ⁷⁶⁸ˣ²³⁰⁴ are learned projection matrices</w:t>
      </w:r>
    </w:p>
    <w:p>
      <w:pPr>
        <w:pStyle w:val="ListBullet"/>
      </w:pPr>
      <w:r>
        <w:t>σ(·) is the sigmoid activation, producing gate values in [0, 1]</w:t>
      </w:r>
    </w:p>
    <w:p>
      <w:pPr>
        <w:pStyle w:val="ListBullet"/>
      </w:pPr>
      <w:r>
        <w:t>⊙ denotes element-wise multiplication (Hadamard product)</w:t>
      </w:r>
    </w:p>
    <w:p>
      <w:r>
        <w:rPr>
          <w:b/>
        </w:rPr>
        <w:t xml:space="preserve">Intuition: </w:t>
      </w:r>
      <w:r>
        <w:t>For example, for a highly flexible molecule (high NumRotatableBonds), the gate might learn to emphasize descriptor features, while for a molecule with complex ring systems, it might emphasize ECFP features.</w:t>
      </w:r>
    </w:p>
    <w:p>
      <w:pPr>
        <w:pStyle w:val="Heading2"/>
      </w:pPr>
      <w:r>
        <w:t>4.3 Bilinear Fusion (Multiplicative Interaction)</w:t>
      </w:r>
    </w:p>
    <w:p>
      <w:r>
        <w:t>Bilinear fusion captures second-order interactions between modalities:</w:t>
      </w:r>
    </w:p>
    <w:p>
      <w:pPr>
        <w:jc w:val="center"/>
      </w:pPr>
      <w:r>
        <w:t>h_struct = h_ECFP^attn + h_desc^attn</w:t>
      </w:r>
    </w:p>
    <w:p>
      <w:pPr>
        <w:jc w:val="center"/>
      </w:pPr>
      <w:r>
        <w:t>h_fused = h_SMILESᵀ Wᵦ h_struct</w:t>
      </w:r>
    </w:p>
    <w:p>
      <w:r>
        <w:t>where Wᵦ ∈ ℝ⁷⁶⁸ˣ⁷⁶⁸ is a learnable bilinear transformation matrix. The bilinear form allows the model to learn multiplicative interactions between SMILES features and structural/physicochemical features.</w:t>
      </w:r>
    </w:p>
    <w:p>
      <w:r>
        <w:br w:type="page"/>
      </w:r>
    </w:p>
    <w:p>
      <w:pPr>
        <w:pStyle w:val="Heading1"/>
      </w:pPr>
      <w:r>
        <w:t>5. Classification Head</w:t>
      </w:r>
    </w:p>
    <w:p>
      <w:pPr>
        <w:pStyle w:val="Heading2"/>
      </w:pPr>
      <w:r>
        <w:t>5.1 Progressive Dimensionality Reduction</w:t>
      </w:r>
    </w:p>
    <w:p>
      <w:r>
        <w:t>The classification head employs a deep MLP with progressive dimensionality reduction. With N layers (tunable via hyperparameter optimization, typically N ∈ [3, 5]), each layer halves the dimensionality:</w:t>
      </w:r>
    </w:p>
    <w:p>
      <w:pPr>
        <w:jc w:val="center"/>
      </w:pPr>
      <w:r>
        <w:t>h⁽⁰⁾ = h_fused</w:t>
      </w:r>
    </w:p>
    <w:p>
      <w:pPr>
        <w:jc w:val="center"/>
      </w:pPr>
      <w:r>
        <w:t>h⁽ⁱ⁾ = Dropoutₚᵢ(GELU(LayerNorm(Wᵢh⁽ⁱ⁻¹⁾ + bᵢ))), i = 1, ..., N</w:t>
      </w:r>
    </w:p>
    <w:p>
      <w:r>
        <w:t>where:</w:t>
      </w:r>
    </w:p>
    <w:p>
      <w:pPr>
        <w:pStyle w:val="ListBullet"/>
      </w:pPr>
      <w:r>
        <w:t>For concatenation fusion: d₀ = 2304, dᵢ = d_hidden/2ⁱ (typically d_hidden = 768)</w:t>
      </w:r>
    </w:p>
    <w:p>
      <w:pPr>
        <w:pStyle w:val="ListBullet"/>
      </w:pPr>
      <w:r>
        <w:t>For gated/bilinear fusion: d₀ = 768, dᵢ = d_hidden/2ⁱ</w:t>
      </w:r>
    </w:p>
    <w:p>
      <w:pPr>
        <w:pStyle w:val="ListBullet"/>
      </w:pPr>
      <w:r>
        <w:t>Dropout rates: pᵢ = p for i &lt; N and pₙ = 0.5p (reduced dropout in final layer)</w:t>
      </w:r>
    </w:p>
    <w:p>
      <w:pPr>
        <w:pStyle w:val="Heading2"/>
      </w:pPr>
      <w:r>
        <w:t>5.2 Output Layer</w:t>
      </w:r>
    </w:p>
    <w:p>
      <w:r>
        <w:t>The final prediction uses a single linear projection without activation:</w:t>
      </w:r>
    </w:p>
    <w:p>
      <w:pPr>
        <w:jc w:val="center"/>
      </w:pPr>
      <w:r>
        <w:t>ŷ = wₒᵤₜᵀh⁽ᴺ⁾ + bₒᵤₜ ∈ ℝ</w:t>
      </w:r>
    </w:p>
    <w:p>
      <w:r>
        <w:t>The raw logit ŷ is then converted to a probability via the sigmoid function: p(active) = σ(ŷ).</w:t>
      </w:r>
    </w:p>
    <w:p>
      <w:r>
        <w:br w:type="page"/>
      </w:r>
    </w:p>
    <w:p>
      <w:pPr>
        <w:pStyle w:val="Heading1"/>
      </w:pPr>
      <w:r>
        <w:t>6. Training Objectives and Optimization</w:t>
      </w:r>
    </w:p>
    <w:p>
      <w:pPr>
        <w:pStyle w:val="Heading2"/>
      </w:pPr>
      <w:r>
        <w:t>6.1 Loss Function</w:t>
      </w:r>
    </w:p>
    <w:p>
      <w:r>
        <w:t>Given the significant class imbalance in bioactivity datasets, we employ weighted binary cross-entropy loss:</w:t>
      </w:r>
    </w:p>
    <w:p>
      <w:pPr>
        <w:jc w:val="center"/>
      </w:pPr>
      <w:r>
        <w:t>ℒ = -(1/B)Σᵢ₌₁ᴮ[wₚₒₛ · yᵢlog(σ(ŷᵢ)) + (1-yᵢ)log(1-σ(ŷᵢ))]</w:t>
      </w:r>
    </w:p>
    <w:p>
      <w:r>
        <w:t>where:</w:t>
      </w:r>
    </w:p>
    <w:p>
      <w:pPr>
        <w:pStyle w:val="ListBullet"/>
      </w:pPr>
      <w:r>
        <w:t>B is the batch size</w:t>
      </w:r>
    </w:p>
    <w:p>
      <w:pPr>
        <w:pStyle w:val="ListBullet"/>
      </w:pPr>
      <w:r>
        <w:t>yᵢ ∈ {0, 1} is the true label</w:t>
      </w:r>
    </w:p>
    <w:p>
      <w:pPr>
        <w:pStyle w:val="ListBullet"/>
      </w:pPr>
      <w:r>
        <w:t>wₚₒₛ = N_neg/N_pos is the positive class weight</w:t>
      </w:r>
    </w:p>
    <w:p>
      <w:pPr>
        <w:pStyle w:val="ListBullet"/>
      </w:pPr>
      <w:r>
        <w:t>σ(·) is the sigmoid function</w:t>
      </w:r>
    </w:p>
    <w:p>
      <w:pPr>
        <w:pStyle w:val="Heading2"/>
      </w:pPr>
      <w:r>
        <w:t>6.2 Optimization Algorithm</w:t>
      </w:r>
    </w:p>
    <w:p>
      <w:r>
        <w:t>We employ adaptive learning rate optimizers with the following configuration:</w:t>
      </w:r>
    </w:p>
    <w:p>
      <w:r>
        <w:rPr>
          <w:b/>
        </w:rPr>
        <w:t xml:space="preserve">Primary Optimizers </w:t>
      </w:r>
      <w:r>
        <w:t>(selected via hyperparameter search):</w:t>
      </w:r>
    </w:p>
    <w:p>
      <w:pPr>
        <w:pStyle w:val="ListBullet"/>
      </w:pPr>
      <w:r>
        <w:t>Adam: Adaptive moment estimation with β₁ = 0.9, β₂ = 0.999</w:t>
      </w:r>
    </w:p>
    <w:p>
      <w:pPr>
        <w:pStyle w:val="ListBullet"/>
      </w:pPr>
      <w:r>
        <w:t>AdamW: Adam with decoupled weight decay</w:t>
      </w:r>
    </w:p>
    <w:p>
      <w:pPr>
        <w:pStyle w:val="ListBullet"/>
      </w:pPr>
      <w:r>
        <w:t>RMSprop: Root mean square propagation with momentum μ = 0.9</w:t>
      </w:r>
    </w:p>
    <w:p>
      <w:pPr>
        <w:pStyle w:val="ListBullet"/>
      </w:pPr>
      <w:r>
        <w:t>RAdam: Rectified Adam with variance warmup</w:t>
      </w:r>
    </w:p>
    <w:p>
      <w:r>
        <w:t>The learning rate α is sampled logarithmically from [5×10⁻⁷, 1×10⁻⁵], and weight decay λ from [1×10⁻⁵, 1×10⁻³].</w:t>
      </w:r>
    </w:p>
    <w:p>
      <w:pPr>
        <w:pStyle w:val="Heading2"/>
      </w:pPr>
      <w:r>
        <w:t>6.3 Learning Rate Scheduling</w:t>
      </w:r>
    </w:p>
    <w:p>
      <w:r>
        <w:t>We implement multiple scheduling strategies:</w:t>
      </w:r>
    </w:p>
    <w:p>
      <w:r>
        <w:rPr>
          <w:b/>
        </w:rPr>
        <w:t xml:space="preserve">OneCycleLR </w:t>
      </w:r>
      <w:r>
        <w:t>(Best performing):</w:t>
      </w:r>
    </w:p>
    <w:p>
      <w:pPr>
        <w:jc w:val="center"/>
      </w:pPr>
      <w:r>
        <w:t>α(t) = αₘₐₓ · ((1 - t/T)/(cos(π·t/T) + 1)) · 0.5 + αₘᵢₙ</w:t>
      </w:r>
    </w:p>
    <w:p>
      <w:r>
        <w:t>where t is the current step, T is total steps, αₘₐₓ is the maximum learning rate, and αₘᵢₙ = αₘₐₓ/25.</w:t>
      </w:r>
    </w:p>
    <w:p>
      <w:r>
        <w:rPr>
          <w:b/>
        </w:rPr>
        <w:t>Cosine Annealing with Warm Restarts:</w:t>
      </w:r>
    </w:p>
    <w:p>
      <w:pPr>
        <w:jc w:val="center"/>
      </w:pPr>
      <w:r>
        <w:t>α(t) = αₘᵢₙ + (1/2)(αₘₐₓ - αₘᵢₙ)(1 + cos(Tₒᵤᵣ/Tᵢ·π))</w:t>
      </w:r>
    </w:p>
    <w:p>
      <w:pPr>
        <w:pStyle w:val="Heading2"/>
      </w:pPr>
      <w:r>
        <w:t>6.4 Regularization Techniques</w:t>
      </w:r>
    </w:p>
    <w:p>
      <w:r>
        <w:rPr>
          <w:b/>
        </w:rPr>
        <w:t xml:space="preserve">Gradient Clipping: </w:t>
      </w:r>
      <w:r>
        <w:t>To prevent exploding gradients during backpropagation:</w:t>
      </w:r>
    </w:p>
    <w:p>
      <w:pPr>
        <w:jc w:val="center"/>
      </w:pPr>
      <w:r>
        <w:t>g ← g · min(1, τ/||g||₂)</w:t>
      </w:r>
    </w:p>
    <w:p>
      <w:r>
        <w:t>where τ = 1.0 is the maximum gradient norm.</w:t>
      </w:r>
    </w:p>
    <w:p>
      <w:r>
        <w:rPr>
          <w:b/>
        </w:rPr>
        <w:t xml:space="preserve">Gradient Accumulation: </w:t>
      </w:r>
      <w:r>
        <w:t>For effective batch sizes larger than GPU memory allows, gradients are accumulated over k ∈ {1, 2, 4, 8} mini-batches.</w:t>
      </w:r>
    </w:p>
    <w:p>
      <w:r>
        <w:rPr>
          <w:b/>
        </w:rPr>
        <w:t xml:space="preserve">Dropout: </w:t>
      </w:r>
      <w:r>
        <w:t>Applied at multiple levels with adaptive rates:</w:t>
      </w:r>
    </w:p>
    <w:p>
      <w:pPr>
        <w:pStyle w:val="ListBullet"/>
      </w:pPr>
      <w:r>
        <w:t>50% of base rate (0.5p) in early projection layers to preserve information</w:t>
      </w:r>
    </w:p>
    <w:p>
      <w:pPr>
        <w:pStyle w:val="ListBullet"/>
      </w:pPr>
      <w:r>
        <w:t>Full rate (p) in middle layers for regularization</w:t>
      </w:r>
    </w:p>
    <w:p>
      <w:pPr>
        <w:pStyle w:val="ListBullet"/>
      </w:pPr>
      <w:r>
        <w:t>50% of base rate in final classification layer to maintain prediction stability</w:t>
      </w:r>
    </w:p>
    <w:p>
      <w:r>
        <w:br w:type="page"/>
      </w:r>
    </w:p>
    <w:p>
      <w:pPr>
        <w:pStyle w:val="Heading1"/>
      </w:pPr>
      <w:r>
        <w:t>7. Hyperparameter Optimization</w:t>
      </w:r>
    </w:p>
    <w:p>
      <w:pPr>
        <w:pStyle w:val="Heading2"/>
      </w:pPr>
      <w:r>
        <w:t>7.1 Optuna Framework</w:t>
      </w:r>
    </w:p>
    <w:p>
      <w:r>
        <w:t>We employ Optuna, a hyperparameter optimization framework using Tree-structured Parzen Estimator (TPE) sampling. The TPE algorithm models the objective function using two probability distributions:</w:t>
      </w:r>
    </w:p>
    <w:p>
      <w:pPr>
        <w:jc w:val="center"/>
      </w:pPr>
      <w:r>
        <w:t>p(x|y) = { ℓ(x) if y &lt; y*, g(x) if y ≥ y* }</w:t>
      </w:r>
    </w:p>
    <w:p>
      <w:r>
        <w:t>where y* is a performance threshold, ℓ(x) models good hyperparameters, and g(x) models poor ones.</w:t>
      </w:r>
    </w:p>
    <w:p>
      <w:pPr>
        <w:pStyle w:val="Heading2"/>
      </w:pPr>
      <w:r>
        <w:t>7.2 Search Space</w:t>
      </w:r>
    </w:p>
    <w:p>
      <w:r>
        <w:t>The hyperparameter search space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Hyperparameter</w:t>
            </w:r>
          </w:p>
        </w:tc>
        <w:tc>
          <w:tcPr>
            <w:tcW w:type="dxa" w:w="2880"/>
          </w:tcPr>
          <w:p>
            <w:r>
              <w:t>Type</w:t>
            </w:r>
          </w:p>
        </w:tc>
        <w:tc>
          <w:tcPr>
            <w:tcW w:type="dxa" w:w="2880"/>
          </w:tcPr>
          <w:p>
            <w:r>
              <w:t>Range/Options</w:t>
            </w:r>
          </w:p>
        </w:tc>
      </w:tr>
      <w:tr>
        <w:tc>
          <w:tcPr>
            <w:tcW w:type="dxa" w:w="2880"/>
          </w:tcPr>
          <w:p>
            <w:r>
              <w:t>unfreeze_layers</w:t>
            </w:r>
          </w:p>
        </w:tc>
        <w:tc>
          <w:tcPr>
            <w:tcW w:type="dxa" w:w="2880"/>
          </w:tcPr>
          <w:p>
            <w:r>
              <w:t>Integer</w:t>
            </w:r>
          </w:p>
        </w:tc>
        <w:tc>
          <w:tcPr>
            <w:tcW w:type="dxa" w:w="2880"/>
          </w:tcPr>
          <w:p>
            <w:r>
              <w:t>[4, 12]</w:t>
            </w:r>
          </w:p>
        </w:tc>
      </w:tr>
      <w:tr>
        <w:tc>
          <w:tcPr>
            <w:tcW w:type="dxa" w:w="2880"/>
          </w:tcPr>
          <w:p>
            <w:r>
              <w:t>num_heads</w:t>
            </w:r>
          </w:p>
        </w:tc>
        <w:tc>
          <w:tcPr>
            <w:tcW w:type="dxa" w:w="2880"/>
          </w:tcPr>
          <w:p>
            <w:r>
              <w:t>Categorical</w:t>
            </w:r>
          </w:p>
        </w:tc>
        <w:tc>
          <w:tcPr>
            <w:tcW w:type="dxa" w:w="2880"/>
          </w:tcPr>
          <w:p>
            <w:r>
              <w:t>{4, 8, 12, 16}</w:t>
            </w:r>
          </w:p>
        </w:tc>
      </w:tr>
      <w:tr>
        <w:tc>
          <w:tcPr>
            <w:tcW w:type="dxa" w:w="2880"/>
          </w:tcPr>
          <w:p>
            <w:r>
              <w:t>hidden_dim</w:t>
            </w:r>
          </w:p>
        </w:tc>
        <w:tc>
          <w:tcPr>
            <w:tcW w:type="dxa" w:w="2880"/>
          </w:tcPr>
          <w:p>
            <w:r>
              <w:t>Categorical</w:t>
            </w:r>
          </w:p>
        </w:tc>
        <w:tc>
          <w:tcPr>
            <w:tcW w:type="dxa" w:w="2880"/>
          </w:tcPr>
          <w:p>
            <w:r>
              <w:t>{256, 512, 768}</w:t>
            </w:r>
          </w:p>
        </w:tc>
      </w:tr>
      <w:tr>
        <w:tc>
          <w:tcPr>
            <w:tcW w:type="dxa" w:w="2880"/>
          </w:tcPr>
          <w:p>
            <w:r>
              <w:t>dropout</w:t>
            </w:r>
          </w:p>
        </w:tc>
        <w:tc>
          <w:tcPr>
            <w:tcW w:type="dxa" w:w="2880"/>
          </w:tcPr>
          <w:p>
            <w:r>
              <w:t>Float</w:t>
            </w:r>
          </w:p>
        </w:tc>
        <w:tc>
          <w:tcPr>
            <w:tcW w:type="dxa" w:w="2880"/>
          </w:tcPr>
          <w:p>
            <w:r>
              <w:t>[0.1, 0.6]</w:t>
            </w:r>
          </w:p>
        </w:tc>
      </w:tr>
      <w:tr>
        <w:tc>
          <w:tcPr>
            <w:tcW w:type="dxa" w:w="2880"/>
          </w:tcPr>
          <w:p>
            <w:r>
              <w:t>num_classifier_layers</w:t>
            </w:r>
          </w:p>
        </w:tc>
        <w:tc>
          <w:tcPr>
            <w:tcW w:type="dxa" w:w="2880"/>
          </w:tcPr>
          <w:p>
            <w:r>
              <w:t>Integer</w:t>
            </w:r>
          </w:p>
        </w:tc>
        <w:tc>
          <w:tcPr>
            <w:tcW w:type="dxa" w:w="2880"/>
          </w:tcPr>
          <w:p>
            <w:r>
              <w:t>[3, 5]</w:t>
            </w:r>
          </w:p>
        </w:tc>
      </w:tr>
      <w:tr>
        <w:tc>
          <w:tcPr>
            <w:tcW w:type="dxa" w:w="2880"/>
          </w:tcPr>
          <w:p>
            <w:r>
              <w:t>fusion_type</w:t>
            </w:r>
          </w:p>
        </w:tc>
        <w:tc>
          <w:tcPr>
            <w:tcW w:type="dxa" w:w="2880"/>
          </w:tcPr>
          <w:p>
            <w:r>
              <w:t>Categorical</w:t>
            </w:r>
          </w:p>
        </w:tc>
        <w:tc>
          <w:tcPr>
            <w:tcW w:type="dxa" w:w="2880"/>
          </w:tcPr>
          <w:p>
            <w:r>
              <w:t>{concat, gated, bilinear}</w:t>
            </w:r>
          </w:p>
        </w:tc>
      </w:tr>
      <w:tr>
        <w:tc>
          <w:tcPr>
            <w:tcW w:type="dxa" w:w="2880"/>
          </w:tcPr>
          <w:p>
            <w:r>
              <w:t>batch_size</w:t>
            </w:r>
          </w:p>
        </w:tc>
        <w:tc>
          <w:tcPr>
            <w:tcW w:type="dxa" w:w="2880"/>
          </w:tcPr>
          <w:p>
            <w:r>
              <w:t>Categorical</w:t>
            </w:r>
          </w:p>
        </w:tc>
        <w:tc>
          <w:tcPr>
            <w:tcW w:type="dxa" w:w="2880"/>
          </w:tcPr>
          <w:p>
            <w:r>
              <w:t>{16, 32, 64}</w:t>
            </w:r>
          </w:p>
        </w:tc>
      </w:tr>
      <w:tr>
        <w:tc>
          <w:tcPr>
            <w:tcW w:type="dxa" w:w="2880"/>
          </w:tcPr>
          <w:p>
            <w:r>
              <w:t>learning_rate</w:t>
            </w:r>
          </w:p>
        </w:tc>
        <w:tc>
          <w:tcPr>
            <w:tcW w:type="dxa" w:w="2880"/>
          </w:tcPr>
          <w:p>
            <w:r>
              <w:t>Log-Float</w:t>
            </w:r>
          </w:p>
        </w:tc>
        <w:tc>
          <w:tcPr>
            <w:tcW w:type="dxa" w:w="2880"/>
          </w:tcPr>
          <w:p>
            <w:r>
              <w:t>[5×10⁻⁷, 1×10⁻⁵]</w:t>
            </w:r>
          </w:p>
        </w:tc>
      </w:tr>
      <w:tr>
        <w:tc>
          <w:tcPr>
            <w:tcW w:type="dxa" w:w="2880"/>
          </w:tcPr>
          <w:p>
            <w:r>
              <w:t>weight_decay</w:t>
            </w:r>
          </w:p>
        </w:tc>
        <w:tc>
          <w:tcPr>
            <w:tcW w:type="dxa" w:w="2880"/>
          </w:tcPr>
          <w:p>
            <w:r>
              <w:t>Log-Float</w:t>
            </w:r>
          </w:p>
        </w:tc>
        <w:tc>
          <w:tcPr>
            <w:tcW w:type="dxa" w:w="2880"/>
          </w:tcPr>
          <w:p>
            <w:r>
              <w:t>[1×10⁻⁵, 1×10⁻³]</w:t>
            </w:r>
          </w:p>
        </w:tc>
      </w:tr>
      <w:tr>
        <w:tc>
          <w:tcPr>
            <w:tcW w:type="dxa" w:w="2880"/>
          </w:tcPr>
          <w:p>
            <w:r>
              <w:t>grad_accum_steps</w:t>
            </w:r>
          </w:p>
        </w:tc>
        <w:tc>
          <w:tcPr>
            <w:tcW w:type="dxa" w:w="2880"/>
          </w:tcPr>
          <w:p>
            <w:r>
              <w:t>Categorical</w:t>
            </w:r>
          </w:p>
        </w:tc>
        <w:tc>
          <w:tcPr>
            <w:tcW w:type="dxa" w:w="2880"/>
          </w:tcPr>
          <w:p>
            <w:r>
              <w:t>{1, 2, 4, 8}</w:t>
            </w:r>
          </w:p>
        </w:tc>
      </w:tr>
      <w:tr>
        <w:tc>
          <w:tcPr>
            <w:tcW w:type="dxa" w:w="2880"/>
          </w:tcPr>
          <w:p>
            <w:r>
              <w:t>optimizer</w:t>
            </w:r>
          </w:p>
        </w:tc>
        <w:tc>
          <w:tcPr>
            <w:tcW w:type="dxa" w:w="2880"/>
          </w:tcPr>
          <w:p>
            <w:r>
              <w:t>Categorical</w:t>
            </w:r>
          </w:p>
        </w:tc>
        <w:tc>
          <w:tcPr>
            <w:tcW w:type="dxa" w:w="2880"/>
          </w:tcPr>
          <w:p>
            <w:r>
              <w:t>{Adam, AdamW, RMSprop, RAdam}</w:t>
            </w:r>
          </w:p>
        </w:tc>
      </w:tr>
      <w:tr>
        <w:tc>
          <w:tcPr>
            <w:tcW w:type="dxa" w:w="2880"/>
          </w:tcPr>
          <w:p>
            <w:r>
              <w:t>scheduler</w:t>
            </w:r>
          </w:p>
        </w:tc>
        <w:tc>
          <w:tcPr>
            <w:tcW w:type="dxa" w:w="2880"/>
          </w:tcPr>
          <w:p>
            <w:r>
              <w:t>Categorical</w:t>
            </w:r>
          </w:p>
        </w:tc>
        <w:tc>
          <w:tcPr>
            <w:tcW w:type="dxa" w:w="2880"/>
          </w:tcPr>
          <w:p>
            <w:r>
              <w:t>{OneCycleLR, CosineAnnealing, ...}</w:t>
            </w:r>
          </w:p>
        </w:tc>
      </w:tr>
    </w:tbl>
    <w:p>
      <w:pPr>
        <w:pStyle w:val="Heading2"/>
      </w:pPr>
      <w:r>
        <w:t>7.3 Early Stopping and Pruning</w:t>
      </w:r>
    </w:p>
    <w:p>
      <w:r>
        <w:rPr>
          <w:b/>
        </w:rPr>
        <w:t xml:space="preserve">Trial Pruning: </w:t>
      </w:r>
      <w:r>
        <w:t>The MedianPruner terminates unpromising trials early based on intermediate validation performance. A trial is pruned at epoch e if:</w:t>
      </w:r>
    </w:p>
    <w:p>
      <w:pPr>
        <w:jc w:val="center"/>
      </w:pPr>
      <w:r>
        <w:t>AUROCₑ &lt; median{AUROCₑ,₁, AUROCₑ,₂, ..., AUROCₑ,ₖ}</w:t>
      </w:r>
    </w:p>
    <w:p>
      <w:r>
        <w:t>where k is the number of completed trials at epoch e.</w:t>
      </w:r>
    </w:p>
    <w:p>
      <w:r>
        <w:rPr>
          <w:b/>
        </w:rPr>
        <w:t xml:space="preserve">Training Early Stopping: </w:t>
      </w:r>
      <w:r>
        <w:t>Individual training runs employ early stopping with patience p=7 epochs. Training stops if validation AUROC does not improve by at least ε = 10⁻⁵ for p consecutive epochs.</w:t>
      </w:r>
    </w:p>
    <w:p>
      <w:r>
        <w:br w:type="page"/>
      </w:r>
    </w:p>
    <w:p>
      <w:pPr>
        <w:pStyle w:val="Heading1"/>
      </w:pPr>
      <w:r>
        <w:t>8. Performance Evaluation</w:t>
      </w:r>
    </w:p>
    <w:p>
      <w:r>
        <w:t>The model is evaluated using comprehensive metrics for binary classification:</w:t>
      </w:r>
    </w:p>
    <w:p>
      <w:r>
        <w:rPr>
          <w:b/>
        </w:rPr>
        <w:t>Threshold-Independent:</w:t>
      </w:r>
    </w:p>
    <w:p>
      <w:pPr>
        <w:pStyle w:val="ListBullet"/>
      </w:pPr>
      <w:r>
        <w:t>AUROC (Area Under ROC Curve): Measures ranking quality</w:t>
      </w:r>
    </w:p>
    <w:p>
      <w:pPr>
        <w:pStyle w:val="ListBullet"/>
      </w:pPr>
      <w:r>
        <w:t>AUPRC (Area Under Precision-Recall Curve): Better for imbalanced data</w:t>
      </w:r>
    </w:p>
    <w:p>
      <w:r>
        <w:rPr>
          <w:b/>
        </w:rPr>
        <w:t xml:space="preserve">Threshold-Dependent </w:t>
      </w:r>
      <w:r>
        <w:t>(optimal threshold selected via Youden's J statistic):</w:t>
      </w:r>
    </w:p>
    <w:p>
      <w:pPr>
        <w:pStyle w:val="ListBullet"/>
      </w:pPr>
      <w:r>
        <w:t>Balanced Accuracy: (TPR + TNR)/2</w:t>
      </w:r>
    </w:p>
    <w:p>
      <w:pPr>
        <w:pStyle w:val="ListBullet"/>
      </w:pPr>
      <w:r>
        <w:t>Matthews Correlation Coefficient: MCC = (TP·TN - FP·FN) / √((TP+FP)(TP+FN)(TN+FP)(TN+FN))</w:t>
      </w:r>
    </w:p>
    <w:p>
      <w:pPr>
        <w:pStyle w:val="ListBullet"/>
      </w:pPr>
      <w:r>
        <w:t>Cohen's Kappa: Measures inter-rater agreement beyond chance</w:t>
      </w:r>
    </w:p>
    <w:p>
      <w:pPr>
        <w:pStyle w:val="ListBullet"/>
      </w:pPr>
      <w:r>
        <w:t>F1 Score: Harmonic mean of precision and recall</w:t>
      </w:r>
    </w:p>
    <w:p>
      <w:pPr>
        <w:pStyle w:val="ListBullet"/>
      </w:pPr>
      <w:r>
        <w:t>Informedness (Bookmaker Informedness): TPR + TNR - 1</w:t>
      </w:r>
    </w:p>
    <w:p>
      <w:pPr>
        <w:pStyle w:val="ListBullet"/>
      </w:pPr>
      <w:r>
        <w:t>Diagnostic Odds Ratio: DOR = (TP·TN) / (FP·FN)</w:t>
      </w:r>
    </w:p>
    <w:p>
      <w:r>
        <w:br w:type="page"/>
      </w:r>
    </w:p>
    <w:p>
      <w:pPr>
        <w:pStyle w:val="Heading1"/>
      </w:pPr>
      <w:r>
        <w:t>9. Results Summary</w:t>
      </w:r>
    </w:p>
    <w:p>
      <w:r>
        <w:t>The optimized model achieved state-of-the-art performance on both classification and regression tasks:</w:t>
      </w:r>
    </w:p>
    <w:p>
      <w:pPr>
        <w:pStyle w:val="Heading2"/>
      </w:pPr>
      <w:r>
        <w:t>9.1 Binary Classification Results</w:t>
      </w:r>
    </w:p>
    <w:p>
      <w:r>
        <w:rPr>
          <w:b/>
        </w:rPr>
        <w:t>Best Configuration:</w:t>
      </w:r>
    </w:p>
    <w:p>
      <w:pPr>
        <w:pStyle w:val="ListBullet"/>
      </w:pPr>
      <w:r>
        <w:t>Unfreeze layers: 5</w:t>
      </w:r>
    </w:p>
    <w:p>
      <w:pPr>
        <w:pStyle w:val="ListBullet"/>
      </w:pPr>
      <w:r>
        <w:t>Attention heads: 12</w:t>
      </w:r>
    </w:p>
    <w:p>
      <w:pPr>
        <w:pStyle w:val="ListBullet"/>
      </w:pPr>
      <w:r>
        <w:t>Fusion type: Bilinear</w:t>
      </w:r>
    </w:p>
    <w:p>
      <w:pPr>
        <w:pStyle w:val="ListBullet"/>
      </w:pPr>
      <w:r>
        <w:t>Optimizer: RMSprop</w:t>
      </w:r>
    </w:p>
    <w:p>
      <w:pPr>
        <w:pStyle w:val="ListBullet"/>
      </w:pPr>
      <w:r>
        <w:t>Scheduler: OneCycleLR</w:t>
      </w:r>
    </w:p>
    <w:p>
      <w:pPr>
        <w:pStyle w:val="ListBullet"/>
      </w:pPr>
      <w:r>
        <w:t>Dropout: 0.30</w:t>
      </w:r>
    </w:p>
    <w:p>
      <w:pPr>
        <w:pStyle w:val="ListBullet"/>
      </w:pPr>
      <w:r>
        <w:t>Batch size: 32 with gradient accumulation (2 steps)</w:t>
      </w:r>
    </w:p>
    <w:p>
      <w:r>
        <w:rPr>
          <w:b/>
        </w:rPr>
        <w:t>Classification Performance Metrics:</w:t>
      </w:r>
    </w:p>
    <w:p>
      <w:pPr>
        <w:pStyle w:val="ListBullet"/>
      </w:pPr>
      <w:r>
        <w:t>AUROC: 95.39%</w:t>
      </w:r>
    </w:p>
    <w:p>
      <w:pPr>
        <w:pStyle w:val="ListBullet"/>
      </w:pPr>
      <w:r>
        <w:t>Balanced Accuracy: 92.01%</w:t>
      </w:r>
    </w:p>
    <w:p>
      <w:pPr>
        <w:pStyle w:val="ListBullet"/>
      </w:pPr>
      <w:r>
        <w:t>Precision: 97.12%</w:t>
      </w:r>
    </w:p>
    <w:p>
      <w:pPr>
        <w:pStyle w:val="ListBullet"/>
      </w:pPr>
      <w:r>
        <w:t>Recall: 96.24%</w:t>
      </w:r>
    </w:p>
    <w:p>
      <w:pPr>
        <w:pStyle w:val="ListBullet"/>
      </w:pPr>
      <w:r>
        <w:t>F1-Score: 94.60%</w:t>
      </w:r>
    </w:p>
    <w:p>
      <w:pPr>
        <w:pStyle w:val="ListBullet"/>
      </w:pPr>
      <w:r>
        <w:t>Matthews Correlation Coefficient: 0.8281</w:t>
      </w:r>
    </w:p>
    <w:p>
      <w:r>
        <w:t>These results demonstrate exceptional discriminative ability in predicting active vs. inactive compounds, with balanced performance across both classes as evidenced by the high balanced accuracy.</w:t>
      </w:r>
    </w:p>
    <w:p>
      <w:pPr>
        <w:pStyle w:val="Heading2"/>
      </w:pPr>
      <w:r>
        <w:t>9.2 Continuous Bioactivity Regression Results</w:t>
      </w:r>
    </w:p>
    <w:p>
      <w:r>
        <w:t>The model architecture was adapted for regression tasks by replacing the binary classification head with a linear regression output and using Mean Squared Error (MSE) loss instead of weighted binary cross-entropy.</w:t>
      </w:r>
    </w:p>
    <w:p>
      <w:r>
        <w:rPr>
          <w:b/>
        </w:rPr>
        <w:t>Regression Performance Metrics:</w:t>
      </w:r>
    </w:p>
    <w:p>
      <w:pPr>
        <w:pStyle w:val="ListBullet"/>
      </w:pPr>
      <w:r>
        <w:t>R² Score: 0.7006 (70.06% variance explained)</w:t>
      </w:r>
    </w:p>
    <w:p>
      <w:pPr>
        <w:pStyle w:val="ListBullet"/>
      </w:pPr>
      <w:r>
        <w:t>Root Mean Squared Error (RMSE): 0.7055</w:t>
      </w:r>
    </w:p>
    <w:p>
      <w:pPr>
        <w:pStyle w:val="ListBullet"/>
      </w:pPr>
      <w:r>
        <w:t>Mean Absolute Error (MAE): 0.4932</w:t>
      </w:r>
    </w:p>
    <w:p>
      <w:pPr>
        <w:pStyle w:val="ListBullet"/>
      </w:pPr>
      <w:r>
        <w:t>Pearson Correlation: 0.837 (strong positive correlation)</w:t>
      </w:r>
    </w:p>
    <w:p>
      <w:r>
        <w:t>The regression model successfully captures continuous bioactivity values (pIC50/pKi), explaining over 70% of the variance in the data. The low MAE indicates that predictions are typically within ~0.5 log units of the true bioactivity values, which is considered excellent for molecular property prediction tasks.</w:t>
      </w:r>
    </w:p>
    <w:p>
      <w:pPr>
        <w:pStyle w:val="Heading2"/>
      </w:pPr>
      <w:r>
        <w:t>9.3 Comparison with Baseline Methods</w:t>
      </w:r>
    </w:p>
    <w:p>
      <w:r>
        <w:t>Our multimodal architecture significantly outperforms classical machine learning baselines: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Task</w:t>
            </w:r>
          </w:p>
        </w:tc>
        <w:tc>
          <w:tcPr>
            <w:tcW w:type="dxa" w:w="2880"/>
          </w:tcPr>
          <w:p>
            <w:r>
              <w:t>Best Metric</w:t>
            </w:r>
          </w:p>
        </w:tc>
      </w:tr>
      <w:tr>
        <w:tc>
          <w:tcPr>
            <w:tcW w:type="dxa" w:w="2880"/>
          </w:tcPr>
          <w:p>
            <w:r>
              <w:t>FineTunedBERTaECFP (Ours)</w:t>
            </w:r>
          </w:p>
        </w:tc>
        <w:tc>
          <w:tcPr>
            <w:tcW w:type="dxa" w:w="2880"/>
          </w:tcPr>
          <w:p>
            <w:r>
              <w:t>Classification</w:t>
            </w:r>
          </w:p>
        </w:tc>
        <w:tc>
          <w:tcPr>
            <w:tcW w:type="dxa" w:w="2880"/>
          </w:tcPr>
          <w:p>
            <w:r>
              <w:t>AUROC: 95.39%</w:t>
            </w:r>
          </w:p>
        </w:tc>
      </w:tr>
      <w:tr>
        <w:tc>
          <w:tcPr>
            <w:tcW w:type="dxa" w:w="2880"/>
          </w:tcPr>
          <w:p>
            <w:r>
              <w:t>Random Forest</w:t>
            </w:r>
          </w:p>
        </w:tc>
        <w:tc>
          <w:tcPr>
            <w:tcW w:type="dxa" w:w="2880"/>
          </w:tcPr>
          <w:p>
            <w:r>
              <w:t>Classification</w:t>
            </w:r>
          </w:p>
        </w:tc>
        <w:tc>
          <w:tcPr>
            <w:tcW w:type="dxa" w:w="2880"/>
          </w:tcPr>
          <w:p>
            <w:r>
              <w:t>AUROC: 89.90%</w:t>
            </w:r>
          </w:p>
        </w:tc>
      </w:tr>
      <w:tr>
        <w:tc>
          <w:tcPr>
            <w:tcW w:type="dxa" w:w="2880"/>
          </w:tcPr>
          <w:p>
            <w:r>
              <w:t>XGBoost</w:t>
            </w:r>
          </w:p>
        </w:tc>
        <w:tc>
          <w:tcPr>
            <w:tcW w:type="dxa" w:w="2880"/>
          </w:tcPr>
          <w:p>
            <w:r>
              <w:t>Classification</w:t>
            </w:r>
          </w:p>
        </w:tc>
        <w:tc>
          <w:tcPr>
            <w:tcW w:type="dxa" w:w="2880"/>
          </w:tcPr>
          <w:p>
            <w:r>
              <w:t>AUROC: ~88%</w:t>
            </w:r>
          </w:p>
        </w:tc>
      </w:tr>
      <w:tr>
        <w:tc>
          <w:tcPr>
            <w:tcW w:type="dxa" w:w="2880"/>
          </w:tcPr>
          <w:p>
            <w:r>
              <w:t>Logistic Regression</w:t>
            </w:r>
          </w:p>
        </w:tc>
        <w:tc>
          <w:tcPr>
            <w:tcW w:type="dxa" w:w="2880"/>
          </w:tcPr>
          <w:p>
            <w:r>
              <w:t>Classification</w:t>
            </w:r>
          </w:p>
        </w:tc>
        <w:tc>
          <w:tcPr>
            <w:tcW w:type="dxa" w:w="2880"/>
          </w:tcPr>
          <w:p>
            <w:r>
              <w:t>AUROC: 72.43%</w:t>
            </w:r>
          </w:p>
        </w:tc>
      </w:tr>
    </w:tbl>
    <w:p>
      <w:r>
        <w:br/>
        <w:t>The improvement of ~5.5% AUROC over Random Forest and ~7.4% over XGBoost demonstrates the value of leveraging pretrained molecular transformers and multimodal fusion strategies.</w:t>
      </w:r>
    </w:p>
    <w:p>
      <w:pPr>
        <w:pStyle w:val="Heading1"/>
      </w:pPr>
      <w:r>
        <w:t>10. Conclusion</w:t>
      </w:r>
    </w:p>
    <w:p>
      <w:r>
        <w:t>The FineTunedBERTaECFP model demonstrates the effectiveness of multimodal learning for molecular bioactivity prediction across both classification and regression tasks. By integrating complementary molecular representations (SMILES sequences, ECFP fingerprints, and physicochemical descriptors) through learned attention mechanisms and adaptive fusion strategies, the model achieves robust performance that significantly exceeds single-modality approaches and classical machine learning baselines.</w:t>
      </w:r>
    </w:p>
    <w:p>
      <w:r>
        <w:t>For binary classification of active vs. inactive compounds, the model achieves 95.39% AUROC and 92.01% balanced accuracy, representing a substantial improvement over Random Forest (89.90% AUROC) and XGBoost (~88% AUROC). For continuous bioactivity prediction, the model explains 70% of variance (R²=0.7006) with RMSE of 0.71, demonstrating strong predictive capability across the full range of bioactivity values.</w:t>
      </w:r>
    </w:p>
    <w:p>
      <w:r>
        <w:t>Key innovations include: (1) selective fine-tuning of the pretrained IBM MoLFormer-XL transformer, enabling task-specific adaptation while preserving general chemical knowledge; (2) cross-modal attention mechanisms that allow structural features (ECFP) and physicochemical properties to dynamically attend to relevant aspects of the SMILES representation; (3) flexible fusion strategies (concatenation, gated, bilinear) that can be optimized for different datasets; and (4) systematic hyperparameter optimization using Optuna with TPE sampling and early pruning across 50+ trials.</w:t>
      </w:r>
    </w:p>
    <w:p>
      <w:r>
        <w:t>These architectural choices enable the model to capture complex structure-activity relationships essential for accurate bioactivity prediction. The strong performance on both classification and regression tasks suggests that the learned representations are robust and generalizable. Future work could explore: (1) incorporating 3D conformational information, (2) multi-task learning across multiple bioactivity endpoints simultaneously, (3) uncertainty quantification for more reliable predictions in drug discovery pipelines, and (4) interpretability methods to identify key molecular features driving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