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FineTuned</w:t>
      </w:r>
      <w:r>
        <w:t xml:space="preserve"> </w:t>
      </w:r>
      <w:r>
        <w:t xml:space="preserve">Multimodal</w:t>
      </w:r>
      <w:r>
        <w:t xml:space="preserve"> </w:t>
      </w:r>
      <w:r>
        <w:t xml:space="preserve">MolFormer</w:t>
      </w:r>
      <w:r>
        <w:t xml:space="preserve"> </w:t>
      </w:r>
      <w:r>
        <w:t xml:space="preserve">for</w:t>
      </w:r>
      <w:r>
        <w:t xml:space="preserve"> </w:t>
      </w:r>
      <w:r>
        <w:t xml:space="preserve">Bioactivity</w:t>
      </w:r>
      <w:r>
        <w:t xml:space="preserve"> </w:t>
      </w:r>
      <w:r>
        <w:t xml:space="preserve">Classification</w:t>
      </w:r>
    </w:p>
    <w:p>
      <w:pPr>
        <w:pStyle w:val="Subtitle"/>
      </w:pPr>
      <w:r>
        <w:t xml:space="preserve">Dataset</w:t>
      </w:r>
      <w:r>
        <w:t xml:space="preserve"> </w:t>
      </w:r>
      <w:r>
        <w:t xml:space="preserve">Construction,</w:t>
      </w:r>
      <w:r>
        <w:t xml:space="preserve"> </w:t>
      </w:r>
      <w:r>
        <w:t xml:space="preserve">Methodology,</w:t>
      </w:r>
      <w:r>
        <w:t xml:space="preserve"> </w:t>
      </w:r>
      <w:r>
        <w:t xml:space="preserve">and</w:t>
      </w:r>
      <w:r>
        <w:t xml:space="preserve"> </w:t>
      </w:r>
      <w:r>
        <w:t xml:space="preserve">Results</w:t>
      </w:r>
    </w:p>
    <w:p>
      <w:pPr>
        <w:pStyle w:val="FirstParagraph"/>
      </w:pPr>
      <w:r>
        <w:rPr>
          <w:iCs/>
          <w:i/>
        </w:rPr>
        <w:t xml:space="preserve">Editorial note: this document supplies the Dataset Construction, Methodology, and Results/Discussion sections of the manuscript. Introduction, Related Work, Abstract, and Conclusion are outside the present scope and will be authored separately. All tables and figures should be renumbered against the final assembled manuscript’s global scheme. All numerical values reported in the Results section are drawn directly from the training log accompanying the notebook and have not been re-computed or extrapolated.</w:t>
      </w:r>
    </w:p>
    <w:bookmarkStart w:id="34" w:name="X041310d1607e2339fdfa6e011b2b70cf1c5748e"/>
    <w:p>
      <w:pPr>
        <w:pStyle w:val="Heading1"/>
      </w:pPr>
      <w:r>
        <w:t xml:space="preserve">2. Dataset Construction and Characterization</w:t>
      </w:r>
    </w:p>
    <w:bookmarkStart w:id="20" w:name="data-source-and-acquisition"/>
    <w:p>
      <w:pPr>
        <w:pStyle w:val="Heading2"/>
      </w:pPr>
      <w:r>
        <w:t xml:space="preserve">2.1 Data Source and Acquisition</w:t>
      </w:r>
    </w:p>
    <w:p>
      <w:pPr>
        <w:pStyle w:val="FirstParagraph"/>
      </w:pPr>
      <w:r>
        <w:t xml:space="preserve">The dataset was compiled from a structured bioactivity export (</w:t>
      </w:r>
      <w:r>
        <w:rPr>
          <w:iCs/>
          <w:i/>
        </w:rPr>
        <w:t xml:space="preserve">bioactivity_dataset.xlsx</w:t>
      </w:r>
      <w:r>
        <w:t xml:space="preserve">, single worksheet</w:t>
      </w:r>
      <w:r>
        <w:t xml:space="preserve"> </w:t>
      </w:r>
      <w:r>
        <w:t xml:space="preserve">“</w:t>
      </w:r>
      <w:r>
        <w:t xml:space="preserve">Sheet1</w:t>
      </w:r>
      <w:r>
        <w:t xml:space="preserve">”</w:t>
      </w:r>
      <w:r>
        <w:t xml:space="preserve">) containing SMILES-annotated small-molecule records, four pre-existing physicochemical descriptors, a continuous half-maximal inhibitory concentration-derived potency value (pIC50), and a categorical bioactivity label. Prior to any processing, the raw export comprised 6,629 records described by eight fields: a ChEMBL compound identifier (</w:t>
      </w:r>
      <w:r>
        <w:rPr>
          <w:iCs/>
          <w:i/>
        </w:rPr>
        <w:t xml:space="preserve">molecule_chembl_id</w:t>
      </w:r>
      <w:r>
        <w:t xml:space="preserve">), the canonical SMILES string (</w:t>
      </w:r>
      <w:r>
        <w:rPr>
          <w:iCs/>
          <w:i/>
        </w:rPr>
        <w:t xml:space="preserve">canonical_smiles</w:t>
      </w:r>
      <w:r>
        <w:t xml:space="preserve">), four descriptors carried over from the source export (molecular weight, MW; calculated octanol–water partition coefficient, LogP; hydrogen-bond donor count, NumHDonors; hydrogen-bond acceptor count, NumHAcceptors), the continuous potency value (pIC50), and a categorical activity label (</w:t>
      </w:r>
      <w:r>
        <w:rPr>
          <w:iCs/>
          <w:i/>
        </w:rPr>
        <w:t xml:space="preserve">bioactivity_class</w:t>
      </w:r>
      <w:r>
        <w:t xml:space="preserve">:</w:t>
      </w:r>
      <w:r>
        <w:t xml:space="preserve"> </w:t>
      </w:r>
      <w:r>
        <w:t xml:space="preserve">“</w:t>
      </w:r>
      <w:r>
        <w:t xml:space="preserve">active</w:t>
      </w:r>
      <w:r>
        <w:t xml:space="preserve">”</w:t>
      </w:r>
      <w:r>
        <w:t xml:space="preserve"> </w:t>
      </w:r>
      <w:r>
        <w:t xml:space="preserve">/</w:t>
      </w:r>
      <w:r>
        <w:t xml:space="preserve"> </w:t>
      </w:r>
      <w:r>
        <w:t xml:space="preserve">“</w:t>
      </w:r>
      <w:r>
        <w:t xml:space="preserve">inactive</w:t>
      </w:r>
      <w:r>
        <w:t xml:space="preserve">”</w:t>
      </w:r>
      <w:r>
        <w:t xml:space="preserve">).</w:t>
      </w:r>
    </w:p>
    <w:p>
      <w:pPr>
        <w:pStyle w:val="BodyText"/>
      </w:pPr>
      <w:r>
        <w:t xml:space="preserve">Descriptive summarization of the raw export indicated that</w:t>
      </w:r>
      <w:r>
        <w:t xml:space="preserve"> </w:t>
      </w:r>
      <w:r>
        <w:rPr>
          <w:iCs/>
          <w:i/>
        </w:rPr>
        <w:t xml:space="preserve">canonical_smiles</w:t>
      </w:r>
      <w:r>
        <w:t xml:space="preserve"> </w:t>
      </w:r>
      <w:r>
        <w:t xml:space="preserve">contained only 5,494 unique entries among 6,628 non-null records, indicating that a meaningful fraction of source records shared identical chemical structures — most notably a single SMILES string that recurred 320 times — consistent with repeated bioactivity measurements (e.g., across assay replicates or related ChEMBL activity records) for a subset of compounds. Prior to any row-level cleaning, the categorical label distribution was heavily skewed toward the active class (5,383 records; 81.2%) relative to the inactive class (1,246 records; 18.8%).</w:t>
      </w:r>
    </w:p>
    <w:bookmarkEnd w:id="20"/>
    <w:bookmarkStart w:id="26" w:name="data-cleaning-and-preprocessing"/>
    <w:p>
      <w:pPr>
        <w:pStyle w:val="Heading2"/>
      </w:pPr>
      <w:r>
        <w:t xml:space="preserve">2.2 Data Cleaning and Preprocessing</w:t>
      </w:r>
    </w:p>
    <w:p>
      <w:pPr>
        <w:pStyle w:val="FirstParagraph"/>
      </w:pPr>
      <w:r>
        <w:t xml:space="preserve">Preprocessing proceeded in five stages: (i) sentinel-value handling and missing-data removal; (ii) SMILES structural validation; (iii) label encoding and descriptor computation; (iv) non-predictive/redundant column pruning; and (v) duplicate-record removal.</w:t>
      </w:r>
    </w:p>
    <w:bookmarkStart w:id="21" w:name="missing-data-handling"/>
    <w:p>
      <w:pPr>
        <w:pStyle w:val="Heading3"/>
      </w:pPr>
      <w:r>
        <w:t xml:space="preserve">2.2.1 Missing-data handling</w:t>
      </w:r>
    </w:p>
    <w:p>
      <w:pPr>
        <w:pStyle w:val="FirstParagraph"/>
      </w:pPr>
      <w:r>
        <w:t xml:space="preserve">Two</w:t>
      </w:r>
      <w:r>
        <w:t xml:space="preserve"> </w:t>
      </w:r>
      <w:r>
        <w:rPr>
          <w:iCs/>
          <w:i/>
        </w:rPr>
        <w:t xml:space="preserve">pIC50</w:t>
      </w:r>
      <w:r>
        <w:t xml:space="preserve"> </w:t>
      </w:r>
      <w:r>
        <w:t xml:space="preserve">entries recorded as literal or floating-point infinity (the string</w:t>
      </w:r>
      <w:r>
        <w:t xml:space="preserve"> </w:t>
      </w:r>
      <w:r>
        <w:t xml:space="preserve">‘</w:t>
      </w:r>
      <w:r>
        <w:t xml:space="preserve">inf</w:t>
      </w:r>
      <w:r>
        <w:t xml:space="preserve">’</w:t>
      </w:r>
      <w:r>
        <w:t xml:space="preserve"> </w:t>
      </w:r>
      <w:r>
        <w:t xml:space="preserve">and</w:t>
      </w:r>
      <w:r>
        <w:t xml:space="preserve"> </w:t>
      </w:r>
      <w:r>
        <w:rPr>
          <w:iCs/>
          <w:i/>
        </w:rPr>
        <w:t xml:space="preserve">numpy.inf</w:t>
      </w:r>
      <w:r>
        <w:t xml:space="preserve">) were first converted to missing (NaN) to prevent an unbounded value from distorting subsequent descriptive statistics; the raw pIC50 column had, prior to this correction, an undefined (infinite) arithmetic mean. A per-column missing-value audit then identified one additional missing</w:t>
      </w:r>
      <w:r>
        <w:t xml:space="preserve"> </w:t>
      </w:r>
      <w:r>
        <w:rPr>
          <w:iCs/>
          <w:i/>
        </w:rPr>
        <w:t xml:space="preserve">canonical_smiles</w:t>
      </w:r>
      <w:r>
        <w:t xml:space="preserve"> </w:t>
      </w:r>
      <w:r>
        <w:t xml:space="preserve">entry. Listwise deletion was applied, removing three records in total and yielding 6,626 retained records with zero missing values across all fields.</w:t>
      </w:r>
    </w:p>
    <w:bookmarkEnd w:id="21"/>
    <w:bookmarkStart w:id="22" w:name="smiles-structural-validation"/>
    <w:p>
      <w:pPr>
        <w:pStyle w:val="Heading3"/>
      </w:pPr>
      <w:r>
        <w:t xml:space="preserve">2.2.2 SMILES structural validation</w:t>
      </w:r>
    </w:p>
    <w:p>
      <w:pPr>
        <w:pStyle w:val="FirstParagraph"/>
      </w:pPr>
      <w:r>
        <w:t xml:space="preserve">An initial duplicate screen on the eight-field raw table (performed prior to SMILES parsing) identified 285 fully identical rows — records sharing an identical compound identifier, SMILES string, and potency value — consistent with duplication introduced during data export rather than genuine independent assay replicates; this count was not acted upon at this stage and is superseded by the feature-level duplicate screen in Section 2.2.5. Each retained canonical SMILES string was then parsed into an RDKit</w:t>
      </w:r>
      <w:r>
        <w:t xml:space="preserve"> </w:t>
      </w:r>
      <w:r>
        <w:rPr>
          <w:iCs/>
          <w:i/>
        </w:rPr>
        <w:t xml:space="preserve">Mol</w:t>
      </w:r>
      <w:r>
        <w:t xml:space="preserve"> </w:t>
      </w:r>
      <w:r>
        <w:t xml:space="preserve">object, and records that failed to parse were removed. All 6,626 strings parsed successfully (zero records lost to unparseable SMILES), indicating a chemically well-formed SMILES corpus.</w:t>
      </w:r>
    </w:p>
    <w:bookmarkEnd w:id="22"/>
    <w:bookmarkStart w:id="23" w:name="X3853245e4d43a54b3fe10ba1baa8b91c012eaf0"/>
    <w:p>
      <w:pPr>
        <w:pStyle w:val="Heading3"/>
      </w:pPr>
      <w:r>
        <w:t xml:space="preserve">2.2.3 Label encoding and descriptor computation</w:t>
      </w:r>
    </w:p>
    <w:p>
      <w:pPr>
        <w:pStyle w:val="FirstParagraph"/>
      </w:pPr>
      <w:r>
        <w:t xml:space="preserve">The categorical activity label was binary-encoded (</w:t>
      </w:r>
      <w:r>
        <w:rPr>
          <w:iCs/>
          <w:i/>
        </w:rPr>
        <w:t xml:space="preserve">bioactivity</w:t>
      </w:r>
      <w:r>
        <w:t xml:space="preserve">: active = 1, inactive = 0). To guarantee a single, internally consistent computational source for all descriptors (superseding whatever MW, LogP, NumHDonors, and NumHAcceptors values were carried in the raw export, which may have originated from a different toolkit or toolkit version), six candidate physicochemical descriptors were then recomputed uniformly from the parsed structures using RDKit: molecular weight (MW), calculated LogP, topological polar surface area (TPSA), hydrogen-bond donor count (NumHDonors), hydrogen-bond acceptor count (NumHAcceptors), and rotatable-bond count (NumRotatableBonds).</w:t>
      </w:r>
    </w:p>
    <w:bookmarkEnd w:id="23"/>
    <w:bookmarkStart w:id="24" w:name="column-pruning"/>
    <w:p>
      <w:pPr>
        <w:pStyle w:val="Heading3"/>
      </w:pPr>
      <w:r>
        <w:t xml:space="preserve">2.2.4 Column pruning</w:t>
      </w:r>
    </w:p>
    <w:p>
      <w:pPr>
        <w:pStyle w:val="FirstParagraph"/>
      </w:pPr>
      <w:r>
        <w:t xml:space="preserve">Four fields were removed from the working table:</w:t>
      </w:r>
      <w:r>
        <w:t xml:space="preserve"> </w:t>
      </w:r>
      <w:r>
        <w:rPr>
          <w:iCs/>
          <w:i/>
        </w:rPr>
        <w:t xml:space="preserve">pIC50</w:t>
      </w:r>
      <w:r>
        <w:t xml:space="preserve"> </w:t>
      </w:r>
      <w:r>
        <w:t xml:space="preserve">(a continuous, assay-derived potency value used only, upstream of this pipeline, to derive the categorical activity label, and not itself part of the descriptor feature set);</w:t>
      </w:r>
      <w:r>
        <w:t xml:space="preserve"> </w:t>
      </w:r>
      <w:r>
        <w:rPr>
          <w:iCs/>
          <w:i/>
        </w:rPr>
        <w:t xml:space="preserve">bioactivity_class</w:t>
      </w:r>
      <w:r>
        <w:t xml:space="preserve"> </w:t>
      </w:r>
      <w:r>
        <w:t xml:space="preserve">(the string-typed activity label, rendered redundant by the numerically encoded</w:t>
      </w:r>
      <w:r>
        <w:t xml:space="preserve"> </w:t>
      </w:r>
      <w:r>
        <w:rPr>
          <w:iCs/>
          <w:i/>
        </w:rPr>
        <w:t xml:space="preserve">bioactivity</w:t>
      </w:r>
      <w:r>
        <w:t xml:space="preserve"> </w:t>
      </w:r>
      <w:r>
        <w:t xml:space="preserve">column);</w:t>
      </w:r>
      <w:r>
        <w:t xml:space="preserve"> </w:t>
      </w:r>
      <w:r>
        <w:rPr>
          <w:iCs/>
          <w:i/>
        </w:rPr>
        <w:t xml:space="preserve">mol</w:t>
      </w:r>
      <w:r>
        <w:t xml:space="preserve"> </w:t>
      </w:r>
      <w:r>
        <w:t xml:space="preserve">(the intermediate RDKit object used only for descriptor computation, not itself a numeric feature); and</w:t>
      </w:r>
      <w:r>
        <w:t xml:space="preserve"> </w:t>
      </w:r>
      <w:r>
        <w:rPr>
          <w:iCs/>
          <w:i/>
        </w:rPr>
        <w:t xml:space="preserve">molecule_chembl_id</w:t>
      </w:r>
      <w:r>
        <w:t xml:space="preserve"> </w:t>
      </w:r>
      <w:r>
        <w:t xml:space="preserve">(a non-predictive database identifier encoding no chemical information usable by a structure-based classifier). This step reduced the working table to eight fields: the canonical SMILES string, all six candidate descriptors (MW, LogP, NumHDonors, NumHAcceptors, TPSA, NumRotatableBonds), and the binary bioactivity label.</w:t>
      </w:r>
    </w:p>
    <w:bookmarkEnd w:id="24"/>
    <w:bookmarkStart w:id="25" w:name="duplicate-record-removal"/>
    <w:p>
      <w:pPr>
        <w:pStyle w:val="Heading3"/>
      </w:pPr>
      <w:r>
        <w:t xml:space="preserve">2.2.5 Duplicate-record removal</w:t>
      </w:r>
    </w:p>
    <w:p>
      <w:pPr>
        <w:pStyle w:val="FirstParagraph"/>
      </w:pPr>
      <w:r>
        <w:t xml:space="preserve">Duplicate detection was repeated on the eight-field table produced in Section 2.2.4 — comprising the canonical SMILES string, the six numeric descriptors, and the binary label, with the assay-specific identifier and potency value excluded — where duplication reflects genuinely repeated compound/label combinations rather than merely repeated database rows. This screen identified 1,132 duplicate rows (excess copies beyond a first occurrence), distributed across 1,512 total rows implicated in duplicate groupings (i.e., 380 distinct feature-vector/label combinations, each represented two or more times). These redundant rows were removed by row-wise deduplication, leaving 6,626 − 1,132 = 5,494 unique records (directly confirmed by row count both immediately after deduplication and after the file was re-saved and reloaded).</w:t>
      </w:r>
    </w:p>
    <w:p>
      <w:pPr>
        <w:pStyle w:val="BodyText"/>
      </w:pPr>
      <w:r>
        <w:t xml:space="preserve">The resulting cleaned and non-duplicated dataset was used as the canonical cleaned dataset for all subsequent descriptive, statistical, and predictive-modelling work.</w:t>
      </w:r>
    </w:p>
    <w:bookmarkEnd w:id="25"/>
    <w:bookmarkEnd w:id="26"/>
    <w:bookmarkStart w:id="27" w:name="descriptor-selection-rationale"/>
    <w:p>
      <w:pPr>
        <w:pStyle w:val="Heading2"/>
      </w:pPr>
      <w:r>
        <w:t xml:space="preserve">2.3 Descriptor Selection Rationale</w:t>
      </w:r>
    </w:p>
    <w:p>
      <w:pPr>
        <w:pStyle w:val="FirstParagraph"/>
      </w:pPr>
      <w:r>
        <w:t xml:space="preserve">Six candidate physicochemical descriptors, jointly spanning Lipinski’s Rule-of-Five criteria (Lipinski et al., 1997) and Veber’s oral-bioavailability criteria (Veber et al., 2002), were computed and retained in full in the final feature set (Section 2.6). Each is described below, followed by the statistical evidence bearing on their retention.</w:t>
      </w:r>
    </w:p>
    <w:p>
      <w:pPr>
        <w:pStyle w:val="BodyText"/>
      </w:pPr>
      <w:r>
        <w:rPr>
          <w:bCs/>
          <w:b/>
        </w:rPr>
        <w:t xml:space="preserve">Table 1.</w:t>
      </w:r>
      <w:r>
        <w:t xml:space="preserve"> </w:t>
      </w:r>
      <w:r>
        <w:rPr>
          <w:iCs/>
          <w:i/>
        </w:rPr>
        <w:t xml:space="preserve">Candidate physicochemical descriptors, rule origin, and conventional interpretation. All six were retained in the final feature set.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Descriptor</w:t>
            </w:r>
          </w:p>
        </w:tc>
        <w:tc>
          <w:tcPr/>
          <w:p>
            <w:pPr>
              <w:pStyle w:val="Compact"/>
              <w:jc w:val="left"/>
            </w:pPr>
            <w:r>
              <w:t xml:space="preserve">Rule / Criterion</w:t>
            </w:r>
          </w:p>
        </w:tc>
        <w:tc>
          <w:tcPr/>
          <w:p>
            <w:pPr>
              <w:pStyle w:val="Compact"/>
              <w:jc w:val="left"/>
            </w:pPr>
            <w:r>
              <w:t xml:space="preserve">Threshold</w:t>
            </w:r>
            <w:r>
              <w:rPr>
                <w:vertAlign w:val="superscript"/>
              </w:rPr>
              <w:t xml:space="preserve">a</w:t>
            </w:r>
          </w:p>
        </w:tc>
        <w:tc>
          <w:tcPr/>
          <w:p>
            <w:pPr>
              <w:pStyle w:val="Compact"/>
              <w:jc w:val="left"/>
            </w:pPr>
            <w:r>
              <w:t xml:space="preserve">What it measures</w:t>
            </w:r>
          </w:p>
        </w:tc>
      </w:tr>
      <w:tr>
        <w:tc>
          <w:tcPr/>
          <w:p>
            <w:pPr>
              <w:pStyle w:val="Compact"/>
              <w:jc w:val="left"/>
            </w:pPr>
            <w:r>
              <w:t xml:space="preserve">MW</w:t>
            </w:r>
          </w:p>
        </w:tc>
        <w:tc>
          <w:tcPr/>
          <w:p>
            <w:pPr>
              <w:pStyle w:val="Compact"/>
              <w:jc w:val="left"/>
            </w:pPr>
            <w:r>
              <w:t xml:space="preserve">Lipinski (1 of 4)</w:t>
            </w:r>
          </w:p>
        </w:tc>
        <w:tc>
          <w:tcPr/>
          <w:p>
            <w:pPr>
              <w:pStyle w:val="Compact"/>
              <w:jc w:val="left"/>
            </w:pPr>
            <w:r>
              <w:t xml:space="preserve">≤ 500 Da</w:t>
            </w:r>
          </w:p>
        </w:tc>
        <w:tc>
          <w:tcPr/>
          <w:p>
            <w:pPr>
              <w:pStyle w:val="Compact"/>
              <w:jc w:val="left"/>
            </w:pPr>
            <w:r>
              <w:t xml:space="preserve">Sum of atomic weights; a coarse proxy for molecular size and passive permeability.</w:t>
            </w:r>
          </w:p>
        </w:tc>
      </w:tr>
      <w:tr>
        <w:tc>
          <w:tcPr/>
          <w:p>
            <w:pPr>
              <w:pStyle w:val="Compact"/>
              <w:jc w:val="left"/>
            </w:pPr>
            <w:r>
              <w:t xml:space="preserve">LogP</w:t>
            </w:r>
          </w:p>
        </w:tc>
        <w:tc>
          <w:tcPr/>
          <w:p>
            <w:pPr>
              <w:pStyle w:val="Compact"/>
              <w:jc w:val="left"/>
            </w:pPr>
            <w:r>
              <w:t xml:space="preserve">Lipinski (2 of 4)</w:t>
            </w:r>
          </w:p>
        </w:tc>
        <w:tc>
          <w:tcPr/>
          <w:p>
            <w:pPr>
              <w:pStyle w:val="Compact"/>
              <w:jc w:val="left"/>
            </w:pPr>
            <w:r>
              <w:t xml:space="preserve">≤ 5</w:t>
            </w:r>
          </w:p>
        </w:tc>
        <w:tc>
          <w:tcPr/>
          <w:p>
            <w:pPr>
              <w:pStyle w:val="Compact"/>
              <w:jc w:val="left"/>
            </w:pPr>
            <w:r>
              <w:t xml:space="preserve">Calculated octanol–water partition coefficient (Wildman–Crippen); lipophilicity.</w:t>
            </w:r>
          </w:p>
        </w:tc>
      </w:tr>
      <w:tr>
        <w:tc>
          <w:tcPr/>
          <w:p>
            <w:pPr>
              <w:pStyle w:val="Compact"/>
              <w:jc w:val="left"/>
            </w:pPr>
            <w:r>
              <w:t xml:space="preserve">NumHDonors</w:t>
            </w:r>
          </w:p>
        </w:tc>
        <w:tc>
          <w:tcPr/>
          <w:p>
            <w:pPr>
              <w:pStyle w:val="Compact"/>
              <w:jc w:val="left"/>
            </w:pPr>
            <w:r>
              <w:t xml:space="preserve">Lipinski (3 of 4)</w:t>
            </w:r>
          </w:p>
        </w:tc>
        <w:tc>
          <w:tcPr/>
          <w:p>
            <w:pPr>
              <w:pStyle w:val="Compact"/>
              <w:jc w:val="left"/>
            </w:pPr>
            <w:r>
              <w:t xml:space="preserve">≤ 5</w:t>
            </w:r>
          </w:p>
        </w:tc>
        <w:tc>
          <w:tcPr/>
          <w:p>
            <w:pPr>
              <w:pStyle w:val="Compact"/>
              <w:jc w:val="left"/>
            </w:pPr>
            <w:r>
              <w:t xml:space="preserve">Count of hydrogen-bond donor atoms (N–H, O–H); relates to desolvation cost on membrane crossing.</w:t>
            </w:r>
          </w:p>
        </w:tc>
      </w:tr>
      <w:tr>
        <w:tc>
          <w:tcPr/>
          <w:p>
            <w:pPr>
              <w:pStyle w:val="Compact"/>
              <w:jc w:val="left"/>
            </w:pPr>
            <w:r>
              <w:t xml:space="preserve">NumHAcceptors</w:t>
            </w:r>
          </w:p>
        </w:tc>
        <w:tc>
          <w:tcPr/>
          <w:p>
            <w:pPr>
              <w:pStyle w:val="Compact"/>
              <w:jc w:val="left"/>
            </w:pPr>
            <w:r>
              <w:t xml:space="preserve">Lipinski (4 of 4)</w:t>
            </w:r>
          </w:p>
        </w:tc>
        <w:tc>
          <w:tcPr/>
          <w:p>
            <w:pPr>
              <w:pStyle w:val="Compact"/>
              <w:jc w:val="left"/>
            </w:pPr>
            <w:r>
              <w:t xml:space="preserve">≤ 10</w:t>
            </w:r>
          </w:p>
        </w:tc>
        <w:tc>
          <w:tcPr/>
          <w:p>
            <w:pPr>
              <w:pStyle w:val="Compact"/>
              <w:jc w:val="left"/>
            </w:pPr>
            <w:r>
              <w:t xml:space="preserve">Count of hydrogen-bond acceptor heteroatoms (N, O); governs hydrogen-bonding capacity.</w:t>
            </w:r>
          </w:p>
        </w:tc>
      </w:tr>
      <w:tr>
        <w:tc>
          <w:tcPr/>
          <w:p>
            <w:pPr>
              <w:pStyle w:val="Compact"/>
              <w:jc w:val="left"/>
            </w:pPr>
            <w:r>
              <w:t xml:space="preserve">TPSA</w:t>
            </w:r>
          </w:p>
        </w:tc>
        <w:tc>
          <w:tcPr/>
          <w:p>
            <w:pPr>
              <w:pStyle w:val="Compact"/>
              <w:jc w:val="left"/>
            </w:pPr>
            <w:r>
              <w:t xml:space="preserve">Veber (1 of 2)</w:t>
            </w:r>
          </w:p>
        </w:tc>
        <w:tc>
          <w:tcPr/>
          <w:p>
            <w:pPr>
              <w:pStyle w:val="Compact"/>
              <w:jc w:val="left"/>
            </w:pPr>
            <w:r>
              <w:t xml:space="preserve">≤ 140 Å²</w:t>
            </w:r>
          </w:p>
        </w:tc>
        <w:tc>
          <w:tcPr/>
          <w:p>
            <w:pPr>
              <w:pStyle w:val="Compact"/>
              <w:jc w:val="left"/>
            </w:pPr>
            <w:r>
              <w:t xml:space="preserve">Fragment-based polar surface area; correlate of passive intestinal absorption.</w:t>
            </w:r>
          </w:p>
        </w:tc>
      </w:tr>
      <w:tr>
        <w:tc>
          <w:tcPr/>
          <w:p>
            <w:pPr>
              <w:pStyle w:val="Compact"/>
              <w:jc w:val="left"/>
            </w:pPr>
            <w:r>
              <w:t xml:space="preserve">NumRotatableBonds</w:t>
            </w:r>
          </w:p>
        </w:tc>
        <w:tc>
          <w:tcPr/>
          <w:p>
            <w:pPr>
              <w:pStyle w:val="Compact"/>
              <w:jc w:val="left"/>
            </w:pPr>
            <w:r>
              <w:t xml:space="preserve">Veber (2 of 2)</w:t>
            </w:r>
          </w:p>
        </w:tc>
        <w:tc>
          <w:tcPr/>
          <w:p>
            <w:pPr>
              <w:pStyle w:val="Compact"/>
              <w:jc w:val="left"/>
            </w:pPr>
            <w:r>
              <w:t xml:space="preserve">≤ 10</w:t>
            </w:r>
          </w:p>
        </w:tc>
        <w:tc>
          <w:tcPr/>
          <w:p>
            <w:pPr>
              <w:pStyle w:val="Compact"/>
              <w:jc w:val="left"/>
            </w:pPr>
            <w:r>
              <w:t xml:space="preserve">Count of freely rotatable, non-ring, non-terminal single bonds; proxy for conformational flexibility.</w:t>
            </w:r>
          </w:p>
        </w:tc>
      </w:tr>
    </w:tbl>
    <w:p>
      <w:pPr>
        <w:pStyle w:val="BodyText"/>
      </w:pPr>
      <w:r>
        <w:rPr>
          <w:vertAlign w:val="superscript"/>
        </w:rPr>
        <w:t xml:space="preserve">a</w:t>
      </w:r>
      <w:r>
        <w:t xml:space="preserve"> </w:t>
      </w:r>
      <w:r>
        <w:rPr>
          <w:iCs/>
          <w:i/>
        </w:rPr>
        <w:t xml:space="preserve">Conventional literature thresholds (Lipinski et al., 1997; Veber et al., 2002), reported for interpretive context; not re-derived from the present dataset.</w:t>
      </w:r>
    </w:p>
    <w:p>
      <w:pPr>
        <w:pStyle w:val="BodyText"/>
      </w:pPr>
      <w:r>
        <w:t xml:space="preserve">Retention was assessed against two complementary analyses computed on the final, deduplicated dataset (n = 5,494; Section 2.4): a pairwise correlation screen among the six descriptors, and a five-method importance evaluation combining a parametric test (ANOVA F-statistic), an information-theoretic measure (mutual information), a model-based measure (Random Forest feature importance), and two non-parametric group-difference measures (point-biserial correlation and Mann–Whitney rank-biserial effect size).</w:t>
      </w:r>
    </w:p>
    <w:p>
      <w:pPr>
        <w:pStyle w:val="BodyText"/>
      </w:pPr>
      <w:r>
        <w:t xml:space="preserve">The correlation screen (Table 3; Figure 1, left panel) identified exactly one descriptor pair exceeding the pre-specified multicollinearity threshold of |r| &gt; 0.80: TPSA and NumHAcceptors (r = 0.826), consistent with the chemical expectation that both quantities are driven substantially by the same polar heteroatoms. Across the five importance measures (Table 6), NumHAcceptors and LogP consistently occupied the two lowest positions: NumHAcceptors ranked lowest of the six candidates on mutual information (0.020) and Random Forest importance (0.080), and second-lowest — ahead of only LogP — on the ANOVA F-statistic, point-biserial correlation, and Mann–Whitney effect size. An automated multi-criterion screen accordingly flagged NumHAcceptors for exclusion on both multicollinearity and low-importance grounds.</w:t>
      </w:r>
    </w:p>
    <w:p>
      <w:pPr>
        <w:pStyle w:val="BodyText"/>
      </w:pPr>
      <w:r>
        <w:t xml:space="preserve">NumHAcceptors was nonetheless retained in the final released feature set (Section 2.6), together with all other candidate descriptors. Two considerations support this retention. First, NumHAcceptors was not uniformly the weakest descriptor: on three of the five importance measures (ANOVA F, point-biserial correlation, Mann–Whitney effect size) LogP — which was retained without contest — ranked lower still. Second, NumHAcceptors is the fourth of Lipinski’s four Rule-of-Five criteria; its retention preserves complete coverage of the Ro5 panel alongside both Veber criteria, at the cost of the single collinear pair identified above. Because the downstream classifier is a deep, non-linear multimodal network with dropout, weight decay, and layer-normalized modality projections (Section 3), the correlated dimension does not induce coefficient-identification pathologies that would arise in an unregularized linear model. We nonetheless flag this explicitly as a retained statistical trade-off rather than a resolved one (see Section 2.7).</w:t>
      </w:r>
    </w:p>
    <w:bookmarkEnd w:id="27"/>
    <w:bookmarkStart w:id="28" w:name="statistical-analysis"/>
    <w:p>
      <w:pPr>
        <w:pStyle w:val="Heading2"/>
      </w:pPr>
      <w:r>
        <w:t xml:space="preserve">2.4 Statistical Analysis</w:t>
      </w:r>
    </w:p>
    <w:p>
      <w:pPr>
        <w:pStyle w:val="FirstParagraph"/>
      </w:pPr>
      <w:r>
        <w:t xml:space="preserve">This section reports, in journal-formatted tables, the complete quantitative statistical evaluation performed on the six candidate descriptors, computed on the final, deduplicated dataset (n = 5,494; Section 2.2.5).</w:t>
      </w:r>
    </w:p>
    <w:p>
      <w:pPr>
        <w:pStyle w:val="BodyText"/>
      </w:pPr>
      <w:r>
        <w:rPr>
          <w:bCs/>
          <w:b/>
        </w:rPr>
        <w:t xml:space="preserve">Table 2.</w:t>
      </w:r>
      <w:r>
        <w:t xml:space="preserve"> </w:t>
      </w:r>
      <w:r>
        <w:rPr>
          <w:iCs/>
          <w:i/>
        </w:rPr>
        <w:t xml:space="preserve">Descriptive statistics (mean ± SD; median) for the six candidate descriptors, stratified by bioactivity class (n = 5,494).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Descriptor</w:t>
            </w:r>
          </w:p>
        </w:tc>
        <w:tc>
          <w:tcPr/>
          <w:p>
            <w:pPr>
              <w:pStyle w:val="Compact"/>
              <w:jc w:val="left"/>
            </w:pPr>
            <w:r>
              <w:t xml:space="preserve">Inactive: Mean ± SD</w:t>
            </w:r>
          </w:p>
        </w:tc>
        <w:tc>
          <w:tcPr/>
          <w:p>
            <w:pPr>
              <w:pStyle w:val="Compact"/>
              <w:jc w:val="left"/>
            </w:pPr>
            <w:r>
              <w:t xml:space="preserve">Inactive: Median</w:t>
            </w:r>
          </w:p>
        </w:tc>
        <w:tc>
          <w:tcPr/>
          <w:p>
            <w:pPr>
              <w:pStyle w:val="Compact"/>
              <w:jc w:val="left"/>
            </w:pPr>
            <w:r>
              <w:t xml:space="preserve">Active: Mean ± SD</w:t>
            </w:r>
          </w:p>
        </w:tc>
        <w:tc>
          <w:tcPr/>
          <w:p>
            <w:pPr>
              <w:pStyle w:val="Compact"/>
              <w:jc w:val="left"/>
            </w:pPr>
            <w:r>
              <w:t xml:space="preserve">Active: Median</w:t>
            </w:r>
          </w:p>
        </w:tc>
      </w:tr>
      <w:tr>
        <w:tc>
          <w:tcPr/>
          <w:p>
            <w:pPr>
              <w:pStyle w:val="Compact"/>
              <w:jc w:val="left"/>
            </w:pPr>
            <w:r>
              <w:t xml:space="preserve">MW</w:t>
            </w:r>
          </w:p>
        </w:tc>
        <w:tc>
          <w:tcPr/>
          <w:p>
            <w:pPr>
              <w:pStyle w:val="Compact"/>
              <w:jc w:val="left"/>
            </w:pPr>
            <w:r>
              <w:t xml:space="preserve">399.07 ± 139.14</w:t>
            </w:r>
          </w:p>
        </w:tc>
        <w:tc>
          <w:tcPr/>
          <w:p>
            <w:pPr>
              <w:pStyle w:val="Compact"/>
              <w:jc w:val="left"/>
            </w:pPr>
            <w:r>
              <w:t xml:space="preserve">368.59</w:t>
            </w:r>
          </w:p>
        </w:tc>
        <w:tc>
          <w:tcPr/>
          <w:p>
            <w:pPr>
              <w:pStyle w:val="Compact"/>
              <w:jc w:val="left"/>
            </w:pPr>
            <w:r>
              <w:t xml:space="preserve">441.04 ± 113.52</w:t>
            </w:r>
          </w:p>
        </w:tc>
        <w:tc>
          <w:tcPr/>
          <w:p>
            <w:pPr>
              <w:pStyle w:val="Compact"/>
              <w:jc w:val="left"/>
            </w:pPr>
            <w:r>
              <w:t xml:space="preserve">428.53</w:t>
            </w:r>
          </w:p>
        </w:tc>
      </w:tr>
      <w:tr>
        <w:tc>
          <w:tcPr/>
          <w:p>
            <w:pPr>
              <w:pStyle w:val="Compact"/>
              <w:jc w:val="left"/>
            </w:pPr>
            <w:r>
              <w:t xml:space="preserve">LogP</w:t>
            </w:r>
          </w:p>
        </w:tc>
        <w:tc>
          <w:tcPr/>
          <w:p>
            <w:pPr>
              <w:pStyle w:val="Compact"/>
              <w:jc w:val="left"/>
            </w:pPr>
            <w:r>
              <w:t xml:space="preserve">3.48 ± 1.64</w:t>
            </w:r>
          </w:p>
        </w:tc>
        <w:tc>
          <w:tcPr/>
          <w:p>
            <w:pPr>
              <w:pStyle w:val="Compact"/>
              <w:jc w:val="left"/>
            </w:pPr>
            <w:r>
              <w:t xml:space="preserve">3.23</w:t>
            </w:r>
          </w:p>
        </w:tc>
        <w:tc>
          <w:tcPr/>
          <w:p>
            <w:pPr>
              <w:pStyle w:val="Compact"/>
              <w:jc w:val="left"/>
            </w:pPr>
            <w:r>
              <w:t xml:space="preserve">3.73 ± 1.41</w:t>
            </w:r>
          </w:p>
        </w:tc>
        <w:tc>
          <w:tcPr/>
          <w:p>
            <w:pPr>
              <w:pStyle w:val="Compact"/>
              <w:jc w:val="left"/>
            </w:pPr>
            <w:r>
              <w:t xml:space="preserve">3.72</w:t>
            </w:r>
          </w:p>
        </w:tc>
      </w:tr>
      <w:tr>
        <w:tc>
          <w:tcPr/>
          <w:p>
            <w:pPr>
              <w:pStyle w:val="Compact"/>
              <w:jc w:val="left"/>
            </w:pPr>
            <w:r>
              <w:t xml:space="preserve">TPSA</w:t>
            </w:r>
          </w:p>
        </w:tc>
        <w:tc>
          <w:tcPr/>
          <w:p>
            <w:pPr>
              <w:pStyle w:val="Compact"/>
              <w:jc w:val="left"/>
            </w:pPr>
            <w:r>
              <w:t xml:space="preserve">89.00 ± 41.11</w:t>
            </w:r>
          </w:p>
        </w:tc>
        <w:tc>
          <w:tcPr/>
          <w:p>
            <w:pPr>
              <w:pStyle w:val="Compact"/>
              <w:jc w:val="left"/>
            </w:pPr>
            <w:r>
              <w:t xml:space="preserve">81.67</w:t>
            </w:r>
          </w:p>
        </w:tc>
        <w:tc>
          <w:tcPr/>
          <w:p>
            <w:pPr>
              <w:pStyle w:val="Compact"/>
              <w:jc w:val="left"/>
            </w:pPr>
            <w:r>
              <w:t xml:space="preserve">105.53 ± 35.64</w:t>
            </w:r>
          </w:p>
        </w:tc>
        <w:tc>
          <w:tcPr/>
          <w:p>
            <w:pPr>
              <w:pStyle w:val="Compact"/>
              <w:jc w:val="left"/>
            </w:pPr>
            <w:r>
              <w:t xml:space="preserve">100.28</w:t>
            </w:r>
          </w:p>
        </w:tc>
      </w:tr>
      <w:tr>
        <w:tc>
          <w:tcPr/>
          <w:p>
            <w:pPr>
              <w:pStyle w:val="Compact"/>
              <w:jc w:val="left"/>
            </w:pPr>
            <w:r>
              <w:t xml:space="preserve">NumHDonors</w:t>
            </w:r>
          </w:p>
        </w:tc>
        <w:tc>
          <w:tcPr/>
          <w:p>
            <w:pPr>
              <w:pStyle w:val="Compact"/>
              <w:jc w:val="left"/>
            </w:pPr>
            <w:r>
              <w:t xml:space="preserve">2.28 ± 1.35</w:t>
            </w:r>
          </w:p>
        </w:tc>
        <w:tc>
          <w:tcPr/>
          <w:p>
            <w:pPr>
              <w:pStyle w:val="Compact"/>
              <w:jc w:val="left"/>
            </w:pPr>
            <w:r>
              <w:t xml:space="preserve">2.0</w:t>
            </w:r>
          </w:p>
        </w:tc>
        <w:tc>
          <w:tcPr/>
          <w:p>
            <w:pPr>
              <w:pStyle w:val="Compact"/>
              <w:jc w:val="left"/>
            </w:pPr>
            <w:r>
              <w:t xml:space="preserve">3.05 ± 1.10</w:t>
            </w:r>
          </w:p>
        </w:tc>
        <w:tc>
          <w:tcPr/>
          <w:p>
            <w:pPr>
              <w:pStyle w:val="Compact"/>
              <w:jc w:val="left"/>
            </w:pPr>
            <w:r>
              <w:t xml:space="preserve">3.0</w:t>
            </w:r>
          </w:p>
        </w:tc>
      </w:tr>
      <w:tr>
        <w:tc>
          <w:tcPr/>
          <w:p>
            <w:pPr>
              <w:pStyle w:val="Compact"/>
              <w:jc w:val="left"/>
            </w:pPr>
            <w:r>
              <w:t xml:space="preserve">NumHAcceptors</w:t>
            </w:r>
          </w:p>
        </w:tc>
        <w:tc>
          <w:tcPr/>
          <w:p>
            <w:pPr>
              <w:pStyle w:val="Compact"/>
              <w:jc w:val="left"/>
            </w:pPr>
            <w:r>
              <w:t xml:space="preserve">5.12 ± 2.49</w:t>
            </w:r>
          </w:p>
        </w:tc>
        <w:tc>
          <w:tcPr/>
          <w:p>
            <w:pPr>
              <w:pStyle w:val="Compact"/>
              <w:jc w:val="left"/>
            </w:pPr>
            <w:r>
              <w:t xml:space="preserve">5.0</w:t>
            </w:r>
          </w:p>
        </w:tc>
        <w:tc>
          <w:tcPr/>
          <w:p>
            <w:pPr>
              <w:pStyle w:val="Compact"/>
              <w:jc w:val="left"/>
            </w:pPr>
            <w:r>
              <w:t xml:space="preserve">5.98 ± 2.47</w:t>
            </w:r>
          </w:p>
        </w:tc>
        <w:tc>
          <w:tcPr/>
          <w:p>
            <w:pPr>
              <w:pStyle w:val="Compact"/>
              <w:jc w:val="left"/>
            </w:pPr>
            <w:r>
              <w:t xml:space="preserve">5.0</w:t>
            </w:r>
          </w:p>
        </w:tc>
      </w:tr>
      <w:tr>
        <w:tc>
          <w:tcPr/>
          <w:p>
            <w:pPr>
              <w:pStyle w:val="Compact"/>
              <w:jc w:val="left"/>
            </w:pPr>
            <w:r>
              <w:t xml:space="preserve">NumRotatableBonds</w:t>
            </w:r>
          </w:p>
        </w:tc>
        <w:tc>
          <w:tcPr/>
          <w:p>
            <w:pPr>
              <w:pStyle w:val="Compact"/>
              <w:jc w:val="left"/>
            </w:pPr>
            <w:r>
              <w:t xml:space="preserve">6.40 ± 3.48</w:t>
            </w:r>
          </w:p>
        </w:tc>
        <w:tc>
          <w:tcPr/>
          <w:p>
            <w:pPr>
              <w:pStyle w:val="Compact"/>
              <w:jc w:val="left"/>
            </w:pPr>
            <w:r>
              <w:t xml:space="preserve">6.0</w:t>
            </w:r>
          </w:p>
        </w:tc>
        <w:tc>
          <w:tcPr/>
          <w:p>
            <w:pPr>
              <w:pStyle w:val="Compact"/>
              <w:jc w:val="left"/>
            </w:pPr>
            <w:r>
              <w:t xml:space="preserve">8.10 ± 3.35</w:t>
            </w:r>
          </w:p>
        </w:tc>
        <w:tc>
          <w:tcPr/>
          <w:p>
            <w:pPr>
              <w:pStyle w:val="Compact"/>
              <w:jc w:val="left"/>
            </w:pPr>
            <w:r>
              <w:t xml:space="preserve">8.0</w:t>
            </w:r>
          </w:p>
        </w:tc>
      </w:tr>
    </w:tbl>
    <w:p>
      <w:pPr>
        <w:pStyle w:val="BodyText"/>
      </w:pPr>
      <w:r>
        <w:t xml:space="preserve">As shown in Table 2, active compounds exhibited higher central tendency than inactive compounds on every descriptor examined, most markedly for NumRotatableBonds (median 8.0 vs. 6.0) and NumHDonors (median 3.0 vs. 2.0), and more modestly for TPSA (median 100.28 vs. 81.67 Å²), MW (median 428.5 vs. 368.6 g mol⁻¹), and NumHAcceptors (median 5.0 for both classes, though the active-class mean was higher). LogP medians were comparable between classes (3.72 vs. 3.23).</w:t>
      </w:r>
    </w:p>
    <w:p>
      <w:pPr>
        <w:pStyle w:val="BodyText"/>
      </w:pPr>
      <w:r>
        <w:rPr>
          <w:bCs/>
          <w:b/>
        </w:rPr>
        <w:t xml:space="preserve">Table 3.</w:t>
      </w:r>
      <w:r>
        <w:t xml:space="preserve"> </w:t>
      </w:r>
      <w:r>
        <w:rPr>
          <w:iCs/>
          <w:i/>
        </w:rPr>
        <w:t xml:space="preserve">Pairwise Pearson correlation matrix among the six candidate descriptors (n = 5,494).</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MW</w:t>
            </w:r>
          </w:p>
        </w:tc>
        <w:tc>
          <w:tcPr/>
          <w:p>
            <w:pPr>
              <w:pStyle w:val="Compact"/>
              <w:jc w:val="left"/>
            </w:pPr>
            <w:r>
              <w:t xml:space="preserve">LogP</w:t>
            </w:r>
          </w:p>
        </w:tc>
        <w:tc>
          <w:tcPr/>
          <w:p>
            <w:pPr>
              <w:pStyle w:val="Compact"/>
              <w:jc w:val="left"/>
            </w:pPr>
            <w:r>
              <w:t xml:space="preserve">TPSA</w:t>
            </w:r>
          </w:p>
        </w:tc>
        <w:tc>
          <w:tcPr/>
          <w:p>
            <w:pPr>
              <w:pStyle w:val="Compact"/>
              <w:jc w:val="left"/>
            </w:pPr>
            <w:r>
              <w:t xml:space="preserve">NumHDonors</w:t>
            </w:r>
          </w:p>
        </w:tc>
        <w:tc>
          <w:tcPr/>
          <w:p>
            <w:pPr>
              <w:pStyle w:val="Compact"/>
              <w:jc w:val="left"/>
            </w:pPr>
            <w:r>
              <w:t xml:space="preserve">NumHAcceptors</w:t>
            </w:r>
          </w:p>
        </w:tc>
        <w:tc>
          <w:tcPr/>
          <w:p>
            <w:pPr>
              <w:pStyle w:val="Compact"/>
              <w:jc w:val="left"/>
            </w:pPr>
            <w:r>
              <w:t xml:space="preserve">NumRotBonds</w:t>
            </w:r>
          </w:p>
        </w:tc>
      </w:tr>
      <w:tr>
        <w:tc>
          <w:tcPr/>
          <w:p>
            <w:pPr>
              <w:pStyle w:val="Compact"/>
              <w:jc w:val="left"/>
            </w:pPr>
            <w:r>
              <w:rPr>
                <w:bCs/>
                <w:b/>
              </w:rPr>
              <w:t xml:space="preserve">MW</w:t>
            </w:r>
          </w:p>
        </w:tc>
        <w:tc>
          <w:tcPr/>
          <w:p>
            <w:pPr>
              <w:pStyle w:val="Compact"/>
              <w:jc w:val="left"/>
            </w:pPr>
            <w:r>
              <w:t xml:space="preserve">1.00</w:t>
            </w:r>
          </w:p>
        </w:tc>
        <w:tc>
          <w:tcPr/>
          <w:p>
            <w:pPr>
              <w:pStyle w:val="Compact"/>
              <w:jc w:val="left"/>
            </w:pPr>
            <w:r>
              <w:t xml:space="preserve">0.47</w:t>
            </w:r>
          </w:p>
        </w:tc>
        <w:tc>
          <w:tcPr/>
          <w:p>
            <w:pPr>
              <w:pStyle w:val="Compact"/>
              <w:jc w:val="left"/>
            </w:pPr>
            <w:r>
              <w:t xml:space="preserve">0.76</w:t>
            </w:r>
          </w:p>
        </w:tc>
        <w:tc>
          <w:tcPr/>
          <w:p>
            <w:pPr>
              <w:pStyle w:val="Compact"/>
              <w:jc w:val="left"/>
            </w:pPr>
            <w:r>
              <w:t xml:space="preserve">0.48</w:t>
            </w:r>
          </w:p>
        </w:tc>
        <w:tc>
          <w:tcPr/>
          <w:p>
            <w:pPr>
              <w:pStyle w:val="Compact"/>
              <w:jc w:val="left"/>
            </w:pPr>
            <w:r>
              <w:t xml:space="preserve">0.72</w:t>
            </w:r>
          </w:p>
        </w:tc>
        <w:tc>
          <w:tcPr/>
          <w:p>
            <w:pPr>
              <w:pStyle w:val="Compact"/>
              <w:jc w:val="left"/>
            </w:pPr>
            <w:r>
              <w:t xml:space="preserve">0.69</w:t>
            </w:r>
          </w:p>
        </w:tc>
      </w:tr>
      <w:tr>
        <w:tc>
          <w:tcPr/>
          <w:p>
            <w:pPr>
              <w:pStyle w:val="Compact"/>
              <w:jc w:val="left"/>
            </w:pPr>
            <w:r>
              <w:rPr>
                <w:bCs/>
                <w:b/>
              </w:rPr>
              <w:t xml:space="preserve">LogP</w:t>
            </w:r>
          </w:p>
        </w:tc>
        <w:tc>
          <w:tcPr/>
          <w:p>
            <w:pPr>
              <w:pStyle w:val="Compact"/>
              <w:jc w:val="left"/>
            </w:pPr>
            <w:r>
              <w:t xml:space="preserve">0.47</w:t>
            </w:r>
          </w:p>
        </w:tc>
        <w:tc>
          <w:tcPr/>
          <w:p>
            <w:pPr>
              <w:pStyle w:val="Compact"/>
              <w:jc w:val="left"/>
            </w:pPr>
            <w:r>
              <w:t xml:space="preserve">1.00</w:t>
            </w:r>
          </w:p>
        </w:tc>
        <w:tc>
          <w:tcPr/>
          <w:p>
            <w:pPr>
              <w:pStyle w:val="Compact"/>
              <w:jc w:val="left"/>
            </w:pPr>
            <w:r>
              <w:t xml:space="preserve">0.03</w:t>
            </w:r>
          </w:p>
        </w:tc>
        <w:tc>
          <w:tcPr/>
          <w:p>
            <w:pPr>
              <w:pStyle w:val="Compact"/>
              <w:jc w:val="left"/>
            </w:pPr>
            <w:r>
              <w:t xml:space="preserve">−0.08</w:t>
            </w:r>
          </w:p>
        </w:tc>
        <w:tc>
          <w:tcPr/>
          <w:p>
            <w:pPr>
              <w:pStyle w:val="Compact"/>
              <w:jc w:val="left"/>
            </w:pPr>
            <w:r>
              <w:t xml:space="preserve">0.02</w:t>
            </w:r>
          </w:p>
        </w:tc>
        <w:tc>
          <w:tcPr/>
          <w:p>
            <w:pPr>
              <w:pStyle w:val="Compact"/>
              <w:jc w:val="left"/>
            </w:pPr>
            <w:r>
              <w:t xml:space="preserve">0.40</w:t>
            </w:r>
          </w:p>
        </w:tc>
      </w:tr>
      <w:tr>
        <w:tc>
          <w:tcPr/>
          <w:p>
            <w:pPr>
              <w:pStyle w:val="Compact"/>
              <w:jc w:val="left"/>
            </w:pPr>
            <w:r>
              <w:rPr>
                <w:bCs/>
                <w:b/>
              </w:rPr>
              <w:t xml:space="preserve">TPSA</w:t>
            </w:r>
          </w:p>
        </w:tc>
        <w:tc>
          <w:tcPr/>
          <w:p>
            <w:pPr>
              <w:pStyle w:val="Compact"/>
              <w:jc w:val="left"/>
            </w:pPr>
            <w:r>
              <w:t xml:space="preserve">0.76</w:t>
            </w:r>
          </w:p>
        </w:tc>
        <w:tc>
          <w:tcPr/>
          <w:p>
            <w:pPr>
              <w:pStyle w:val="Compact"/>
              <w:jc w:val="left"/>
            </w:pPr>
            <w:r>
              <w:t xml:space="preserve">0.03</w:t>
            </w:r>
          </w:p>
        </w:tc>
        <w:tc>
          <w:tcPr/>
          <w:p>
            <w:pPr>
              <w:pStyle w:val="Compact"/>
              <w:jc w:val="left"/>
            </w:pPr>
            <w:r>
              <w:t xml:space="preserve">1.00</w:t>
            </w:r>
          </w:p>
        </w:tc>
        <w:tc>
          <w:tcPr/>
          <w:p>
            <w:pPr>
              <w:pStyle w:val="Compact"/>
              <w:jc w:val="left"/>
            </w:pPr>
            <w:r>
              <w:t xml:space="preserve">0.74</w:t>
            </w:r>
          </w:p>
        </w:tc>
        <w:tc>
          <w:tcPr/>
          <w:p>
            <w:pPr>
              <w:pStyle w:val="Compact"/>
              <w:jc w:val="left"/>
            </w:pPr>
            <w:r>
              <w:t xml:space="preserve">0.83</w:t>
            </w:r>
            <w:r>
              <w:rPr>
                <w:vertAlign w:val="superscript"/>
              </w:rPr>
              <w:t xml:space="preserve">a</w:t>
            </w:r>
          </w:p>
        </w:tc>
        <w:tc>
          <w:tcPr/>
          <w:p>
            <w:pPr>
              <w:pStyle w:val="Compact"/>
              <w:jc w:val="left"/>
            </w:pPr>
            <w:r>
              <w:t xml:space="preserve">0.55</w:t>
            </w:r>
          </w:p>
        </w:tc>
      </w:tr>
      <w:tr>
        <w:tc>
          <w:tcPr/>
          <w:p>
            <w:pPr>
              <w:pStyle w:val="Compact"/>
              <w:jc w:val="left"/>
            </w:pPr>
            <w:r>
              <w:rPr>
                <w:bCs/>
                <w:b/>
              </w:rPr>
              <w:t xml:space="preserve">NumHDonors</w:t>
            </w:r>
          </w:p>
        </w:tc>
        <w:tc>
          <w:tcPr/>
          <w:p>
            <w:pPr>
              <w:pStyle w:val="Compact"/>
              <w:jc w:val="left"/>
            </w:pPr>
            <w:r>
              <w:t xml:space="preserve">0.48</w:t>
            </w:r>
          </w:p>
        </w:tc>
        <w:tc>
          <w:tcPr/>
          <w:p>
            <w:pPr>
              <w:pStyle w:val="Compact"/>
              <w:jc w:val="left"/>
            </w:pPr>
            <w:r>
              <w:t xml:space="preserve">−0.08</w:t>
            </w:r>
          </w:p>
        </w:tc>
        <w:tc>
          <w:tcPr/>
          <w:p>
            <w:pPr>
              <w:pStyle w:val="Compact"/>
              <w:jc w:val="left"/>
            </w:pPr>
            <w:r>
              <w:t xml:space="preserve">0.74</w:t>
            </w:r>
          </w:p>
        </w:tc>
        <w:tc>
          <w:tcPr/>
          <w:p>
            <w:pPr>
              <w:pStyle w:val="Compact"/>
              <w:jc w:val="left"/>
            </w:pPr>
            <w:r>
              <w:t xml:space="preserve">1.00</w:t>
            </w:r>
          </w:p>
        </w:tc>
        <w:tc>
          <w:tcPr/>
          <w:p>
            <w:pPr>
              <w:pStyle w:val="Compact"/>
              <w:jc w:val="left"/>
            </w:pPr>
            <w:r>
              <w:t xml:space="preserve">0.41</w:t>
            </w:r>
          </w:p>
        </w:tc>
        <w:tc>
          <w:tcPr/>
          <w:p>
            <w:pPr>
              <w:pStyle w:val="Compact"/>
              <w:jc w:val="left"/>
            </w:pPr>
            <w:r>
              <w:t xml:space="preserve">0.41</w:t>
            </w:r>
          </w:p>
        </w:tc>
      </w:tr>
      <w:tr>
        <w:tc>
          <w:tcPr/>
          <w:p>
            <w:pPr>
              <w:pStyle w:val="Compact"/>
              <w:jc w:val="left"/>
            </w:pPr>
            <w:r>
              <w:rPr>
                <w:bCs/>
                <w:b/>
              </w:rPr>
              <w:t xml:space="preserve">NumHAcceptors</w:t>
            </w:r>
          </w:p>
        </w:tc>
        <w:tc>
          <w:tcPr/>
          <w:p>
            <w:pPr>
              <w:pStyle w:val="Compact"/>
              <w:jc w:val="left"/>
            </w:pPr>
            <w:r>
              <w:t xml:space="preserve">0.72</w:t>
            </w:r>
          </w:p>
        </w:tc>
        <w:tc>
          <w:tcPr/>
          <w:p>
            <w:pPr>
              <w:pStyle w:val="Compact"/>
              <w:jc w:val="left"/>
            </w:pPr>
            <w:r>
              <w:t xml:space="preserve">0.02</w:t>
            </w:r>
          </w:p>
        </w:tc>
        <w:tc>
          <w:tcPr/>
          <w:p>
            <w:pPr>
              <w:pStyle w:val="Compact"/>
              <w:jc w:val="left"/>
            </w:pPr>
            <w:r>
              <w:t xml:space="preserve">0.83</w:t>
            </w:r>
            <w:r>
              <w:rPr>
                <w:vertAlign w:val="superscript"/>
              </w:rPr>
              <w:t xml:space="preserve">a</w:t>
            </w:r>
          </w:p>
        </w:tc>
        <w:tc>
          <w:tcPr/>
          <w:p>
            <w:pPr>
              <w:pStyle w:val="Compact"/>
              <w:jc w:val="left"/>
            </w:pPr>
            <w:r>
              <w:t xml:space="preserve">0.41</w:t>
            </w:r>
          </w:p>
        </w:tc>
        <w:tc>
          <w:tcPr/>
          <w:p>
            <w:pPr>
              <w:pStyle w:val="Compact"/>
              <w:jc w:val="left"/>
            </w:pPr>
            <w:r>
              <w:t xml:space="preserve">1.00</w:t>
            </w:r>
          </w:p>
        </w:tc>
        <w:tc>
          <w:tcPr/>
          <w:p>
            <w:pPr>
              <w:pStyle w:val="Compact"/>
              <w:jc w:val="left"/>
            </w:pPr>
            <w:r>
              <w:t xml:space="preserve">0.47</w:t>
            </w:r>
          </w:p>
        </w:tc>
      </w:tr>
      <w:tr>
        <w:tc>
          <w:tcPr/>
          <w:p>
            <w:pPr>
              <w:pStyle w:val="Compact"/>
              <w:jc w:val="left"/>
            </w:pPr>
            <w:r>
              <w:rPr>
                <w:bCs/>
                <w:b/>
              </w:rPr>
              <w:t xml:space="preserve">NumRotBonds</w:t>
            </w:r>
          </w:p>
        </w:tc>
        <w:tc>
          <w:tcPr/>
          <w:p>
            <w:pPr>
              <w:pStyle w:val="Compact"/>
              <w:jc w:val="left"/>
            </w:pPr>
            <w:r>
              <w:t xml:space="preserve">0.69</w:t>
            </w:r>
          </w:p>
        </w:tc>
        <w:tc>
          <w:tcPr/>
          <w:p>
            <w:pPr>
              <w:pStyle w:val="Compact"/>
              <w:jc w:val="left"/>
            </w:pPr>
            <w:r>
              <w:t xml:space="preserve">0.40</w:t>
            </w:r>
          </w:p>
        </w:tc>
        <w:tc>
          <w:tcPr/>
          <w:p>
            <w:pPr>
              <w:pStyle w:val="Compact"/>
              <w:jc w:val="left"/>
            </w:pPr>
            <w:r>
              <w:t xml:space="preserve">0.55</w:t>
            </w:r>
          </w:p>
        </w:tc>
        <w:tc>
          <w:tcPr/>
          <w:p>
            <w:pPr>
              <w:pStyle w:val="Compact"/>
              <w:jc w:val="left"/>
            </w:pPr>
            <w:r>
              <w:t xml:space="preserve">0.41</w:t>
            </w:r>
          </w:p>
        </w:tc>
        <w:tc>
          <w:tcPr/>
          <w:p>
            <w:pPr>
              <w:pStyle w:val="Compact"/>
              <w:jc w:val="left"/>
            </w:pPr>
            <w:r>
              <w:t xml:space="preserve">0.47</w:t>
            </w:r>
          </w:p>
        </w:tc>
        <w:tc>
          <w:tcPr/>
          <w:p>
            <w:pPr>
              <w:pStyle w:val="Compact"/>
              <w:jc w:val="left"/>
            </w:pPr>
            <w:r>
              <w:t xml:space="preserve">1.00</w:t>
            </w:r>
          </w:p>
        </w:tc>
      </w:tr>
    </w:tbl>
    <w:p>
      <w:pPr>
        <w:pStyle w:val="BodyText"/>
      </w:pPr>
      <w:r>
        <w:rPr>
          <w:vertAlign w:val="superscript"/>
        </w:rPr>
        <w:t xml:space="preserve">a</w:t>
      </w:r>
      <w:r>
        <w:t xml:space="preserve"> </w:t>
      </w:r>
      <w:r>
        <w:rPr>
          <w:iCs/>
          <w:i/>
        </w:rPr>
        <w:t xml:space="preserve">Only pairing exceeding the pre-specified |r| &gt; 0.80 multicollinearity threshold (r = 0.826; Section 2.3).</w:t>
      </w:r>
    </w:p>
    <w:p>
      <w:pPr>
        <w:pStyle w:val="BodyText"/>
      </w:pPr>
      <w:r>
        <w:t xml:space="preserve">As shown in Table 3 and Figure 1 (left panel), inter-descriptor correlations ranged from modest to moderately strong; besides the flagged TPSA–NumHAcceptors pairing, MW correlated moderately with TPSA (r = 0.76) and NumHAcceptors (r = 0.72), and TPSA correlated moderately with NumHDonors (r = 0.74), reflecting the expected chemical relationship between molecular size, polarity, and hydrogen-bonding capacity.</w:t>
      </w:r>
    </w:p>
    <w:p>
      <w:pPr>
        <w:pStyle w:val="BodyText"/>
      </w:pPr>
      <w:r>
        <w:rPr>
          <w:bCs/>
          <w:b/>
        </w:rPr>
        <w:t xml:space="preserve">Figure 1.</w:t>
      </w:r>
      <w:r>
        <w:t xml:space="preserve"> </w:t>
      </w:r>
      <w:r>
        <w:rPr>
          <w:iCs/>
          <w:i/>
        </w:rPr>
        <w:t xml:space="preserve">Descriptor correlation matrix (left) and point-biserial correlation of each descriptor with the binary bioactivity label (right; green bars denote a positive association). All six descriptors correlated positively with bioactivity. n = 5,494.</w:t>
      </w:r>
    </w:p>
    <w:p>
      <w:pPr>
        <w:pStyle w:val="BodyText"/>
      </w:pPr>
      <w:r>
        <w:rPr>
          <w:bCs/>
          <w:b/>
        </w:rPr>
        <w:t xml:space="preserve">Table 4.</w:t>
      </w:r>
      <w:r>
        <w:t xml:space="preserve"> </w:t>
      </w:r>
      <w:r>
        <w:rPr>
          <w:iCs/>
          <w:i/>
        </w:rPr>
        <w:t xml:space="preserve">Point-biserial correlation of each descriptor with the binary bioactivity label (n = 5,494).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Descriptor</w:t>
            </w:r>
          </w:p>
        </w:tc>
        <w:tc>
          <w:tcPr/>
          <w:p>
            <w:pPr>
              <w:pStyle w:val="Compact"/>
              <w:jc w:val="left"/>
            </w:pPr>
            <w:r>
              <w:t xml:space="preserve">r</w:t>
            </w:r>
            <w:r>
              <w:rPr>
                <w:vertAlign w:val="subscript"/>
              </w:rPr>
              <w:t xml:space="preserve">pb</w:t>
            </w:r>
          </w:p>
        </w:tc>
        <w:tc>
          <w:tcPr/>
          <w:p>
            <w:pPr>
              <w:pStyle w:val="Compact"/>
              <w:jc w:val="left"/>
            </w:pPr>
            <w:r>
              <w:t xml:space="preserve">p-value</w:t>
            </w:r>
          </w:p>
        </w:tc>
      </w:tr>
      <w:tr>
        <w:tc>
          <w:tcPr/>
          <w:p>
            <w:pPr>
              <w:pStyle w:val="Compact"/>
              <w:jc w:val="left"/>
            </w:pPr>
            <w:r>
              <w:t xml:space="preserve">NumHDonors</w:t>
            </w:r>
          </w:p>
        </w:tc>
        <w:tc>
          <w:tcPr/>
          <w:p>
            <w:pPr>
              <w:pStyle w:val="Compact"/>
              <w:jc w:val="left"/>
            </w:pPr>
            <w:r>
              <w:t xml:space="preserve">0.264</w:t>
            </w:r>
          </w:p>
        </w:tc>
        <w:tc>
          <w:tcPr/>
          <w:p>
            <w:pPr>
              <w:pStyle w:val="Compact"/>
              <w:jc w:val="left"/>
            </w:pPr>
            <w:r>
              <w:t xml:space="preserve">3.28 × 10⁻⁸⁸</w:t>
            </w:r>
          </w:p>
        </w:tc>
      </w:tr>
      <w:tr>
        <w:tc>
          <w:tcPr/>
          <w:p>
            <w:pPr>
              <w:pStyle w:val="Compact"/>
              <w:jc w:val="left"/>
            </w:pPr>
            <w:r>
              <w:t xml:space="preserve">NumRotatableBonds</w:t>
            </w:r>
          </w:p>
        </w:tc>
        <w:tc>
          <w:tcPr/>
          <w:p>
            <w:pPr>
              <w:pStyle w:val="Compact"/>
              <w:jc w:val="left"/>
            </w:pPr>
            <w:r>
              <w:t xml:space="preserve">0.201</w:t>
            </w:r>
          </w:p>
        </w:tc>
        <w:tc>
          <w:tcPr/>
          <w:p>
            <w:pPr>
              <w:pStyle w:val="Compact"/>
              <w:jc w:val="left"/>
            </w:pPr>
            <w:r>
              <w:t xml:space="preserve">2.51 × 10⁻⁵¹</w:t>
            </w:r>
          </w:p>
        </w:tc>
      </w:tr>
      <w:tr>
        <w:tc>
          <w:tcPr/>
          <w:p>
            <w:pPr>
              <w:pStyle w:val="Compact"/>
              <w:jc w:val="left"/>
            </w:pPr>
            <w:r>
              <w:t xml:space="preserve">TPSA</w:t>
            </w:r>
          </w:p>
        </w:tc>
        <w:tc>
          <w:tcPr/>
          <w:p>
            <w:pPr>
              <w:pStyle w:val="Compact"/>
              <w:jc w:val="left"/>
            </w:pPr>
            <w:r>
              <w:t xml:space="preserve">0.180</w:t>
            </w:r>
          </w:p>
        </w:tc>
        <w:tc>
          <w:tcPr/>
          <w:p>
            <w:pPr>
              <w:pStyle w:val="Compact"/>
              <w:jc w:val="left"/>
            </w:pPr>
            <w:r>
              <w:t xml:space="preserve">1.97 × 10⁻⁴¹</w:t>
            </w:r>
          </w:p>
        </w:tc>
      </w:tr>
      <w:tr>
        <w:tc>
          <w:tcPr/>
          <w:p>
            <w:pPr>
              <w:pStyle w:val="Compact"/>
              <w:jc w:val="left"/>
            </w:pPr>
            <w:r>
              <w:t xml:space="preserve">MW</w:t>
            </w:r>
          </w:p>
        </w:tc>
        <w:tc>
          <w:tcPr/>
          <w:p>
            <w:pPr>
              <w:pStyle w:val="Compact"/>
              <w:jc w:val="left"/>
            </w:pPr>
            <w:r>
              <w:t xml:space="preserve">0.142</w:t>
            </w:r>
          </w:p>
        </w:tc>
        <w:tc>
          <w:tcPr/>
          <w:p>
            <w:pPr>
              <w:pStyle w:val="Compact"/>
              <w:jc w:val="left"/>
            </w:pPr>
            <w:r>
              <w:t xml:space="preserve">2.89 × 10⁻²⁶</w:t>
            </w:r>
          </w:p>
        </w:tc>
      </w:tr>
      <w:tr>
        <w:tc>
          <w:tcPr/>
          <w:p>
            <w:pPr>
              <w:pStyle w:val="Compact"/>
              <w:jc w:val="left"/>
            </w:pPr>
            <w:r>
              <w:t xml:space="preserve">NumHAcceptors</w:t>
            </w:r>
          </w:p>
        </w:tc>
        <w:tc>
          <w:tcPr/>
          <w:p>
            <w:pPr>
              <w:pStyle w:val="Compact"/>
              <w:jc w:val="left"/>
            </w:pPr>
            <w:r>
              <w:t xml:space="preserve">0.140</w:t>
            </w:r>
          </w:p>
        </w:tc>
        <w:tc>
          <w:tcPr/>
          <w:p>
            <w:pPr>
              <w:pStyle w:val="Compact"/>
              <w:jc w:val="left"/>
            </w:pPr>
            <w:r>
              <w:t xml:space="preserve">1.98 × 10⁻²⁵</w:t>
            </w:r>
          </w:p>
        </w:tc>
      </w:tr>
      <w:tr>
        <w:tc>
          <w:tcPr/>
          <w:p>
            <w:pPr>
              <w:pStyle w:val="Compact"/>
              <w:jc w:val="left"/>
            </w:pPr>
            <w:r>
              <w:t xml:space="preserve">LogP</w:t>
            </w:r>
          </w:p>
        </w:tc>
        <w:tc>
          <w:tcPr/>
          <w:p>
            <w:pPr>
              <w:pStyle w:val="Compact"/>
              <w:jc w:val="left"/>
            </w:pPr>
            <w:r>
              <w:t xml:space="preserve">0.071</w:t>
            </w:r>
          </w:p>
        </w:tc>
        <w:tc>
          <w:tcPr/>
          <w:p>
            <w:pPr>
              <w:pStyle w:val="Compact"/>
              <w:jc w:val="left"/>
            </w:pPr>
            <w:r>
              <w:t xml:space="preserve">1.24 × 10⁻⁰⁷</w:t>
            </w:r>
          </w:p>
        </w:tc>
      </w:tr>
    </w:tbl>
    <w:p>
      <w:pPr>
        <w:pStyle w:val="BodyText"/>
      </w:pPr>
      <w:r>
        <w:t xml:space="preserve">All six descriptors showed a statistically significant, positive point-biserial association with bioactivity (Table 4; all p &lt; 0.001). NumHDonors showed the strongest association (r</w:t>
      </w:r>
      <w:r>
        <w:rPr>
          <w:vertAlign w:val="subscript"/>
        </w:rPr>
        <w:t xml:space="preserve">pb</w:t>
      </w:r>
      <w:r>
        <w:t xml:space="preserve"> </w:t>
      </w:r>
      <w:r>
        <w:t xml:space="preserve">= 0.264), followed by NumRotatableBonds (r</w:t>
      </w:r>
      <w:r>
        <w:rPr>
          <w:vertAlign w:val="subscript"/>
        </w:rPr>
        <w:t xml:space="preserve">pb</w:t>
      </w:r>
      <w:r>
        <w:t xml:space="preserve"> </w:t>
      </w:r>
      <w:r>
        <w:t xml:space="preserve">= 0.201) and TPSA (r</w:t>
      </w:r>
      <w:r>
        <w:rPr>
          <w:vertAlign w:val="subscript"/>
        </w:rPr>
        <w:t xml:space="preserve">pb</w:t>
      </w:r>
      <w:r>
        <w:t xml:space="preserve"> </w:t>
      </w:r>
      <w:r>
        <w:t xml:space="preserve">= 0.180); LogP showed the weakest, albeit still significant, association (r</w:t>
      </w:r>
      <w:r>
        <w:rPr>
          <w:vertAlign w:val="subscript"/>
        </w:rPr>
        <w:t xml:space="preserve">pb</w:t>
      </w:r>
      <w:r>
        <w:t xml:space="preserve"> </w:t>
      </w:r>
      <w:r>
        <w:t xml:space="preserve">= 0.071), with NumHAcceptors close behind (r</w:t>
      </w:r>
      <w:r>
        <w:rPr>
          <w:vertAlign w:val="subscript"/>
        </w:rPr>
        <w:t xml:space="preserve">pb</w:t>
      </w:r>
      <w:r>
        <w:t xml:space="preserve"> </w:t>
      </w:r>
      <w:r>
        <w:t xml:space="preserve">= 0.140).</w:t>
      </w:r>
    </w:p>
    <w:p>
      <w:pPr>
        <w:pStyle w:val="BodyText"/>
      </w:pPr>
      <w:r>
        <w:rPr>
          <w:bCs/>
          <w:b/>
        </w:rPr>
        <w:t xml:space="preserve">Table 5.</w:t>
      </w:r>
      <w:r>
        <w:t xml:space="preserve"> </w:t>
      </w:r>
      <w:r>
        <w:rPr>
          <w:iCs/>
          <w:i/>
        </w:rPr>
        <w:t xml:space="preserve">Mann–Whitney U test comparing active vs. inactive compounds on each descriptor (two-sided, n = 5,494).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Descriptor</w:t>
            </w:r>
          </w:p>
        </w:tc>
        <w:tc>
          <w:tcPr/>
          <w:p>
            <w:pPr>
              <w:pStyle w:val="Compact"/>
              <w:jc w:val="left"/>
            </w:pPr>
            <w:r>
              <w:t xml:space="preserve">U-statistic</w:t>
            </w:r>
          </w:p>
        </w:tc>
        <w:tc>
          <w:tcPr/>
          <w:p>
            <w:pPr>
              <w:pStyle w:val="Compact"/>
              <w:jc w:val="left"/>
            </w:pPr>
            <w:r>
              <w:t xml:space="preserve">p-value</w:t>
            </w:r>
          </w:p>
        </w:tc>
        <w:tc>
          <w:tcPr/>
          <w:p>
            <w:pPr>
              <w:pStyle w:val="Compact"/>
              <w:jc w:val="left"/>
            </w:pPr>
            <w:r>
              <w:t xml:space="preserve">Rank-biserial r</w:t>
            </w:r>
          </w:p>
        </w:tc>
        <w:tc>
          <w:tcPr/>
          <w:p>
            <w:pPr>
              <w:pStyle w:val="Compact"/>
              <w:jc w:val="left"/>
            </w:pPr>
            <w:r>
              <w:t xml:space="preserve">Effect size</w:t>
            </w:r>
          </w:p>
        </w:tc>
      </w:tr>
      <w:tr>
        <w:tc>
          <w:tcPr/>
          <w:p>
            <w:pPr>
              <w:pStyle w:val="Compact"/>
              <w:jc w:val="left"/>
            </w:pPr>
            <w:r>
              <w:t xml:space="preserve">NumHDonors</w:t>
            </w:r>
          </w:p>
        </w:tc>
        <w:tc>
          <w:tcPr/>
          <w:p>
            <w:pPr>
              <w:pStyle w:val="Compact"/>
              <w:jc w:val="left"/>
            </w:pPr>
            <w:r>
              <w:t xml:space="preserve">3,481,110.0</w:t>
            </w:r>
          </w:p>
        </w:tc>
        <w:tc>
          <w:tcPr/>
          <w:p>
            <w:pPr>
              <w:pStyle w:val="Compact"/>
              <w:jc w:val="left"/>
            </w:pPr>
            <w:r>
              <w:t xml:space="preserve">4.20 × 10⁻⁹⁶</w:t>
            </w:r>
          </w:p>
        </w:tc>
        <w:tc>
          <w:tcPr/>
          <w:p>
            <w:pPr>
              <w:pStyle w:val="Compact"/>
              <w:jc w:val="left"/>
            </w:pPr>
            <w:r>
              <w:t xml:space="preserve">0.378</w:t>
            </w:r>
          </w:p>
        </w:tc>
        <w:tc>
          <w:tcPr/>
          <w:p>
            <w:pPr>
              <w:pStyle w:val="Compact"/>
              <w:jc w:val="left"/>
            </w:pPr>
            <w:r>
              <w:t xml:space="preserve">Medium</w:t>
            </w:r>
          </w:p>
        </w:tc>
      </w:tr>
      <w:tr>
        <w:tc>
          <w:tcPr/>
          <w:p>
            <w:pPr>
              <w:pStyle w:val="Compact"/>
              <w:jc w:val="left"/>
            </w:pPr>
            <w:r>
              <w:t xml:space="preserve">TPSA</w:t>
            </w:r>
          </w:p>
        </w:tc>
        <w:tc>
          <w:tcPr/>
          <w:p>
            <w:pPr>
              <w:pStyle w:val="Compact"/>
              <w:jc w:val="left"/>
            </w:pPr>
            <w:r>
              <w:t xml:space="preserve">3,337,500.5</w:t>
            </w:r>
          </w:p>
        </w:tc>
        <w:tc>
          <w:tcPr/>
          <w:p>
            <w:pPr>
              <w:pStyle w:val="Compact"/>
              <w:jc w:val="left"/>
            </w:pPr>
            <w:r>
              <w:t xml:space="preserve">8.45 × 10⁻⁶⁴</w:t>
            </w:r>
          </w:p>
        </w:tc>
        <w:tc>
          <w:tcPr/>
          <w:p>
            <w:pPr>
              <w:pStyle w:val="Compact"/>
              <w:jc w:val="left"/>
            </w:pPr>
            <w:r>
              <w:t xml:space="preserve">0.321</w:t>
            </w:r>
          </w:p>
        </w:tc>
        <w:tc>
          <w:tcPr/>
          <w:p>
            <w:pPr>
              <w:pStyle w:val="Compact"/>
              <w:jc w:val="left"/>
            </w:pPr>
            <w:r>
              <w:t xml:space="preserve">Medium</w:t>
            </w:r>
          </w:p>
        </w:tc>
      </w:tr>
      <w:tr>
        <w:tc>
          <w:tcPr/>
          <w:p>
            <w:pPr>
              <w:pStyle w:val="Compact"/>
              <w:jc w:val="left"/>
            </w:pPr>
            <w:r>
              <w:t xml:space="preserve">MW</w:t>
            </w:r>
          </w:p>
        </w:tc>
        <w:tc>
          <w:tcPr/>
          <w:p>
            <w:pPr>
              <w:pStyle w:val="Compact"/>
              <w:jc w:val="left"/>
            </w:pPr>
            <w:r>
              <w:t xml:space="preserve">3,249,526.5</w:t>
            </w:r>
          </w:p>
        </w:tc>
        <w:tc>
          <w:tcPr/>
          <w:p>
            <w:pPr>
              <w:pStyle w:val="Compact"/>
              <w:jc w:val="left"/>
            </w:pPr>
            <w:r>
              <w:t xml:space="preserve">4.42 × 10⁻⁵¹</w:t>
            </w:r>
          </w:p>
        </w:tc>
        <w:tc>
          <w:tcPr/>
          <w:p>
            <w:pPr>
              <w:pStyle w:val="Compact"/>
              <w:jc w:val="left"/>
            </w:pPr>
            <w:r>
              <w:t xml:space="preserve">0.286</w:t>
            </w:r>
          </w:p>
        </w:tc>
        <w:tc>
          <w:tcPr/>
          <w:p>
            <w:pPr>
              <w:pStyle w:val="Compact"/>
              <w:jc w:val="left"/>
            </w:pPr>
            <w:r>
              <w:t xml:space="preserve">Small</w:t>
            </w:r>
          </w:p>
        </w:tc>
      </w:tr>
      <w:tr>
        <w:tc>
          <w:tcPr/>
          <w:p>
            <w:pPr>
              <w:pStyle w:val="Compact"/>
              <w:jc w:val="left"/>
            </w:pPr>
            <w:r>
              <w:t xml:space="preserve">NumRotatableBonds</w:t>
            </w:r>
          </w:p>
        </w:tc>
        <w:tc>
          <w:tcPr/>
          <w:p>
            <w:pPr>
              <w:pStyle w:val="Compact"/>
              <w:jc w:val="left"/>
            </w:pPr>
            <w:r>
              <w:t xml:space="preserve">3,233,823.5</w:t>
            </w:r>
          </w:p>
        </w:tc>
        <w:tc>
          <w:tcPr/>
          <w:p>
            <w:pPr>
              <w:pStyle w:val="Compact"/>
              <w:jc w:val="left"/>
            </w:pPr>
            <w:r>
              <w:t xml:space="preserve">2.31 × 10⁻⁴⁹</w:t>
            </w:r>
          </w:p>
        </w:tc>
        <w:tc>
          <w:tcPr/>
          <w:p>
            <w:pPr>
              <w:pStyle w:val="Compact"/>
              <w:jc w:val="left"/>
            </w:pPr>
            <w:r>
              <w:t xml:space="preserve">0.280</w:t>
            </w:r>
          </w:p>
        </w:tc>
        <w:tc>
          <w:tcPr/>
          <w:p>
            <w:pPr>
              <w:pStyle w:val="Compact"/>
              <w:jc w:val="left"/>
            </w:pPr>
            <w:r>
              <w:t xml:space="preserve">Small</w:t>
            </w:r>
          </w:p>
        </w:tc>
      </w:tr>
      <w:tr>
        <w:tc>
          <w:tcPr/>
          <w:p>
            <w:pPr>
              <w:pStyle w:val="Compact"/>
              <w:jc w:val="left"/>
            </w:pPr>
            <w:r>
              <w:t xml:space="preserve">NumHAcceptors</w:t>
            </w:r>
          </w:p>
        </w:tc>
        <w:tc>
          <w:tcPr/>
          <w:p>
            <w:pPr>
              <w:pStyle w:val="Compact"/>
              <w:jc w:val="left"/>
            </w:pPr>
            <w:r>
              <w:t xml:space="preserve">3,173,102.5</w:t>
            </w:r>
          </w:p>
        </w:tc>
        <w:tc>
          <w:tcPr/>
          <w:p>
            <w:pPr>
              <w:pStyle w:val="Compact"/>
              <w:jc w:val="left"/>
            </w:pPr>
            <w:r>
              <w:t xml:space="preserve">2.28 × 10⁻⁴²</w:t>
            </w:r>
          </w:p>
        </w:tc>
        <w:tc>
          <w:tcPr/>
          <w:p>
            <w:pPr>
              <w:pStyle w:val="Compact"/>
              <w:jc w:val="left"/>
            </w:pPr>
            <w:r>
              <w:t xml:space="preserve">0.256</w:t>
            </w:r>
          </w:p>
        </w:tc>
        <w:tc>
          <w:tcPr/>
          <w:p>
            <w:pPr>
              <w:pStyle w:val="Compact"/>
              <w:jc w:val="left"/>
            </w:pPr>
            <w:r>
              <w:t xml:space="preserve">Small</w:t>
            </w:r>
          </w:p>
        </w:tc>
      </w:tr>
      <w:tr>
        <w:tc>
          <w:tcPr/>
          <w:p>
            <w:pPr>
              <w:pStyle w:val="Compact"/>
              <w:jc w:val="left"/>
            </w:pPr>
            <w:r>
              <w:t xml:space="preserve">LogP</w:t>
            </w:r>
          </w:p>
        </w:tc>
        <w:tc>
          <w:tcPr/>
          <w:p>
            <w:pPr>
              <w:pStyle w:val="Compact"/>
              <w:jc w:val="left"/>
            </w:pPr>
            <w:r>
              <w:t xml:space="preserve">2,891,884.0</w:t>
            </w:r>
          </w:p>
        </w:tc>
        <w:tc>
          <w:tcPr/>
          <w:p>
            <w:pPr>
              <w:pStyle w:val="Compact"/>
              <w:jc w:val="left"/>
            </w:pPr>
            <w:r>
              <w:t xml:space="preserve">3.00 × 10⁻¹⁴</w:t>
            </w:r>
          </w:p>
        </w:tc>
        <w:tc>
          <w:tcPr/>
          <w:p>
            <w:pPr>
              <w:pStyle w:val="Compact"/>
              <w:jc w:val="left"/>
            </w:pPr>
            <w:r>
              <w:t xml:space="preserve">0.145</w:t>
            </w:r>
          </w:p>
        </w:tc>
        <w:tc>
          <w:tcPr/>
          <w:p>
            <w:pPr>
              <w:pStyle w:val="Compact"/>
              <w:jc w:val="left"/>
            </w:pPr>
            <w:r>
              <w:t xml:space="preserve">Small</w:t>
            </w:r>
          </w:p>
        </w:tc>
      </w:tr>
    </w:tbl>
    <w:p>
      <w:pPr>
        <w:pStyle w:val="BodyText"/>
      </w:pPr>
      <w:r>
        <w:t xml:space="preserve">The non-parametric Mann–Whitney U test (Table 5), used in preference to a parametric t-test given the non-normal, right-skewed distributions typical of molecular descriptors (Figure 3), corroborated the correlation analysis: all six descriptors differed significantly between active and inactive compounds (all p &lt; 1 × 10⁻¹³). Effect sizes, quantified by the rank-biserial correlation, were of medium magnitude for NumHDonors (r = 0.378) and TPSA (r = 0.321), and small for the remaining four descriptors (r range 0.145–0.286).</w:t>
      </w:r>
    </w:p>
    <w:p>
      <w:pPr>
        <w:pStyle w:val="BodyText"/>
      </w:pPr>
      <w:r>
        <w:rPr>
          <w:bCs/>
          <w:b/>
        </w:rPr>
        <w:t xml:space="preserve">Table 6.</w:t>
      </w:r>
      <w:r>
        <w:t xml:space="preserve"> </w:t>
      </w:r>
      <w:r>
        <w:rPr>
          <w:iCs/>
          <w:i/>
        </w:rPr>
        <w:t xml:space="preserve">Multi-criterion descriptor importance summary (n = 5,494).</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Descriptor</w:t>
            </w:r>
          </w:p>
        </w:tc>
        <w:tc>
          <w:tcPr/>
          <w:p>
            <w:pPr>
              <w:pStyle w:val="Compact"/>
              <w:jc w:val="left"/>
            </w:pPr>
            <w:r>
              <w:t xml:space="preserve">ANOVA F</w:t>
            </w:r>
          </w:p>
        </w:tc>
        <w:tc>
          <w:tcPr/>
          <w:p>
            <w:pPr>
              <w:pStyle w:val="Compact"/>
              <w:jc w:val="left"/>
            </w:pPr>
            <w:r>
              <w:t xml:space="preserve">Mutual Info.</w:t>
            </w:r>
          </w:p>
        </w:tc>
        <w:tc>
          <w:tcPr/>
          <w:p>
            <w:pPr>
              <w:pStyle w:val="Compact"/>
              <w:jc w:val="left"/>
            </w:pPr>
            <w:r>
              <w:t xml:space="preserve">RF Importance</w:t>
            </w:r>
          </w:p>
        </w:tc>
        <w:tc>
          <w:tcPr/>
          <w:p>
            <w:pPr>
              <w:pStyle w:val="Compact"/>
              <w:jc w:val="left"/>
            </w:pPr>
            <w:r>
              <w:t xml:space="preserve">|Point-biserial r|</w:t>
            </w:r>
          </w:p>
        </w:tc>
        <w:tc>
          <w:tcPr/>
          <w:p>
            <w:pPr>
              <w:pStyle w:val="Compact"/>
              <w:jc w:val="left"/>
            </w:pPr>
            <w:r>
              <w:t xml:space="preserve">|Mann–Whitney r|</w:t>
            </w:r>
          </w:p>
        </w:tc>
      </w:tr>
      <w:tr>
        <w:tc>
          <w:tcPr/>
          <w:p>
            <w:pPr>
              <w:pStyle w:val="Compact"/>
              <w:jc w:val="left"/>
            </w:pPr>
            <w:r>
              <w:rPr>
                <w:bCs/>
                <w:b/>
              </w:rPr>
              <w:t xml:space="preserve">MW</w:t>
            </w:r>
          </w:p>
        </w:tc>
        <w:tc>
          <w:tcPr/>
          <w:p>
            <w:pPr>
              <w:pStyle w:val="Compact"/>
              <w:jc w:val="left"/>
            </w:pPr>
            <w:r>
              <w:t xml:space="preserve">113.59</w:t>
            </w:r>
          </w:p>
        </w:tc>
        <w:tc>
          <w:tcPr/>
          <w:p>
            <w:pPr>
              <w:pStyle w:val="Compact"/>
              <w:jc w:val="left"/>
            </w:pPr>
            <w:r>
              <w:t xml:space="preserve">0.106</w:t>
            </w:r>
          </w:p>
        </w:tc>
        <w:tc>
          <w:tcPr/>
          <w:p>
            <w:pPr>
              <w:pStyle w:val="Compact"/>
              <w:jc w:val="left"/>
            </w:pPr>
            <w:r>
              <w:t xml:space="preserve">0.218</w:t>
            </w:r>
          </w:p>
        </w:tc>
        <w:tc>
          <w:tcPr/>
          <w:p>
            <w:pPr>
              <w:pStyle w:val="Compact"/>
              <w:jc w:val="left"/>
            </w:pPr>
            <w:r>
              <w:t xml:space="preserve">0.142</w:t>
            </w:r>
          </w:p>
        </w:tc>
        <w:tc>
          <w:tcPr/>
          <w:p>
            <w:pPr>
              <w:pStyle w:val="Compact"/>
              <w:jc w:val="left"/>
            </w:pPr>
            <w:r>
              <w:t xml:space="preserve">0.286</w:t>
            </w:r>
          </w:p>
        </w:tc>
      </w:tr>
      <w:tr>
        <w:tc>
          <w:tcPr/>
          <w:p>
            <w:pPr>
              <w:pStyle w:val="Compact"/>
              <w:jc w:val="left"/>
            </w:pPr>
            <w:r>
              <w:rPr>
                <w:bCs/>
                <w:b/>
              </w:rPr>
              <w:t xml:space="preserve">LogP</w:t>
            </w:r>
          </w:p>
        </w:tc>
        <w:tc>
          <w:tcPr/>
          <w:p>
            <w:pPr>
              <w:pStyle w:val="Compact"/>
              <w:jc w:val="left"/>
            </w:pPr>
            <w:r>
              <w:t xml:space="preserve">28.03</w:t>
            </w:r>
          </w:p>
        </w:tc>
        <w:tc>
          <w:tcPr/>
          <w:p>
            <w:pPr>
              <w:pStyle w:val="Compact"/>
              <w:jc w:val="left"/>
            </w:pPr>
            <w:r>
              <w:t xml:space="preserve">0.041</w:t>
            </w:r>
          </w:p>
        </w:tc>
        <w:tc>
          <w:tcPr/>
          <w:p>
            <w:pPr>
              <w:pStyle w:val="Compact"/>
              <w:jc w:val="left"/>
            </w:pPr>
            <w:r>
              <w:t xml:space="preserve">0.209</w:t>
            </w:r>
          </w:p>
        </w:tc>
        <w:tc>
          <w:tcPr/>
          <w:p>
            <w:pPr>
              <w:pStyle w:val="Compact"/>
              <w:jc w:val="left"/>
            </w:pPr>
            <w:r>
              <w:t xml:space="preserve">0.071</w:t>
            </w:r>
          </w:p>
        </w:tc>
        <w:tc>
          <w:tcPr/>
          <w:p>
            <w:pPr>
              <w:pStyle w:val="Compact"/>
              <w:jc w:val="left"/>
            </w:pPr>
            <w:r>
              <w:t xml:space="preserve">0.145</w:t>
            </w:r>
          </w:p>
        </w:tc>
      </w:tr>
      <w:tr>
        <w:tc>
          <w:tcPr/>
          <w:p>
            <w:pPr>
              <w:pStyle w:val="Compact"/>
              <w:jc w:val="left"/>
            </w:pPr>
            <w:r>
              <w:rPr>
                <w:bCs/>
                <w:b/>
              </w:rPr>
              <w:t xml:space="preserve">NumHDonors</w:t>
            </w:r>
          </w:p>
        </w:tc>
        <w:tc>
          <w:tcPr/>
          <w:p>
            <w:pPr>
              <w:pStyle w:val="Compact"/>
              <w:jc w:val="left"/>
            </w:pPr>
            <w:r>
              <w:t xml:space="preserve">411.14</w:t>
            </w:r>
          </w:p>
        </w:tc>
        <w:tc>
          <w:tcPr/>
          <w:p>
            <w:pPr>
              <w:pStyle w:val="Compact"/>
              <w:jc w:val="left"/>
            </w:pPr>
            <w:r>
              <w:t xml:space="preserve">0.069</w:t>
            </w:r>
          </w:p>
        </w:tc>
        <w:tc>
          <w:tcPr/>
          <w:p>
            <w:pPr>
              <w:pStyle w:val="Compact"/>
              <w:jc w:val="left"/>
            </w:pPr>
            <w:r>
              <w:t xml:space="preserve">0.134</w:t>
            </w:r>
          </w:p>
        </w:tc>
        <w:tc>
          <w:tcPr/>
          <w:p>
            <w:pPr>
              <w:pStyle w:val="Compact"/>
              <w:jc w:val="left"/>
            </w:pPr>
            <w:r>
              <w:t xml:space="preserve">0.264</w:t>
            </w:r>
          </w:p>
        </w:tc>
        <w:tc>
          <w:tcPr/>
          <w:p>
            <w:pPr>
              <w:pStyle w:val="Compact"/>
              <w:jc w:val="left"/>
            </w:pPr>
            <w:r>
              <w:t xml:space="preserve">0.378</w:t>
            </w:r>
          </w:p>
        </w:tc>
      </w:tr>
      <w:tr>
        <w:tc>
          <w:tcPr/>
          <w:p>
            <w:pPr>
              <w:pStyle w:val="Compact"/>
              <w:jc w:val="left"/>
            </w:pPr>
            <w:r>
              <w:rPr>
                <w:bCs/>
                <w:b/>
              </w:rPr>
              <w:t xml:space="preserve">NumHAcceptors</w:t>
            </w:r>
          </w:p>
        </w:tc>
        <w:tc>
          <w:tcPr/>
          <w:p>
            <w:pPr>
              <w:pStyle w:val="Compact"/>
              <w:jc w:val="left"/>
            </w:pPr>
            <w:r>
              <w:t xml:space="preserve">109.69</w:t>
            </w:r>
          </w:p>
        </w:tc>
        <w:tc>
          <w:tcPr/>
          <w:p>
            <w:pPr>
              <w:pStyle w:val="Compact"/>
              <w:jc w:val="left"/>
            </w:pPr>
            <w:r>
              <w:t xml:space="preserve">0.020</w:t>
            </w:r>
          </w:p>
        </w:tc>
        <w:tc>
          <w:tcPr/>
          <w:p>
            <w:pPr>
              <w:pStyle w:val="Compact"/>
              <w:jc w:val="left"/>
            </w:pPr>
            <w:r>
              <w:t xml:space="preserve">0.080</w:t>
            </w:r>
          </w:p>
        </w:tc>
        <w:tc>
          <w:tcPr/>
          <w:p>
            <w:pPr>
              <w:pStyle w:val="Compact"/>
              <w:jc w:val="left"/>
            </w:pPr>
            <w:r>
              <w:t xml:space="preserve">0.140</w:t>
            </w:r>
          </w:p>
        </w:tc>
        <w:tc>
          <w:tcPr/>
          <w:p>
            <w:pPr>
              <w:pStyle w:val="Compact"/>
              <w:jc w:val="left"/>
            </w:pPr>
            <w:r>
              <w:t xml:space="preserve">0.256</w:t>
            </w:r>
          </w:p>
        </w:tc>
      </w:tr>
      <w:tr>
        <w:tc>
          <w:tcPr/>
          <w:p>
            <w:pPr>
              <w:pStyle w:val="Compact"/>
              <w:jc w:val="left"/>
            </w:pPr>
            <w:r>
              <w:rPr>
                <w:bCs/>
                <w:b/>
              </w:rPr>
              <w:t xml:space="preserve">TPSA</w:t>
            </w:r>
          </w:p>
        </w:tc>
        <w:tc>
          <w:tcPr/>
          <w:p>
            <w:pPr>
              <w:pStyle w:val="Compact"/>
              <w:jc w:val="left"/>
            </w:pPr>
            <w:r>
              <w:t xml:space="preserve">184.85</w:t>
            </w:r>
          </w:p>
        </w:tc>
        <w:tc>
          <w:tcPr/>
          <w:p>
            <w:pPr>
              <w:pStyle w:val="Compact"/>
              <w:jc w:val="left"/>
            </w:pPr>
            <w:r>
              <w:t xml:space="preserve">0.177</w:t>
            </w:r>
          </w:p>
        </w:tc>
        <w:tc>
          <w:tcPr/>
          <w:p>
            <w:pPr>
              <w:pStyle w:val="Compact"/>
              <w:jc w:val="left"/>
            </w:pPr>
            <w:r>
              <w:t xml:space="preserve">0.230</w:t>
            </w:r>
          </w:p>
        </w:tc>
        <w:tc>
          <w:tcPr/>
          <w:p>
            <w:pPr>
              <w:pStyle w:val="Compact"/>
              <w:jc w:val="left"/>
            </w:pPr>
            <w:r>
              <w:t xml:space="preserve">0.180</w:t>
            </w:r>
          </w:p>
        </w:tc>
        <w:tc>
          <w:tcPr/>
          <w:p>
            <w:pPr>
              <w:pStyle w:val="Compact"/>
              <w:jc w:val="left"/>
            </w:pPr>
            <w:r>
              <w:t xml:space="preserve">0.321</w:t>
            </w:r>
          </w:p>
        </w:tc>
      </w:tr>
      <w:tr>
        <w:tc>
          <w:tcPr/>
          <w:p>
            <w:pPr>
              <w:pStyle w:val="Compact"/>
              <w:jc w:val="left"/>
            </w:pPr>
            <w:r>
              <w:rPr>
                <w:bCs/>
                <w:b/>
              </w:rPr>
              <w:t xml:space="preserve">NumRotatableBonds</w:t>
            </w:r>
          </w:p>
        </w:tc>
        <w:tc>
          <w:tcPr/>
          <w:p>
            <w:pPr>
              <w:pStyle w:val="Compact"/>
              <w:jc w:val="left"/>
            </w:pPr>
            <w:r>
              <w:t xml:space="preserve">231.92</w:t>
            </w:r>
          </w:p>
        </w:tc>
        <w:tc>
          <w:tcPr/>
          <w:p>
            <w:pPr>
              <w:pStyle w:val="Compact"/>
              <w:jc w:val="left"/>
            </w:pPr>
            <w:r>
              <w:t xml:space="preserve">0.036</w:t>
            </w:r>
          </w:p>
        </w:tc>
        <w:tc>
          <w:tcPr/>
          <w:p>
            <w:pPr>
              <w:pStyle w:val="Compact"/>
              <w:jc w:val="left"/>
            </w:pPr>
            <w:r>
              <w:t xml:space="preserve">0.130</w:t>
            </w:r>
          </w:p>
        </w:tc>
        <w:tc>
          <w:tcPr/>
          <w:p>
            <w:pPr>
              <w:pStyle w:val="Compact"/>
              <w:jc w:val="left"/>
            </w:pPr>
            <w:r>
              <w:t xml:space="preserve">0.201</w:t>
            </w:r>
          </w:p>
        </w:tc>
        <w:tc>
          <w:tcPr/>
          <w:p>
            <w:pPr>
              <w:pStyle w:val="Compact"/>
              <w:jc w:val="left"/>
            </w:pPr>
            <w:r>
              <w:t xml:space="preserve">0.280</w:t>
            </w:r>
          </w:p>
        </w:tc>
      </w:tr>
    </w:tbl>
    <w:p>
      <w:pPr>
        <w:pStyle w:val="BodyText"/>
      </w:pPr>
      <w:r>
        <w:rPr>
          <w:iCs/>
          <w:i/>
        </w:rPr>
        <w:t xml:space="preserve">ANOVA F computed via f_classif; Random Forest importance from a 100-tree classifier (random_state = 42). Point-biserial |r| values are matched to their descriptor from Table 4.</w:t>
      </w:r>
    </w:p>
    <w:p>
      <w:pPr>
        <w:pStyle w:val="BodyText"/>
      </w:pPr>
      <w:r>
        <w:t xml:space="preserve">Table 6 summarizes five independent importance measures for each candidate descriptor. TPSA, MW, and NumHDonors ranked consistently among the three most discriminative descriptors on the majority of measures — NumHDonors returned the largest ANOVA F-statistic (F = 411.14) and the strongest Mann–Whitney effect size, while TPSA returned the highest mutual information (0.177) and Random Forest importance (0.230). NumHAcceptors and LogP occupied the two lowest positions across all five measures. This pattern, combined with the multicollinearity result in Table 3, is the statistical basis for the retention discussion in Section 2.3.</w:t>
      </w:r>
    </w:p>
    <w:p>
      <w:pPr>
        <w:pStyle w:val="BodyText"/>
      </w:pPr>
      <w:r>
        <w:rPr>
          <w:bCs/>
          <w:b/>
        </w:rPr>
        <w:t xml:space="preserve">Figure 2.</w:t>
      </w:r>
      <w:r>
        <w:t xml:space="preserve"> </w:t>
      </w:r>
      <w:r>
        <w:rPr>
          <w:iCs/>
          <w:i/>
        </w:rPr>
        <w:t xml:space="preserve">Comparison of five descriptor-importance measures — ANOVA F-score, mutual information, Random Forest feature importance, absolute point-biserial correlation, and absolute Mann–Whitney rank-biserial correlation — each min–max normalized to [0, 1] for cross-method comparability.</w:t>
      </w:r>
    </w:p>
    <w:bookmarkEnd w:id="28"/>
    <w:bookmarkStart w:id="29" w:name="data-distribution-and-visualization"/>
    <w:p>
      <w:pPr>
        <w:pStyle w:val="Heading2"/>
      </w:pPr>
      <w:r>
        <w:t xml:space="preserve">2.5 Data Distribution and Visualization</w:t>
      </w:r>
    </w:p>
    <w:p>
      <w:pPr>
        <w:pStyle w:val="FirstParagraph"/>
      </w:pPr>
      <w:r>
        <w:t xml:space="preserve">Univariate distributions of all six retained descriptors, stratified by bioactivity class, are shown in Figure 3. Consistent with the effect-size ranking in Table 5, NumHDonors and TPSA — the two descriptors with medium rank-biserial effect sizes — show the most visually apparent separation between class-conditional distributions, with the active-class distribution shifted toward higher values for both. MW and NumRotatableBonds show a similar rightward shift for the active class but with greater distributional overlap. LogP and NumHAcceptors distributions are the most nearly coincident between classes, consistent with their markedly weaker effect sizes (Tables 4–6). All six descriptors show the right-skewed, non-normal shape typical of molecular property distributions, supporting the use of non-parametric testing (Mann–Whitney U, Table 5) alongside parametric and model-based measures.</w:t>
      </w:r>
    </w:p>
    <w:p>
      <w:pPr>
        <w:pStyle w:val="BodyText"/>
      </w:pPr>
      <w:r>
        <w:rPr>
          <w:bCs/>
          <w:b/>
        </w:rPr>
        <w:t xml:space="preserve">Figure 3.</w:t>
      </w:r>
      <w:r>
        <w:t xml:space="preserve"> </w:t>
      </w:r>
      <w:r>
        <w:rPr>
          <w:iCs/>
          <w:i/>
        </w:rPr>
        <w:t xml:space="preserve">Class-conditional density distributions (blue = inactive, green = active) for all six retained physicochemical descriptors: molecular weight (MW), calculated LogP, topological polar surface area (TPSA), hydrogen-bond donor count (NumHDonors), rotatable-bond count (NumRotatableBonds), and hydrogen-bond acceptor count (NumHAcceptors); n = 5,494.</w:t>
      </w:r>
    </w:p>
    <w:bookmarkEnd w:id="29"/>
    <w:bookmarkStart w:id="32" w:name="final-dataset-summary"/>
    <w:p>
      <w:pPr>
        <w:pStyle w:val="Heading2"/>
      </w:pPr>
      <w:r>
        <w:t xml:space="preserve">2.6 Final Dataset Summary</w:t>
      </w:r>
    </w:p>
    <w:p>
      <w:pPr>
        <w:pStyle w:val="FirstParagraph"/>
      </w:pPr>
      <w:r>
        <w:t xml:space="preserve">Following missing-data removal, SMILES validation, descriptor computation, redundant-column pruning, and duplicate removal (Section 2.2), the curated dataset (</w:t>
      </w:r>
      <w:r>
        <w:rPr>
          <w:iCs/>
          <w:i/>
        </w:rPr>
        <w:t xml:space="preserve">bioactivity_dataset_cleaned.xlsx</w:t>
      </w:r>
      <w:r>
        <w:t xml:space="preserve">) comprises 5,494 unique compound records, each described by a canonical SMILES string, six physicochemical descriptors, and a binary bioactivity label. This shape was confirmed directly (row count) both immediately following deduplication and after the cleaned file was re-saved and reloaded.</w:t>
      </w:r>
    </w:p>
    <w:p>
      <w:pPr>
        <w:pStyle w:val="BodyText"/>
      </w:pPr>
      <w:r>
        <w:rPr>
          <w:bCs/>
          <w:b/>
        </w:rPr>
        <w:t xml:space="preserve">Table 7.</w:t>
      </w:r>
      <w:r>
        <w:t xml:space="preserve"> </w:t>
      </w:r>
      <w:r>
        <w:rPr>
          <w:iCs/>
          <w:i/>
        </w:rPr>
        <w:t xml:space="preserve">Final retained feature set (8 fields; n = 5,494).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canonical_smiles</w:t>
            </w:r>
          </w:p>
        </w:tc>
        <w:tc>
          <w:tcPr/>
          <w:p>
            <w:pPr>
              <w:pStyle w:val="Compact"/>
              <w:jc w:val="left"/>
            </w:pPr>
            <w:r>
              <w:t xml:space="preserve">String</w:t>
            </w:r>
          </w:p>
        </w:tc>
        <w:tc>
          <w:tcPr/>
          <w:p>
            <w:pPr>
              <w:pStyle w:val="Compact"/>
              <w:jc w:val="left"/>
            </w:pPr>
            <w:r>
              <w:t xml:space="preserve">Canonicalized SMILES representation of the compound structure.</w:t>
            </w:r>
          </w:p>
        </w:tc>
      </w:tr>
      <w:tr>
        <w:tc>
          <w:tcPr/>
          <w:p>
            <w:pPr>
              <w:pStyle w:val="Compact"/>
              <w:jc w:val="left"/>
            </w:pPr>
            <w:r>
              <w:t xml:space="preserve">MW</w:t>
            </w:r>
          </w:p>
        </w:tc>
        <w:tc>
          <w:tcPr/>
          <w:p>
            <w:pPr>
              <w:pStyle w:val="Compact"/>
              <w:jc w:val="left"/>
            </w:pPr>
            <w:r>
              <w:t xml:space="preserve">Float</w:t>
            </w:r>
          </w:p>
        </w:tc>
        <w:tc>
          <w:tcPr/>
          <w:p>
            <w:pPr>
              <w:pStyle w:val="Compact"/>
              <w:jc w:val="left"/>
            </w:pPr>
            <w:r>
              <w:t xml:space="preserve">Molecular weight (Lipinski criterion 1 of 4).</w:t>
            </w:r>
          </w:p>
        </w:tc>
      </w:tr>
      <w:tr>
        <w:tc>
          <w:tcPr/>
          <w:p>
            <w:pPr>
              <w:pStyle w:val="Compact"/>
              <w:jc w:val="left"/>
            </w:pPr>
            <w:r>
              <w:t xml:space="preserve">LogP</w:t>
            </w:r>
          </w:p>
        </w:tc>
        <w:tc>
          <w:tcPr/>
          <w:p>
            <w:pPr>
              <w:pStyle w:val="Compact"/>
              <w:jc w:val="left"/>
            </w:pPr>
            <w:r>
              <w:t xml:space="preserve">Float</w:t>
            </w:r>
          </w:p>
        </w:tc>
        <w:tc>
          <w:tcPr/>
          <w:p>
            <w:pPr>
              <w:pStyle w:val="Compact"/>
              <w:jc w:val="left"/>
            </w:pPr>
            <w:r>
              <w:t xml:space="preserve">Calculated octanol–water partition coefficient (Lipinski criterion 2 of 4).</w:t>
            </w:r>
          </w:p>
        </w:tc>
      </w:tr>
      <w:tr>
        <w:tc>
          <w:tcPr/>
          <w:p>
            <w:pPr>
              <w:pStyle w:val="Compact"/>
              <w:jc w:val="left"/>
            </w:pPr>
            <w:r>
              <w:t xml:space="preserve">NumHDonors</w:t>
            </w:r>
          </w:p>
        </w:tc>
        <w:tc>
          <w:tcPr/>
          <w:p>
            <w:pPr>
              <w:pStyle w:val="Compact"/>
              <w:jc w:val="left"/>
            </w:pPr>
            <w:r>
              <w:t xml:space="preserve">Float</w:t>
            </w:r>
          </w:p>
        </w:tc>
        <w:tc>
          <w:tcPr/>
          <w:p>
            <w:pPr>
              <w:pStyle w:val="Compact"/>
              <w:jc w:val="left"/>
            </w:pPr>
            <w:r>
              <w:t xml:space="preserve">Hydrogen-bond donor count (Lipinski criterion 3 of 4).</w:t>
            </w:r>
          </w:p>
        </w:tc>
      </w:tr>
      <w:tr>
        <w:tc>
          <w:tcPr/>
          <w:p>
            <w:pPr>
              <w:pStyle w:val="Compact"/>
              <w:jc w:val="left"/>
            </w:pPr>
            <w:r>
              <w:t xml:space="preserve">NumHAcceptors</w:t>
            </w:r>
          </w:p>
        </w:tc>
        <w:tc>
          <w:tcPr/>
          <w:p>
            <w:pPr>
              <w:pStyle w:val="Compact"/>
              <w:jc w:val="left"/>
            </w:pPr>
            <w:r>
              <w:t xml:space="preserve">Float</w:t>
            </w:r>
          </w:p>
        </w:tc>
        <w:tc>
          <w:tcPr/>
          <w:p>
            <w:pPr>
              <w:pStyle w:val="Compact"/>
              <w:jc w:val="left"/>
            </w:pPr>
            <w:r>
              <w:t xml:space="preserve">Hydrogen-bond acceptor count (Lipinski criterion 4 of 4).</w:t>
            </w:r>
          </w:p>
        </w:tc>
      </w:tr>
      <w:tr>
        <w:tc>
          <w:tcPr/>
          <w:p>
            <w:pPr>
              <w:pStyle w:val="Compact"/>
              <w:jc w:val="left"/>
            </w:pPr>
            <w:r>
              <w:t xml:space="preserve">TPSA</w:t>
            </w:r>
          </w:p>
        </w:tc>
        <w:tc>
          <w:tcPr/>
          <w:p>
            <w:pPr>
              <w:pStyle w:val="Compact"/>
              <w:jc w:val="left"/>
            </w:pPr>
            <w:r>
              <w:t xml:space="preserve">Float</w:t>
            </w:r>
          </w:p>
        </w:tc>
        <w:tc>
          <w:tcPr/>
          <w:p>
            <w:pPr>
              <w:pStyle w:val="Compact"/>
              <w:jc w:val="left"/>
            </w:pPr>
            <w:r>
              <w:t xml:space="preserve">Topological polar surface area, Å² (Veber criterion 1 of 2).</w:t>
            </w:r>
          </w:p>
        </w:tc>
      </w:tr>
      <w:tr>
        <w:tc>
          <w:tcPr/>
          <w:p>
            <w:pPr>
              <w:pStyle w:val="Compact"/>
              <w:jc w:val="left"/>
            </w:pPr>
            <w:r>
              <w:t xml:space="preserve">NumRotatableBonds</w:t>
            </w:r>
          </w:p>
        </w:tc>
        <w:tc>
          <w:tcPr/>
          <w:p>
            <w:pPr>
              <w:pStyle w:val="Compact"/>
              <w:jc w:val="left"/>
            </w:pPr>
            <w:r>
              <w:t xml:space="preserve">Float</w:t>
            </w:r>
          </w:p>
        </w:tc>
        <w:tc>
          <w:tcPr/>
          <w:p>
            <w:pPr>
              <w:pStyle w:val="Compact"/>
              <w:jc w:val="left"/>
            </w:pPr>
            <w:r>
              <w:t xml:space="preserve">Rotatable-bond count (Veber criterion 2 of 2).</w:t>
            </w:r>
          </w:p>
        </w:tc>
      </w:tr>
      <w:tr>
        <w:tc>
          <w:tcPr/>
          <w:p>
            <w:pPr>
              <w:pStyle w:val="Compact"/>
              <w:jc w:val="left"/>
            </w:pPr>
            <w:r>
              <w:t xml:space="preserve">bioactivity</w:t>
            </w:r>
          </w:p>
        </w:tc>
        <w:tc>
          <w:tcPr/>
          <w:p>
            <w:pPr>
              <w:pStyle w:val="Compact"/>
              <w:jc w:val="left"/>
            </w:pPr>
            <w:r>
              <w:t xml:space="preserve">Integer (0/1)</w:t>
            </w:r>
          </w:p>
        </w:tc>
        <w:tc>
          <w:tcPr/>
          <w:p>
            <w:pPr>
              <w:pStyle w:val="Compact"/>
              <w:jc w:val="left"/>
            </w:pPr>
            <w:r>
              <w:t xml:space="preserve">Binary target label (1 = active, 0 = inactive).</w:t>
            </w:r>
          </w:p>
        </w:tc>
      </w:tr>
    </w:tbl>
    <w:bookmarkStart w:id="30" w:name="class-balance"/>
    <w:p>
      <w:pPr>
        <w:pStyle w:val="Heading3"/>
      </w:pPr>
      <w:r>
        <w:t xml:space="preserve">Class balance</w:t>
      </w:r>
    </w:p>
    <w:p>
      <w:pPr>
        <w:pStyle w:val="FirstParagraph"/>
      </w:pPr>
      <w:r>
        <w:t xml:space="preserve">The final, deduplicated dataset comprises 4,326 active records (78.7%) and 1,168 inactive records (21.3%), confirmed directly by a class-wise tally on the released file. This represents a marginally less severe, but still pronounced, imbalance than the raw compound pool (81.2%:18.8%; Section 2.1). This imbalance is a first-class concern for the downstream classifier and is addressed by an integrated combination of stratified splitting, weighted batch sampling, focal loss, and imbalance-aware threshold selection, all detailed in Section 3.4.</w:t>
      </w:r>
    </w:p>
    <w:bookmarkEnd w:id="30"/>
    <w:bookmarkStart w:id="31" w:name="data-quality-statement"/>
    <w:p>
      <w:pPr>
        <w:pStyle w:val="Heading3"/>
      </w:pPr>
      <w:r>
        <w:t xml:space="preserve">Data-quality statement</w:t>
      </w:r>
    </w:p>
    <w:p>
      <w:pPr>
        <w:pStyle w:val="FirstParagraph"/>
      </w:pPr>
      <w:r>
        <w:t xml:space="preserve">All 6,626 post-missing-value-removal canonical SMILES strings were successfully parsed by RDKit (zero parsing failures). All six candidate descriptors were computed from a single, consistent toolkit (RDKit) applied directly to the canonical SMILES, rather than propagating potentially heterogeneous pre-computed values from the source export. The final feature table was confirmed duplicate-free (zero exact-duplicate rows) both immediately after deduplication and after reloading the saved file. Every retained descriptor showed a statistically significant (p &lt; 0.001) association with the bioactivity label under two independent, complementary tests (Tables 4–5). One descriptor pair among the six retained descriptors exceeds the pre-specified |r| &gt; 0.80 correlation threshold (TPSA–NumHAcceptors, r = 0.826; Table 3); this retained collinearity is discussed in Section 2.7.</w:t>
      </w:r>
    </w:p>
    <w:bookmarkEnd w:id="31"/>
    <w:bookmarkEnd w:id="32"/>
    <w:bookmarkStart w:id="33" w:name="limitations-of-the-dataset"/>
    <w:p>
      <w:pPr>
        <w:pStyle w:val="Heading2"/>
      </w:pPr>
      <w:r>
        <w:t xml:space="preserve">2.7 Limitations of the Dataset</w:t>
      </w:r>
    </w:p>
    <w:p>
      <w:pPr>
        <w:pStyle w:val="FirstParagraph"/>
      </w:pPr>
      <w:r>
        <w:rPr>
          <w:bCs/>
          <w:b/>
        </w:rPr>
        <w:t xml:space="preserve">Retained descriptor collinearity.</w:t>
      </w:r>
      <w:r>
        <w:t xml:space="preserve"> </w:t>
      </w:r>
      <w:r>
        <w:t xml:space="preserve">TPSA and NumHAcceptors exceed the pre-specified |r| &gt; 0.80 multicollinearity threshold (r = 0.826; Table 3), and NumHAcceptors additionally ranked among the two least discriminative descriptors on every one of five independent importance measures (Table 6). Both descriptors were nonetheless retained in the final feature set to preserve complete coverage of Lipinski’s four Rule-of-Five criteria (Section 2.3). This is a deliberate trade-off of statistical parsimony for standardized, rule-based interpretability. The downstream classifier is a deep, regularized non-linear network (Section 3), which is not subject to the coefficient-identification pathologies that motivate multicollinearity screening for linear models; the trade-off is therefore judged acceptable in the present context.</w:t>
      </w:r>
    </w:p>
    <w:p>
      <w:pPr>
        <w:pStyle w:val="BodyText"/>
      </w:pPr>
      <w:r>
        <w:rPr>
          <w:bCs/>
          <w:b/>
        </w:rPr>
        <w:t xml:space="preserve">Assay-replicate duplication.</w:t>
      </w:r>
      <w:r>
        <w:t xml:space="preserve"> </w:t>
      </w:r>
      <w:r>
        <w:t xml:space="preserve">The raw export exhibited substantial structural duplication (5,472 unique SMILES among 6,628 non-null records; one SMILES string recurring 320 times; 285 fully identical raw rows), consistent with repeated bioactivity records for individual compounds across export and/or assay sources. The deduplication criterion ultimately applied (identical canonical SMILES, all six descriptor values, and label, exclusive of the compound identifier and continuous pIC50 value) necessarily collapses fine-grained, assay-level replicate information into a single representative record and cannot distinguish genuine biological replicates from data-entry repetition.</w:t>
      </w:r>
    </w:p>
    <w:p>
      <w:pPr>
        <w:pStyle w:val="BodyText"/>
      </w:pPr>
      <w:r>
        <w:rPr>
          <w:bCs/>
          <w:b/>
        </w:rPr>
        <w:t xml:space="preserve">Undocumented activity threshold.</w:t>
      </w:r>
      <w:r>
        <w:t xml:space="preserve"> </w:t>
      </w:r>
      <w:r>
        <w:t xml:space="preserve">The binary bioactivity label was supplied pre-derived (as</w:t>
      </w:r>
      <w:r>
        <w:t xml:space="preserve"> </w:t>
      </w:r>
      <w:r>
        <w:rPr>
          <w:iCs/>
          <w:i/>
        </w:rPr>
        <w:t xml:space="preserve">bioactivity_class</w:t>
      </w:r>
      <w:r>
        <w:t xml:space="preserve">) upstream of the reviewed processing pipeline. The exact pIC50 cutoff used to assign the</w:t>
      </w:r>
      <w:r>
        <w:t xml:space="preserve"> </w:t>
      </w:r>
      <w:r>
        <w:t xml:space="preserve">“</w:t>
      </w:r>
      <w:r>
        <w:t xml:space="preserve">active</w:t>
      </w:r>
      <w:r>
        <w:t xml:space="preserve">”</w:t>
      </w:r>
      <w:r>
        <w:t xml:space="preserve">/</w:t>
      </w:r>
      <w:r>
        <w:t xml:space="preserve">“</w:t>
      </w:r>
      <w:r>
        <w:t xml:space="preserve">inactive</w:t>
      </w:r>
      <w:r>
        <w:t xml:space="preserve">”</w:t>
      </w:r>
      <w:r>
        <w:t xml:space="preserve"> </w:t>
      </w:r>
      <w:r>
        <w:t xml:space="preserve">dichotomy is not documented within the notebook and should be explicitly reported by the data originators.</w:t>
      </w:r>
    </w:p>
    <w:p>
      <w:pPr>
        <w:pStyle w:val="BodyText"/>
      </w:pPr>
      <w:r>
        <w:rPr>
          <w:bCs/>
          <w:b/>
        </w:rPr>
        <w:t xml:space="preserve">Class imbalance.</w:t>
      </w:r>
      <w:r>
        <w:t xml:space="preserve"> </w:t>
      </w:r>
      <w:r>
        <w:t xml:space="preserve">The pronounced skew toward the active class (78.7%:21.3% in the final dataset) is a structural characteristic of the source data. Methodological handling of this imbalance — stratified splitting, weighted batch sampling, focal loss with label smoothing, imbalance-aware evaluation metrics, and out-of-fold threshold selection — is described in detail in Section 3.4.</w:t>
      </w:r>
    </w:p>
    <w:p>
      <w:pPr>
        <w:pStyle w:val="BodyText"/>
      </w:pPr>
      <w:r>
        <w:rPr>
          <w:bCs/>
          <w:b/>
        </w:rPr>
        <w:t xml:space="preserve">Descriptor coarseness.</w:t>
      </w:r>
      <w:r>
        <w:t xml:space="preserve"> </w:t>
      </w:r>
      <w:r>
        <w:t xml:space="preserve">The retained feature set is restricted to six simple, two-dimensional, rule-based physicochemical properties. Such descriptors are computationally inexpensive and readily interpretable but do not encode stereochemistry, three-dimensional conformation, electronic/quantum-mechanical properties, or explicit substructural or pharmacophoric information; their univariate discriminative power for bioactivity, as quantified by the rank-biserial effect sizes in Table 5 (range 0.145–0.378), is modest in isolation. The proposed classifier compensates for this by fusing the descriptor channel with three additional molecular-structure modalities (Section 3).</w:t>
      </w:r>
    </w:p>
    <w:p>
      <w:pPr>
        <w:pStyle w:val="BodyText"/>
      </w:pPr>
      <w:r>
        <w:rPr>
          <w:bCs/>
          <w:b/>
        </w:rPr>
        <w:t xml:space="preserve">Absence of target/assay metadata.</w:t>
      </w:r>
      <w:r>
        <w:t xml:space="preserve"> </w:t>
      </w:r>
      <w:r>
        <w:t xml:space="preserve">The released feature columns do not include compound provenance or assay-context metadata (e.g., specific protein target, assay type, organism), precluding stratified analysis by biological target or assay condition.</w:t>
      </w:r>
    </w:p>
    <w:bookmarkEnd w:id="33"/>
    <w:bookmarkEnd w:id="34"/>
    <w:bookmarkStart w:id="67" w:name="methodology"/>
    <w:p>
      <w:pPr>
        <w:pStyle w:val="Heading1"/>
      </w:pPr>
      <w:r>
        <w:t xml:space="preserve">3. Methodology</w:t>
      </w:r>
    </w:p>
    <w:bookmarkStart w:id="35" w:name="X3b30ecd0b6125110a2d01df0f3f634d74dd4db7"/>
    <w:p>
      <w:pPr>
        <w:pStyle w:val="Heading2"/>
      </w:pPr>
      <w:r>
        <w:t xml:space="preserve">3.1 Overview and Rationale for Multimodal Fusion</w:t>
      </w:r>
    </w:p>
    <w:p>
      <w:pPr>
        <w:pStyle w:val="FirstParagraph"/>
      </w:pPr>
      <w:r>
        <w:t xml:space="preserve">The chemical structure of a small molecule admits several complementary computational encodings, each carrying information that is difficult to fully recover from the others. A SMILES string encodes atomic connectivity in a compact, sequential form that is amenable to transformer-based language modelling and, in the case of chemistry-pretrained models such as MoLFormer-XL (Ross et al., 2022), carries rich learned representations of chemical context. Extended-connectivity fingerprints (ECFP; Rogers &amp; Hahn, 2010) encode local circular substructures at a fixed radius as a hashed bit vector, capturing motif-level information that a language model may under-emphasize when the same substructure appears in an unusual sequential position. Structural keys such as MACCS (Durant et al., 2002) encode the presence or absence of a curated dictionary of 166 chemically-motivated substructures, providing a low-dimensional, interpretable, human-curated view of chemistry. Physicochemical descriptors (Section 2.3) encode integrated whole-molecule properties (molecular weight, lipophilicity, polar surface area, hydrogen-bonding capacity, flexibility) that neither a token-level language model nor a substructural fingerprint captures explicitly.</w:t>
      </w:r>
    </w:p>
    <w:p>
      <w:pPr>
        <w:pStyle w:val="BodyText"/>
      </w:pPr>
      <w:r>
        <w:t xml:space="preserve">We propose</w:t>
      </w:r>
      <w:r>
        <w:t xml:space="preserve"> </w:t>
      </w:r>
      <w:r>
        <w:rPr>
          <w:bCs/>
          <w:b/>
        </w:rPr>
        <w:t xml:space="preserve">FineTuned Multimodal MolFormer</w:t>
      </w:r>
      <w:r>
        <w:t xml:space="preserve"> </w:t>
      </w:r>
      <w:r>
        <w:t xml:space="preserve">(henceforth</w:t>
      </w:r>
      <w:r>
        <w:t xml:space="preserve"> </w:t>
      </w:r>
      <w:r>
        <w:rPr>
          <w:bCs/>
          <w:b/>
        </w:rPr>
        <w:t xml:space="preserve">FMM</w:t>
      </w:r>
      <w:r>
        <w:t xml:space="preserve">), a deep neural classifier that jointly consumes all four of these representations and learns a fused molecular embedding via a cross-modal transformer with modality type embeddings and per-modality gated fusion. The design is motivated by three observations that emerged during the development of two earlier internal variants (referenced in Section 3.8 as ablation-informed refinements): (i) fine-tuning a chemistry-pretrained language model on a small bioactivity dataset is prone to catastrophic forgetting of pretrained chemistry knowledge unless learning is carefully modulated across encoder depths; (ii) na"ively concatenating heterogeneous molecular representations under-uses their complementarity because the fusion layer cannot distinguish which token is which modality; and (iii) with the pronounced class imbalance of the present dataset (Section 2.6), no single loss-, sampling-, or thresholding-based imbalance treatment is sufficient — a layered treatment is required in which each component addresses a different failure mode.</w:t>
      </w:r>
    </w:p>
    <w:p>
      <w:pPr>
        <w:pStyle w:val="BodyText"/>
      </w:pPr>
      <w:r>
        <w:t xml:space="preserve">The remainder of Section 3 is organized as follows. Section 3.2 describes how each molecular modality is computed. Section 3.3 details the architecture. Section 3.4 details how class imbalance is handled at four distinct pipeline stages. Section 3.5 details the seven distinct overfitting-prevention mechanisms deployed jointly. Section 3.6 details the Optuna-driven hyperparameter search. Section 3.7 details training-pipeline engineering. Section 3.8 recovers the empirically-motivated architectural refinements from earlier internal variants that are baked into the released design.</w:t>
      </w:r>
    </w:p>
    <w:bookmarkEnd w:id="35"/>
    <w:bookmarkStart w:id="36" w:name="Xf2666e2053863e3b4fdc2d258b2a6e1c532ad74"/>
    <w:p>
      <w:pPr>
        <w:pStyle w:val="Heading2"/>
      </w:pPr>
      <w:r>
        <w:t xml:space="preserve">3.2 Multimodal Representation of Molecular Structure</w:t>
      </w:r>
    </w:p>
    <w:p>
      <w:pPr>
        <w:pStyle w:val="FirstParagraph"/>
      </w:pPr>
      <w:r>
        <w:t xml:space="preserve">For every compound</w:t>
      </w:r>
      <w:r>
        <w:t xml:space="preserve"> </w:t>
      </w:r>
      <m:oMath>
        <m:r>
          <m:t>m</m:t>
        </m:r>
      </m:oMath>
      <w:r>
        <w:t xml:space="preserve"> </w:t>
      </w:r>
      <w:r>
        <w:t xml:space="preserve">in the dataset, the following four modalities are computed once and cached, then loaded per-sample during training and inference.</w:t>
      </w:r>
    </w:p>
    <w:p>
      <w:pPr>
        <w:pStyle w:val="BodyText"/>
      </w:pPr>
      <w:r>
        <w:rPr>
          <w:bCs/>
          <w:b/>
        </w:rPr>
        <w:t xml:space="preserve">SMILES sequence.</w:t>
      </w:r>
      <w:r>
        <w:t xml:space="preserve"> </w:t>
      </w:r>
      <w:r>
        <w:t xml:space="preserve">The canonical SMILES string</w:t>
      </w:r>
      <w:r>
        <w:t xml:space="preserve"> </w:t>
      </w:r>
      <m:oMath>
        <m:r>
          <m:t>s</m:t>
        </m:r>
        <m:d>
          <m:dPr>
            <m:begChr m:val="("/>
            <m:endChr m:val=")"/>
            <m:sepChr m:val=""/>
            <m:grow/>
          </m:dPr>
          <m:e>
            <m:r>
              <m:t>m</m:t>
            </m:r>
          </m:e>
        </m:d>
      </m:oMath>
      <w:r>
        <w:t xml:space="preserve"> </w:t>
      </w:r>
      <w:r>
        <w:t xml:space="preserve">is tokenised by the MoLFormer-XL tokeniser and padded/truncated to a fixed length</w:t>
      </w:r>
      <w:r>
        <w:t xml:space="preserve"> </w:t>
      </w:r>
      <m:oMath>
        <m:sSub>
          <m:e>
            <m:r>
              <m:t>L</m:t>
            </m:r>
          </m:e>
          <m:sub>
            <m:r>
              <m:rPr>
                <m:sty m:val="p"/>
              </m:rPr>
              <m:t>max</m:t>
            </m:r>
          </m:sub>
        </m:sSub>
        <m:r>
          <m:rPr>
            <m:sty m:val="p"/>
          </m:rPr>
          <m:t>=</m:t>
        </m:r>
        <m:r>
          <m:t>512</m:t>
        </m:r>
      </m:oMath>
      <w:r>
        <w:t xml:space="preserve">, producing an input-id sequence</w:t>
      </w:r>
      <w:r>
        <w:t xml:space="preserve"> </w:t>
      </w:r>
      <m:oMath>
        <m:r>
          <m:rPr>
            <m:sty m:val="b"/>
          </m:rPr>
          <m:t>x</m:t>
        </m:r>
        <m:d>
          <m:dPr>
            <m:begChr m:val="("/>
            <m:endChr m:val=")"/>
            <m:sepChr m:val=""/>
            <m:grow/>
          </m:dPr>
          <m:e>
            <m:r>
              <m:t>m</m:t>
            </m:r>
          </m:e>
        </m:d>
        <m:r>
          <m:rPr>
            <m:sty m:val="p"/>
          </m:rPr>
          <m:t>∈</m:t>
        </m:r>
        <m:r>
          <m:rPr>
            <m:sty m:val="p"/>
          </m:rPr>
          <m:t>{</m:t>
        </m:r>
        <m:r>
          <m:t>0</m:t>
        </m:r>
        <m:r>
          <m:rPr>
            <m:sty m:val="p"/>
          </m:rPr>
          <m:t>,</m:t>
        </m:r>
        <m:r>
          <m:t>1</m:t>
        </m:r>
        <m:r>
          <m:rPr>
            <m:sty m:val="p"/>
          </m:rPr>
          <m:t>,</m:t>
        </m:r>
        <m:r>
          <m:rPr>
            <m:sty m:val="p"/>
          </m:rPr>
          <m:t>…</m:t>
        </m:r>
        <m:r>
          <m:rPr>
            <m:sty m:val="p"/>
          </m:rPr>
          <m:t>,</m:t>
        </m:r>
        <m:r>
          <m:t>V</m:t>
        </m:r>
        <m:sSup>
          <m:e>
            <m:r>
              <m:rPr>
                <m:sty m:val="p"/>
              </m:rPr>
              <m:t>}</m:t>
            </m:r>
          </m:e>
          <m:sup>
            <m:sSub>
              <m:e>
                <m:r>
                  <m:t>L</m:t>
                </m:r>
              </m:e>
              <m:sub>
                <m:r>
                  <m:rPr>
                    <m:sty m:val="p"/>
                  </m:rPr>
                  <m:t>max</m:t>
                </m:r>
              </m:sub>
            </m:sSub>
          </m:sup>
        </m:sSup>
      </m:oMath>
      <w:r>
        <w:t xml:space="preserve"> </w:t>
      </w:r>
      <w:r>
        <w:t xml:space="preserve">and an attention mask</w:t>
      </w:r>
      <w:r>
        <w:t xml:space="preserve"> </w:t>
      </w:r>
      <m:oMath>
        <m:r>
          <m:rPr>
            <m:sty m:val="b"/>
          </m:rPr>
          <m:t>a</m:t>
        </m:r>
        <m:d>
          <m:dPr>
            <m:begChr m:val="("/>
            <m:endChr m:val=")"/>
            <m:sepChr m:val=""/>
            <m:grow/>
          </m:dPr>
          <m:e>
            <m:r>
              <m:t>m</m:t>
            </m:r>
          </m:e>
        </m:d>
        <m:r>
          <m:rPr>
            <m:sty m:val="p"/>
          </m:rPr>
          <m:t>∈</m:t>
        </m:r>
        <m:r>
          <m:rPr>
            <m:sty m:val="p"/>
          </m:rPr>
          <m:t>{</m:t>
        </m:r>
        <m:r>
          <m:t>0</m:t>
        </m:r>
        <m:r>
          <m:rPr>
            <m:sty m:val="p"/>
          </m:rPr>
          <m:t>,</m:t>
        </m:r>
        <m:r>
          <m:t>1</m:t>
        </m:r>
        <m:sSup>
          <m:e>
            <m:r>
              <m:rPr>
                <m:sty m:val="p"/>
              </m:rPr>
              <m:t>}</m:t>
            </m:r>
          </m:e>
          <m:sup>
            <m:sSub>
              <m:e>
                <m:r>
                  <m:t>L</m:t>
                </m:r>
              </m:e>
              <m:sub>
                <m:r>
                  <m:rPr>
                    <m:sty m:val="p"/>
                  </m:rPr>
                  <m:t>max</m:t>
                </m:r>
              </m:sub>
            </m:sSub>
          </m:sup>
        </m:sSup>
      </m:oMath>
      <w:r>
        <w:t xml:space="preserve">.</w:t>
      </w:r>
    </w:p>
    <w:p>
      <w:pPr>
        <w:pStyle w:val="BodyText"/>
      </w:pPr>
      <w:r>
        <w:rPr>
          <w:bCs/>
          <w:b/>
        </w:rPr>
        <w:t xml:space="preserve">ECFP4 fingerprint.</w:t>
      </w:r>
      <w:r>
        <w:t xml:space="preserve"> </w:t>
      </w:r>
      <w:r>
        <w:t xml:space="preserve">An extended-connectivity fingerprint of radius 2 (i.e., ECFP4) is generated via RDKit’s</w:t>
      </w:r>
      <w:r>
        <w:t xml:space="preserve"> </w:t>
      </w:r>
      <w:r>
        <w:rPr>
          <w:rStyle w:val="VerbatimChar"/>
        </w:rPr>
        <w:t xml:space="preserve">rdFingerprintGenerator.GetMorganGenerator</w:t>
      </w:r>
      <w:r>
        <w:t xml:space="preserve">, folded to 1,024 bits and expressed as a binary vector</w:t>
      </w:r>
      <w:r>
        <w:t xml:space="preserve"> </w:t>
      </w:r>
      <m:oMath>
        <m:sSub>
          <m:e>
            <m:r>
              <m:rPr>
                <m:sty m:val="b"/>
              </m:rPr>
              <m:t>e</m:t>
            </m:r>
          </m:e>
          <m:sub>
            <m:r>
              <m:rPr>
                <m:sty m:val="p"/>
              </m:rPr>
              <m:t>E</m:t>
            </m:r>
            <m:r>
              <m:rPr>
                <m:sty m:val="p"/>
              </m:rPr>
              <m:t>C</m:t>
            </m:r>
            <m:r>
              <m:rPr>
                <m:sty m:val="p"/>
              </m:rPr>
              <m:t>F</m:t>
            </m:r>
            <m:r>
              <m:rPr>
                <m:sty m:val="p"/>
              </m:rPr>
              <m:t>P</m:t>
            </m:r>
          </m:sub>
        </m:sSub>
        <m:d>
          <m:dPr>
            <m:begChr m:val="("/>
            <m:endChr m:val=")"/>
            <m:sepChr m:val=""/>
            <m:grow/>
          </m:dPr>
          <m:e>
            <m:r>
              <m:t>m</m:t>
            </m:r>
          </m:e>
        </m:d>
        <m:r>
          <m:rPr>
            <m:sty m:val="p"/>
          </m:rPr>
          <m:t>∈</m:t>
        </m:r>
        <m:r>
          <m:rPr>
            <m:sty m:val="p"/>
          </m:rPr>
          <m:t>{</m:t>
        </m:r>
        <m:r>
          <m:t>0</m:t>
        </m:r>
        <m:r>
          <m:rPr>
            <m:sty m:val="p"/>
          </m:rPr>
          <m:t>,</m:t>
        </m:r>
        <m:r>
          <m:t>1</m:t>
        </m:r>
        <m:sSup>
          <m:e>
            <m:r>
              <m:rPr>
                <m:sty m:val="p"/>
              </m:rPr>
              <m:t>}</m:t>
            </m:r>
          </m:e>
          <m:sup>
            <m:r>
              <m:t>1024</m:t>
            </m:r>
          </m:sup>
        </m:sSup>
      </m:oMath>
      <w:r>
        <w:t xml:space="preserve">.</w:t>
      </w:r>
    </w:p>
    <w:p>
      <w:pPr>
        <w:pStyle w:val="BodyText"/>
      </w:pPr>
      <w:r>
        <w:rPr>
          <w:bCs/>
          <w:b/>
        </w:rPr>
        <w:t xml:space="preserve">MACCS structural keys.</w:t>
      </w:r>
      <w:r>
        <w:t xml:space="preserve"> </w:t>
      </w:r>
      <w:r>
        <w:t xml:space="preserve">The 167-bit MACCS key vector</w:t>
      </w:r>
      <w:r>
        <w:t xml:space="preserve"> </w:t>
      </w:r>
      <m:oMath>
        <m:sSub>
          <m:e>
            <m:r>
              <m:rPr>
                <m:sty m:val="b"/>
              </m:rPr>
              <m:t>e</m:t>
            </m:r>
          </m:e>
          <m:sub>
            <m:r>
              <m:rPr>
                <m:sty m:val="p"/>
              </m:rPr>
              <m:t>M</m:t>
            </m:r>
            <m:r>
              <m:rPr>
                <m:sty m:val="p"/>
              </m:rPr>
              <m:t>A</m:t>
            </m:r>
            <m:r>
              <m:rPr>
                <m:sty m:val="p"/>
              </m:rPr>
              <m:t>C</m:t>
            </m:r>
            <m:r>
              <m:rPr>
                <m:sty m:val="p"/>
              </m:rPr>
              <m:t>C</m:t>
            </m:r>
            <m:r>
              <m:rPr>
                <m:sty m:val="p"/>
              </m:rPr>
              <m:t>S</m:t>
            </m:r>
          </m:sub>
        </m:sSub>
        <m:d>
          <m:dPr>
            <m:begChr m:val="("/>
            <m:endChr m:val=")"/>
            <m:sepChr m:val=""/>
            <m:grow/>
          </m:dPr>
          <m:e>
            <m:r>
              <m:t>m</m:t>
            </m:r>
          </m:e>
        </m:d>
        <m:r>
          <m:rPr>
            <m:sty m:val="p"/>
          </m:rPr>
          <m:t>∈</m:t>
        </m:r>
        <m:r>
          <m:rPr>
            <m:sty m:val="p"/>
          </m:rPr>
          <m:t>{</m:t>
        </m:r>
        <m:r>
          <m:t>0</m:t>
        </m:r>
        <m:r>
          <m:rPr>
            <m:sty m:val="p"/>
          </m:rPr>
          <m:t>,</m:t>
        </m:r>
        <m:r>
          <m:t>1</m:t>
        </m:r>
        <m:sSup>
          <m:e>
            <m:r>
              <m:rPr>
                <m:sty m:val="p"/>
              </m:rPr>
              <m:t>}</m:t>
            </m:r>
          </m:e>
          <m:sup>
            <m:r>
              <m:t>167</m:t>
            </m:r>
          </m:sup>
        </m:sSup>
      </m:oMath>
      <w:r>
        <w:t xml:space="preserve"> </w:t>
      </w:r>
      <w:r>
        <w:t xml:space="preserve">is computed via RDKit’s</w:t>
      </w:r>
      <w:r>
        <w:t xml:space="preserve"> </w:t>
      </w:r>
      <w:r>
        <w:rPr>
          <w:rStyle w:val="VerbatimChar"/>
        </w:rPr>
        <w:t xml:space="preserve">MACCSkeys.GenMACCSKeys</w:t>
      </w:r>
      <w:r>
        <w:t xml:space="preserve">.</w:t>
      </w:r>
    </w:p>
    <w:p>
      <w:pPr>
        <w:pStyle w:val="BodyText"/>
      </w:pPr>
      <w:r>
        <w:rPr>
          <w:bCs/>
          <w:b/>
        </w:rPr>
        <w:t xml:space="preserve">Physicochemical descriptors.</w:t>
      </w:r>
      <w:r>
        <w:t xml:space="preserve"> </w:t>
      </w:r>
      <w:r>
        <w:t xml:space="preserve">The six Lipinski + Veber descriptors of Section 2.3 form a vector</w:t>
      </w:r>
      <w:r>
        <w:t xml:space="preserve"> </w:t>
      </w:r>
      <m:oMath>
        <m:r>
          <m:rPr>
            <m:sty m:val="b"/>
          </m:rPr>
          <m:t>d</m:t>
        </m:r>
        <m:d>
          <m:dPr>
            <m:begChr m:val="("/>
            <m:endChr m:val=")"/>
            <m:sepChr m:val=""/>
            <m:grow/>
          </m:dPr>
          <m:e>
            <m:r>
              <m:t>m</m:t>
            </m:r>
          </m:e>
        </m:d>
        <m:r>
          <m:rPr>
            <m:sty m:val="p"/>
          </m:rPr>
          <m:t>∈</m:t>
        </m:r>
        <m:sSup>
          <m:e>
            <m:r>
              <m:rPr>
                <m:sty m:val="p"/>
                <m:scr m:val="double-struck"/>
              </m:rPr>
              <m:t>R</m:t>
            </m:r>
          </m:e>
          <m:sup>
            <m:r>
              <m:t>6</m:t>
            </m:r>
          </m:sup>
        </m:sSup>
      </m:oMath>
      <w:r>
        <w:t xml:space="preserve">. Descriptors are standardised (zero-mean, unit-variance) using a</w:t>
      </w:r>
      <w:r>
        <w:t xml:space="preserve"> </w:t>
      </w:r>
      <w:r>
        <w:rPr>
          <w:rStyle w:val="VerbatimChar"/>
        </w:rPr>
        <w:t xml:space="preserve">StandardScaler</w:t>
      </w:r>
      <w:r>
        <w:t xml:space="preserve"> </w:t>
      </w:r>
      <w:r>
        <w:t xml:space="preserve">fit on the training partition only, then applied to the validation and test partitions to prevent test-time leakage.</w:t>
      </w:r>
    </w:p>
    <w:bookmarkEnd w:id="36"/>
    <w:bookmarkStart w:id="45" w:name="X1ef721be3bb26853feb9a1daa307c678572724d"/>
    <w:p>
      <w:pPr>
        <w:pStyle w:val="Heading2"/>
      </w:pPr>
      <w:r>
        <w:t xml:space="preserve">3.3 Architecture of FineTuned Multimodal MolFormer</w:t>
      </w:r>
    </w:p>
    <w:p>
      <w:pPr>
        <w:pStyle w:val="FirstParagraph"/>
      </w:pPr>
      <w:r>
        <w:t xml:space="preserve">The full architecture is shown in Figure 4. It consists of six blocks: (i) a MoLFormer-XL encoder with the bottom four layers frozen; (ii) a learned multi-layer weighted pool over the top four encoder hidden states; (iii) a tri-strategy pooling head that produces the SMILES token from three complementary pooling strategies; (iv) three learned modality projections that lift ECFP, MACCS, and descriptor vectors into the sequence-model embedding space; (v) a cross-modal transformer that receives all four modality tokens plus learned type embeddings and produces contextualised modality tokens; and (vi) a per-modality gated fusion followed by a classifier MLP that produces the final logit.</w:t>
      </w:r>
    </w:p>
    <w:p>
      <w:pPr>
        <w:pStyle w:val="BodyText"/>
      </w:pPr>
      <w:r>
        <w:rPr>
          <w:bCs/>
          <w:b/>
        </w:rPr>
        <w:t xml:space="preserve">Figure 4.</w:t>
      </w:r>
      <w:r>
        <w:t xml:space="preserve"> </w:t>
      </w:r>
      <w:r>
        <w:rPr>
          <w:iCs/>
          <w:i/>
        </w:rPr>
        <w:t xml:space="preserve">Architectural diagram of the FineTuned Multimodal MolFormer (FMM). Four molecular modalities — SMILES (via MoLFormer-XL, bottom four encoder layers frozen), ECFP4, MACCS, and physicochemical descriptors — are projected into a common 768-dimensional embedding space, tagged with learned modality type embeddings, and jointly contextualised by a 3-layer Pre-LN cross-modal transformer. A per-modality sigmoid gate (with pre-sigmoid LayerNorm) modulates each contextualised token; the four gated tokens are concatenated and projected into a single fused molecular embedding, which is passed through a tapered-dropout MLP classifier to produce the binary bioactivity logit.</w:t>
      </w:r>
    </w:p>
    <w:p>
      <w:pPr>
        <w:pStyle w:val="BodyText"/>
      </w:pPr>
      <w:r>
        <w:t xml:space="preserve">Throughout this section we write</w:t>
      </w:r>
      <w:r>
        <w:t xml:space="preserve"> </w:t>
      </w:r>
      <m:oMath>
        <m:r>
          <m:t>D</m:t>
        </m:r>
        <m:r>
          <m:rPr>
            <m:sty m:val="p"/>
          </m:rPr>
          <m:t>=</m:t>
        </m:r>
        <m:r>
          <m:t>768</m:t>
        </m:r>
      </m:oMath>
      <w:r>
        <w:t xml:space="preserve"> </w:t>
      </w:r>
      <w:r>
        <w:t xml:space="preserve">for the MoLFormer-XL hidden dimension.</w:t>
      </w:r>
    </w:p>
    <w:bookmarkStart w:id="37" w:name="Xaa6cda75048917cd0183e3247b159e35078383c"/>
    <w:p>
      <w:pPr>
        <w:pStyle w:val="Heading3"/>
      </w:pPr>
      <w:r>
        <w:t xml:space="preserve">3.3.1 MoLFormer-XL sequence encoder with bottom-layer freezing</w:t>
      </w:r>
    </w:p>
    <w:p>
      <w:pPr>
        <w:pStyle w:val="FirstParagraph"/>
      </w:pPr>
      <w:r>
        <w:t xml:space="preserve">The SMILES sequence is passed through the publicly released</w:t>
      </w:r>
      <w:r>
        <w:t xml:space="preserve"> </w:t>
      </w:r>
      <w:r>
        <w:rPr>
          <w:rStyle w:val="VerbatimChar"/>
        </w:rPr>
        <w:t xml:space="preserve">ibm/MoLFormer-XL-both-10pct</w:t>
      </w:r>
      <w:r>
        <w:t xml:space="preserve"> </w:t>
      </w:r>
      <w:r>
        <w:t xml:space="preserve">checkpoint, loaded with</w:t>
      </w:r>
      <w:r>
        <w:t xml:space="preserve"> </w:t>
      </w:r>
      <w:r>
        <w:rPr>
          <w:rStyle w:val="VerbatimChar"/>
        </w:rPr>
        <w:t xml:space="preserve">output_hidden_states=True</w:t>
      </w:r>
      <w:r>
        <w:t xml:space="preserve"> </w:t>
      </w:r>
      <w:r>
        <w:t xml:space="preserve">so all encoder layer outputs are exposed. The encoder has</w:t>
      </w:r>
      <w:r>
        <w:t xml:space="preserve"> </w:t>
      </w:r>
      <m:oMath>
        <m:r>
          <m:t>L</m:t>
        </m:r>
        <m:r>
          <m:rPr>
            <m:sty m:val="p"/>
          </m:rPr>
          <m:t>=</m:t>
        </m:r>
        <m:r>
          <m:t>12</m:t>
        </m:r>
      </m:oMath>
      <w:r>
        <w:t xml:space="preserve"> </w:t>
      </w:r>
      <w:r>
        <w:t xml:space="preserve">transformer layers producing hidden states</w:t>
      </w:r>
      <w:r>
        <w:t xml:space="preserve"> </w:t>
      </w:r>
      <m:oMath>
        <m:sSup>
          <m:e>
            <m:r>
              <m:t>H</m:t>
            </m:r>
          </m:e>
          <m:sup>
            <m:d>
              <m:dPr>
                <m:begChr m:val="("/>
                <m:endChr m:val=")"/>
                <m:sepChr m:val=""/>
                <m:grow/>
              </m:dPr>
              <m:e>
                <m:r>
                  <m:t>1</m:t>
                </m:r>
              </m:e>
            </m:d>
          </m:sup>
        </m:sSup>
        <m:r>
          <m:rPr>
            <m:sty m:val="p"/>
          </m:rPr>
          <m:t>,</m:t>
        </m:r>
        <m:r>
          <m:rPr>
            <m:sty m:val="p"/>
          </m:rPr>
          <m:t>…</m:t>
        </m:r>
        <m:r>
          <m:rPr>
            <m:sty m:val="p"/>
          </m:rPr>
          <m:t>,</m:t>
        </m:r>
        <m:sSup>
          <m:e>
            <m:r>
              <m:t>H</m:t>
            </m:r>
          </m:e>
          <m:sup>
            <m:d>
              <m:dPr>
                <m:begChr m:val="("/>
                <m:endChr m:val=")"/>
                <m:sepChr m:val=""/>
                <m:grow/>
              </m:dPr>
              <m:e>
                <m:r>
                  <m:t>L</m:t>
                </m:r>
              </m:e>
            </m:d>
          </m:sup>
        </m:sSup>
        <m:r>
          <m:rPr>
            <m:sty m:val="p"/>
          </m:rPr>
          <m:t>∈</m:t>
        </m:r>
        <m:sSup>
          <m:e>
            <m:r>
              <m:rPr>
                <m:sty m:val="p"/>
                <m:scr m:val="double-struck"/>
              </m:rPr>
              <m:t>R</m:t>
            </m:r>
          </m:e>
          <m:sup>
            <m:r>
              <m:t>B</m:t>
            </m:r>
            <m:r>
              <m:rPr>
                <m:sty m:val="p"/>
              </m:rPr>
              <m:t>×</m:t>
            </m:r>
            <m:sSub>
              <m:e>
                <m:r>
                  <m:t>L</m:t>
                </m:r>
              </m:e>
              <m:sub>
                <m:r>
                  <m:rPr>
                    <m:sty m:val="p"/>
                  </m:rPr>
                  <m:t>max</m:t>
                </m:r>
              </m:sub>
            </m:sSub>
            <m:r>
              <m:rPr>
                <m:sty m:val="p"/>
              </m:rPr>
              <m:t>×</m:t>
            </m:r>
            <m:r>
              <m:t>D</m:t>
            </m:r>
          </m:sup>
        </m:sSup>
      </m:oMath>
      <w:r>
        <w:t xml:space="preserve"> </w:t>
      </w:r>
      <w:r>
        <w:t xml:space="preserve">(with</w:t>
      </w:r>
      <w:r>
        <w:t xml:space="preserve"> </w:t>
      </w:r>
      <m:oMath>
        <m:sSup>
          <m:e>
            <m:r>
              <m:t>H</m:t>
            </m:r>
          </m:e>
          <m:sup>
            <m:d>
              <m:dPr>
                <m:begChr m:val="("/>
                <m:endChr m:val=")"/>
                <m:sepChr m:val=""/>
                <m:grow/>
              </m:dPr>
              <m:e>
                <m:r>
                  <m:t>0</m:t>
                </m:r>
              </m:e>
            </m:d>
          </m:sup>
        </m:sSup>
      </m:oMath>
      <w:r>
        <w:t xml:space="preserve"> </w:t>
      </w:r>
      <w:r>
        <w:t xml:space="preserve">denoting the embedding output). The bottom</w:t>
      </w:r>
      <w:r>
        <w:t xml:space="preserve"> </w:t>
      </w:r>
      <m:oMath>
        <m:sSub>
          <m:e>
            <m:r>
              <m:t>N</m:t>
            </m:r>
          </m:e>
          <m:sub>
            <m:r>
              <m:rPr>
                <m:sty m:val="p"/>
              </m:rPr>
              <m:t>f</m:t>
            </m:r>
            <m:r>
              <m:rPr>
                <m:sty m:val="p"/>
              </m:rPr>
              <m:t>r</m:t>
            </m:r>
            <m:r>
              <m:rPr>
                <m:sty m:val="p"/>
              </m:rPr>
              <m:t>e</m:t>
            </m:r>
            <m:r>
              <m:rPr>
                <m:sty m:val="p"/>
              </m:rPr>
              <m:t>e</m:t>
            </m:r>
            <m:r>
              <m:rPr>
                <m:sty m:val="p"/>
              </m:rPr>
              <m:t>z</m:t>
            </m:r>
            <m:r>
              <m:rPr>
                <m:sty m:val="p"/>
              </m:rPr>
              <m:t>e</m:t>
            </m:r>
          </m:sub>
        </m:sSub>
        <m:r>
          <m:rPr>
            <m:sty m:val="p"/>
          </m:rPr>
          <m:t>=</m:t>
        </m:r>
        <m:r>
          <m:t>4</m:t>
        </m:r>
      </m:oMath>
      <w:r>
        <w:t xml:space="preserve"> </w:t>
      </w:r>
      <w:r>
        <w:t xml:space="preserve">encoder layers are frozen at initialisation (</w:t>
      </w:r>
      <w:r>
        <w:rPr>
          <w:rStyle w:val="VerbatimChar"/>
        </w:rPr>
        <w:t xml:space="preserve">requires_grad = False</w:t>
      </w:r>
      <w:r>
        <w:t xml:space="preserve"> </w:t>
      </w:r>
      <w:r>
        <w:t xml:space="preserve">on all their parameters), preserving the chemistry-pretrained representations in the layers where they are most sensitive to catastrophic forgetting; only the top</w:t>
      </w:r>
      <w:r>
        <w:t xml:space="preserve"> </w:t>
      </w:r>
      <m:oMath>
        <m:r>
          <m:t>L</m:t>
        </m:r>
        <m:r>
          <m:rPr>
            <m:sty m:val="p"/>
          </m:rPr>
          <m:t>−</m:t>
        </m:r>
        <m:sSub>
          <m:e>
            <m:r>
              <m:t>N</m:t>
            </m:r>
          </m:e>
          <m:sub>
            <m:r>
              <m:rPr>
                <m:sty m:val="p"/>
              </m:rPr>
              <m:t>f</m:t>
            </m:r>
            <m:r>
              <m:rPr>
                <m:sty m:val="p"/>
              </m:rPr>
              <m:t>r</m:t>
            </m:r>
            <m:r>
              <m:rPr>
                <m:sty m:val="p"/>
              </m:rPr>
              <m:t>e</m:t>
            </m:r>
            <m:r>
              <m:rPr>
                <m:sty m:val="p"/>
              </m:rPr>
              <m:t>e</m:t>
            </m:r>
            <m:r>
              <m:rPr>
                <m:sty m:val="p"/>
              </m:rPr>
              <m:t>z</m:t>
            </m:r>
            <m:r>
              <m:rPr>
                <m:sty m:val="p"/>
              </m:rPr>
              <m:t>e</m:t>
            </m:r>
          </m:sub>
        </m:sSub>
        <m:r>
          <m:rPr>
            <m:sty m:val="p"/>
          </m:rPr>
          <m:t>=</m:t>
        </m:r>
        <m:r>
          <m:t>8</m:t>
        </m:r>
      </m:oMath>
      <w:r>
        <w:t xml:space="preserve"> </w:t>
      </w:r>
      <w:r>
        <w:t xml:space="preserve">layers remain trainable and are further modulated by layer-wise learning-rate decay (Section 3.5.1).</w:t>
      </w:r>
    </w:p>
    <w:bookmarkEnd w:id="37"/>
    <w:bookmarkStart w:id="38" w:name="X2fab6354c6df41fe6b4ac534610fafdddf9915a"/>
    <w:p>
      <w:pPr>
        <w:pStyle w:val="Heading3"/>
      </w:pPr>
      <w:r>
        <w:t xml:space="preserve">3.3.2 Multi-layer weighted pooling of encoder hidden states</w:t>
      </w:r>
    </w:p>
    <w:p>
      <w:pPr>
        <w:pStyle w:val="FirstParagraph"/>
      </w:pPr>
      <w:r>
        <w:t xml:space="preserve">Rather than using only the final encoder layer</w:t>
      </w:r>
      <w:r>
        <w:t xml:space="preserve"> </w:t>
      </w:r>
      <m:oMath>
        <m:sSup>
          <m:e>
            <m:r>
              <m:t>H</m:t>
            </m:r>
          </m:e>
          <m:sup>
            <m:d>
              <m:dPr>
                <m:begChr m:val="("/>
                <m:endChr m:val=")"/>
                <m:sepChr m:val=""/>
                <m:grow/>
              </m:dPr>
              <m:e>
                <m:r>
                  <m:t>L</m:t>
                </m:r>
              </m:e>
            </m:d>
          </m:sup>
        </m:sSup>
      </m:oMath>
      <w:r>
        <w:t xml:space="preserve">, we learn a softmax-normalised weighted average over the top</w:t>
      </w:r>
      <w:r>
        <w:t xml:space="preserve"> </w:t>
      </w:r>
      <m:oMath>
        <m:r>
          <m:t>K</m:t>
        </m:r>
        <m:r>
          <m:rPr>
            <m:sty m:val="p"/>
          </m:rPr>
          <m:t>=</m:t>
        </m:r>
        <m:r>
          <m:t>4</m:t>
        </m:r>
      </m:oMath>
      <w:r>
        <w:t xml:space="preserve"> </w:t>
      </w:r>
      <w:r>
        <w:t xml:space="preserve">encoder layers, i.e. layers</w:t>
      </w:r>
      <w:r>
        <w:t xml:space="preserve"> </w:t>
      </w:r>
      <m:oMath>
        <m:sSup>
          <m:e>
            <m:r>
              <m:t>H</m:t>
            </m:r>
          </m:e>
          <m:sup>
            <m:d>
              <m:dPr>
                <m:begChr m:val="("/>
                <m:endChr m:val=")"/>
                <m:sepChr m:val=""/>
                <m:grow/>
              </m:dPr>
              <m:e>
                <m:r>
                  <m:t>9</m:t>
                </m:r>
              </m:e>
            </m:d>
          </m:sup>
        </m:sSup>
        <m:r>
          <m:rPr>
            <m:sty m:val="p"/>
          </m:rPr>
          <m:t>,</m:t>
        </m:r>
        <m:r>
          <m:rPr>
            <m:sty m:val="p"/>
          </m:rPr>
          <m:t>…</m:t>
        </m:r>
        <m:r>
          <m:rPr>
            <m:sty m:val="p"/>
          </m:rPr>
          <m:t>,</m:t>
        </m:r>
        <m:sSup>
          <m:e>
            <m:r>
              <m:t>H</m:t>
            </m:r>
          </m:e>
          <m:sup>
            <m:d>
              <m:dPr>
                <m:begChr m:val="("/>
                <m:endChr m:val=")"/>
                <m:sepChr m:val=""/>
                <m:grow/>
              </m:dPr>
              <m:e>
                <m:r>
                  <m:t>12</m:t>
                </m:r>
              </m:e>
            </m:d>
          </m:sup>
        </m:sSup>
      </m:oMath>
      <w:r>
        <w:t xml:space="preserve">. Let</w:t>
      </w:r>
      <w:r>
        <w:t xml:space="preserve"> </w:t>
      </w:r>
      <m:oMath>
        <m:r>
          <m:rPr>
            <m:sty m:val="b"/>
          </m:rPr>
          <m:t>θ</m:t>
        </m:r>
        <m:r>
          <m:rPr>
            <m:sty m:val="p"/>
          </m:rPr>
          <m:t>∈</m:t>
        </m:r>
        <m:sSup>
          <m:e>
            <m:r>
              <m:rPr>
                <m:sty m:val="p"/>
                <m:scr m:val="double-struck"/>
              </m:rPr>
              <m:t>R</m:t>
            </m:r>
          </m:e>
          <m:sup>
            <m:r>
              <m:t>K</m:t>
            </m:r>
          </m:sup>
        </m:sSup>
      </m:oMath>
      <w:r>
        <w:t xml:space="preserve"> </w:t>
      </w:r>
      <w:r>
        <w:t xml:space="preserve">be a learnable parameter vector (initialised to</w:t>
      </w:r>
      <w:r>
        <w:t xml:space="preserve"> </w:t>
      </w:r>
      <m:oMath>
        <m:r>
          <m:rPr>
            <m:sty m:val="b"/>
          </m:rPr>
          <m:t>0</m:t>
        </m:r>
      </m:oMath>
      <w:r>
        <w:t xml:space="preserve">, giving a uniform average at the start of training). The layer weights are:</w:t>
      </w:r>
    </w:p>
    <w:p>
      <w:pPr>
        <w:pStyle w:val="BodyText"/>
      </w:pPr>
      <m:oMathPara>
        <m:oMathParaPr>
          <m:jc m:val="center"/>
        </m:oMathParaPr>
        <m:oMath>
          <m:sSub>
            <m:e>
              <m:r>
                <m:t>w</m:t>
              </m:r>
            </m:e>
            <m:sub>
              <m:r>
                <m:t>k</m:t>
              </m:r>
            </m:sub>
          </m:sSub>
          <m:r>
            <m:rPr>
              <m:sty m:val="p"/>
            </m:rPr>
            <m:t>=</m:t>
          </m:r>
          <m:f>
            <m:fPr>
              <m:type m:val="bar"/>
            </m:fPr>
            <m:num>
              <m:r>
                <m:rPr>
                  <m:sty m:val="p"/>
                </m:rPr>
                <m:t>exp</m:t>
              </m:r>
              <m:d>
                <m:dPr>
                  <m:begChr m:val="("/>
                  <m:endChr m:val=")"/>
                  <m:sepChr m:val=""/>
                  <m:grow/>
                </m:dPr>
                <m:e>
                  <m:sSub>
                    <m:e>
                      <m:r>
                        <m:t>θ</m:t>
                      </m:r>
                    </m:e>
                    <m:sub>
                      <m:r>
                        <m:t>k</m:t>
                      </m:r>
                    </m:sub>
                  </m:sSub>
                </m:e>
              </m:d>
            </m:num>
            <m:den>
              <m:nary>
                <m:naryPr>
                  <m:chr m:val="∑"/>
                  <m:limLoc m:val="undOvr"/>
                  <m:subHide m:val="off"/>
                  <m:supHide m:val="off"/>
                </m:naryPr>
                <m:sub>
                  <m:r>
                    <m:t>j</m:t>
                  </m:r>
                  <m:r>
                    <m:rPr>
                      <m:sty m:val="p"/>
                    </m:rPr>
                    <m:t>=</m:t>
                  </m:r>
                  <m:r>
                    <m:t>1</m:t>
                  </m:r>
                </m:sub>
                <m:sup>
                  <m:r>
                    <m:t>K</m:t>
                  </m:r>
                </m:sup>
                <m:e>
                  <m:r>
                    <m:rPr>
                      <m:sty m:val="p"/>
                    </m:rPr>
                    <m:t>exp</m:t>
                  </m:r>
                </m:e>
              </m:nary>
              <m:d>
                <m:dPr>
                  <m:begChr m:val="("/>
                  <m:endChr m:val=")"/>
                  <m:sepChr m:val=""/>
                  <m:grow/>
                </m:dPr>
                <m:e>
                  <m:sSub>
                    <m:e>
                      <m:r>
                        <m:t>θ</m:t>
                      </m:r>
                    </m:e>
                    <m:sub>
                      <m:r>
                        <m:t>j</m:t>
                      </m:r>
                    </m:sub>
                  </m:sSub>
                </m:e>
              </m:d>
            </m:den>
          </m:f>
          <m:r>
            <m:rPr>
              <m:sty m:val="p"/>
            </m:rPr>
            <m:t>,</m:t>
          </m:r>
          <m:r>
            <m:t>  </m:t>
          </m:r>
          <m:r>
            <m:t>k</m:t>
          </m:r>
          <m:r>
            <m:rPr>
              <m:sty m:val="p"/>
            </m:rPr>
            <m:t>=</m:t>
          </m:r>
          <m:r>
            <m:t>1</m:t>
          </m:r>
          <m:r>
            <m:rPr>
              <m:sty m:val="p"/>
            </m:rPr>
            <m:t>,</m:t>
          </m:r>
          <m:r>
            <m:rPr>
              <m:sty m:val="p"/>
            </m:rPr>
            <m:t>…</m:t>
          </m:r>
          <m:r>
            <m:rPr>
              <m:sty m:val="p"/>
            </m:rPr>
            <m:t>,</m:t>
          </m:r>
          <m:r>
            <m:t>K</m:t>
          </m:r>
          <m:r>
            <m:rPr>
              <m:sty m:val="p"/>
            </m:rPr>
            <m:t>,</m:t>
          </m:r>
        </m:oMath>
      </m:oMathPara>
    </w:p>
    <w:p>
      <w:pPr>
        <w:pStyle w:val="FirstParagraph"/>
      </w:pPr>
      <w:r>
        <w:t xml:space="preserve">and the pooled hidden state is:</w:t>
      </w:r>
    </w:p>
    <w:p>
      <w:pPr>
        <w:pStyle w:val="BodyText"/>
      </w:pPr>
      <m:oMathPara>
        <m:oMathParaPr>
          <m:jc m:val="center"/>
        </m:oMathParaPr>
        <m:oMath>
          <m:r>
            <m:t>H</m:t>
          </m:r>
          <m:r>
            <m:rPr>
              <m:sty m:val="p"/>
            </m:rPr>
            <m:t>=</m:t>
          </m:r>
          <m:nary>
            <m:naryPr>
              <m:chr m:val="∑"/>
              <m:limLoc m:val="undOvr"/>
              <m:subHide m:val="off"/>
              <m:supHide m:val="off"/>
            </m:naryPr>
            <m:sub>
              <m:r>
                <m:t>k</m:t>
              </m:r>
              <m:r>
                <m:rPr>
                  <m:sty m:val="p"/>
                </m:rPr>
                <m:t>=</m:t>
              </m:r>
              <m:r>
                <m:t>1</m:t>
              </m:r>
            </m:sub>
            <m:sup>
              <m:r>
                <m:t>K</m:t>
              </m:r>
            </m:sup>
            <m:e>
              <m:sSub>
                <m:e>
                  <m:r>
                    <m:t>w</m:t>
                  </m:r>
                </m:e>
                <m:sub>
                  <m:r>
                    <m:t>k</m:t>
                  </m:r>
                </m:sub>
              </m:sSub>
            </m:e>
          </m:nary>
          <m:sSup>
            <m:e>
              <m:r>
                <m:t>H</m:t>
              </m:r>
            </m:e>
            <m:sup>
              <m:d>
                <m:dPr>
                  <m:begChr m:val="("/>
                  <m:endChr m:val=")"/>
                  <m:sepChr m:val=""/>
                  <m:grow/>
                </m:dPr>
                <m:e>
                  <m:r>
                    <m:t>L</m:t>
                  </m:r>
                  <m:r>
                    <m:rPr>
                      <m:sty m:val="p"/>
                    </m:rPr>
                    <m:t>−</m:t>
                  </m:r>
                  <m:r>
                    <m:t>K</m:t>
                  </m:r>
                  <m:r>
                    <m:rPr>
                      <m:sty m:val="p"/>
                    </m:rPr>
                    <m:t>+</m:t>
                  </m:r>
                  <m:r>
                    <m:t>k</m:t>
                  </m:r>
                </m:e>
              </m:d>
            </m:sup>
          </m:sSup>
          <m:r>
            <m:rPr>
              <m:sty m:val="p"/>
            </m:rPr>
            <m:t>∈</m:t>
          </m:r>
          <m:sSup>
            <m:e>
              <m:r>
                <m:rPr>
                  <m:sty m:val="p"/>
                  <m:scr m:val="double-struck"/>
                </m:rPr>
                <m:t>R</m:t>
              </m:r>
            </m:e>
            <m:sup>
              <m:r>
                <m:t>B</m:t>
              </m:r>
              <m:r>
                <m:rPr>
                  <m:sty m:val="p"/>
                </m:rPr>
                <m:t>×</m:t>
              </m:r>
              <m:sSub>
                <m:e>
                  <m:r>
                    <m:t>L</m:t>
                  </m:r>
                </m:e>
                <m:sub>
                  <m:r>
                    <m:rPr>
                      <m:sty m:val="p"/>
                    </m:rPr>
                    <m:t>max</m:t>
                  </m:r>
                </m:sub>
              </m:sSub>
              <m:r>
                <m:rPr>
                  <m:sty m:val="p"/>
                </m:rPr>
                <m:t>×</m:t>
              </m:r>
              <m:r>
                <m:t>D</m:t>
              </m:r>
            </m:sup>
          </m:sSup>
          <m:r>
            <m:rPr>
              <m:sty m:val="p"/>
            </m:rPr>
            <m:t>.</m:t>
          </m:r>
        </m:oMath>
      </m:oMathPara>
    </w:p>
    <w:p>
      <w:pPr>
        <w:pStyle w:val="FirstParagraph"/>
      </w:pPr>
      <w:r>
        <w:t xml:space="preserve">This allows the model to learn — via gradient descent — which of the top encoder layers is most informative for the downstream bioactivity task, rather than committing that choice to a hand-set hyperparameter.</w:t>
      </w:r>
    </w:p>
    <w:bookmarkEnd w:id="38"/>
    <w:bookmarkStart w:id="39" w:name="tri-strategy-smiles-pooling"/>
    <w:p>
      <w:pPr>
        <w:pStyle w:val="Heading3"/>
      </w:pPr>
      <w:r>
        <w:t xml:space="preserve">3.3.3 Tri-strategy SMILES pooling</w:t>
      </w:r>
    </w:p>
    <w:p>
      <w:pPr>
        <w:pStyle w:val="FirstParagraph"/>
      </w:pPr>
      <w:r>
        <w:t xml:space="preserve">From the pooled hidden state</w:t>
      </w:r>
      <w:r>
        <w:t xml:space="preserve"> </w:t>
      </w:r>
      <m:oMath>
        <m:r>
          <m:t>H</m:t>
        </m:r>
      </m:oMath>
      <w:r>
        <w:t xml:space="preserve">, three complementary token-pooling strategies are computed and then averaged into a single SMILES-modality vector.</w:t>
      </w:r>
    </w:p>
    <w:p>
      <w:pPr>
        <w:pStyle w:val="BodyText"/>
      </w:pPr>
      <w:r>
        <w:rPr>
          <w:bCs/>
          <w:b/>
        </w:rPr>
        <w:t xml:space="preserve">CLS-token pool.</w:t>
      </w:r>
    </w:p>
    <w:p>
      <w:pPr>
        <w:pStyle w:val="BodyText"/>
      </w:pPr>
      <m:oMathPara>
        <m:oMathParaPr>
          <m:jc m:val="center"/>
        </m:oMathParaPr>
        <m:oMath>
          <m:sSub>
            <m:e>
              <m:r>
                <m:rPr>
                  <m:sty m:val="b"/>
                </m:rPr>
                <m:t>s</m:t>
              </m:r>
            </m:e>
            <m:sub>
              <m:r>
                <m:rPr>
                  <m:sty m:val="p"/>
                </m:rPr>
                <m:t>C</m:t>
              </m:r>
              <m:r>
                <m:rPr>
                  <m:sty m:val="p"/>
                </m:rPr>
                <m:t>L</m:t>
              </m:r>
              <m:r>
                <m:rPr>
                  <m:sty m:val="p"/>
                </m:rPr>
                <m:t>S</m:t>
              </m:r>
            </m:sub>
          </m:sSub>
          <m:r>
            <m:rPr>
              <m:sty m:val="p"/>
            </m:rPr>
            <m:t>=</m:t>
          </m:r>
          <m:sSub>
            <m:e>
              <m:r>
                <m:t>H</m:t>
              </m:r>
            </m:e>
            <m:sub>
              <m:r>
                <m:rPr>
                  <m:sty m:val="p"/>
                </m:rPr>
                <m:t>:</m:t>
              </m:r>
              <m:r>
                <m:rPr>
                  <m:sty m:val="p"/>
                </m:rPr>
                <m:t>,</m:t>
              </m:r>
              <m:r>
                <m:t>0</m:t>
              </m:r>
              <m:r>
                <m:rPr>
                  <m:sty m:val="p"/>
                </m:rPr>
                <m:t>,</m:t>
              </m:r>
              <m:r>
                <m:rPr>
                  <m:sty m:val="p"/>
                </m:rPr>
                <m:t>:</m:t>
              </m:r>
            </m:sub>
          </m:sSub>
          <m:r>
            <m:rPr>
              <m:sty m:val="p"/>
            </m:rPr>
            <m:t>∈</m:t>
          </m:r>
          <m:sSup>
            <m:e>
              <m:r>
                <m:rPr>
                  <m:sty m:val="p"/>
                  <m:scr m:val="double-struck"/>
                </m:rPr>
                <m:t>R</m:t>
              </m:r>
            </m:e>
            <m:sup>
              <m:r>
                <m:t>B</m:t>
              </m:r>
              <m:r>
                <m:rPr>
                  <m:sty m:val="p"/>
                </m:rPr>
                <m:t>×</m:t>
              </m:r>
              <m:r>
                <m:t>D</m:t>
              </m:r>
            </m:sup>
          </m:sSup>
          <m:r>
            <m:rPr>
              <m:sty m:val="p"/>
            </m:rPr>
            <m:t>.</m:t>
          </m:r>
        </m:oMath>
      </m:oMathPara>
    </w:p>
    <w:p>
      <w:pPr>
        <w:pStyle w:val="FirstParagraph"/>
      </w:pPr>
      <w:r>
        <w:rPr>
          <w:bCs/>
          <w:b/>
        </w:rPr>
        <w:t xml:space="preserve">Masked mean pool.</w:t>
      </w:r>
      <w:r>
        <w:t xml:space="preserve"> </w:t>
      </w:r>
      <w:r>
        <w:t xml:space="preserve">With attention mask</w:t>
      </w:r>
      <w:r>
        <w:t xml:space="preserve"> </w:t>
      </w:r>
      <m:oMath>
        <m:r>
          <m:rPr>
            <m:sty m:val="b"/>
          </m:rPr>
          <m:t>a</m:t>
        </m:r>
        <m:r>
          <m:rPr>
            <m:sty m:val="p"/>
          </m:rPr>
          <m:t>∈</m:t>
        </m:r>
        <m:r>
          <m:rPr>
            <m:sty m:val="p"/>
          </m:rPr>
          <m:t>{</m:t>
        </m:r>
        <m:r>
          <m:t>0</m:t>
        </m:r>
        <m:r>
          <m:rPr>
            <m:sty m:val="p"/>
          </m:rPr>
          <m:t>,</m:t>
        </m:r>
        <m:r>
          <m:t>1</m:t>
        </m:r>
        <m:sSup>
          <m:e>
            <m:r>
              <m:rPr>
                <m:sty m:val="p"/>
              </m:rPr>
              <m:t>}</m:t>
            </m:r>
          </m:e>
          <m:sup>
            <m:r>
              <m:t>B</m:t>
            </m:r>
            <m:r>
              <m:rPr>
                <m:sty m:val="p"/>
              </m:rPr>
              <m:t>×</m:t>
            </m:r>
            <m:sSub>
              <m:e>
                <m:r>
                  <m:t>L</m:t>
                </m:r>
              </m:e>
              <m:sub>
                <m:r>
                  <m:rPr>
                    <m:sty m:val="p"/>
                  </m:rPr>
                  <m:t>max</m:t>
                </m:r>
              </m:sub>
            </m:sSub>
          </m:sup>
        </m:sSup>
      </m:oMath>
      <w:r>
        <w:t xml:space="preserve"> </w:t>
      </w:r>
      <w:r>
        <w:t xml:space="preserve">broadcast to</w:t>
      </w:r>
      <w:r>
        <w:t xml:space="preserve"> </w:t>
      </w:r>
      <m:oMath>
        <m:acc>
          <m:accPr>
            <m:chr m:val="‾"/>
          </m:accPr>
          <m:e>
            <m:r>
              <m:rPr>
                <m:sty m:val="b"/>
              </m:rPr>
              <m:t>a</m:t>
            </m:r>
          </m:e>
        </m:acc>
        <m:r>
          <m:rPr>
            <m:sty m:val="p"/>
          </m:rPr>
          <m:t>∈</m:t>
        </m:r>
        <m:sSup>
          <m:e>
            <m:r>
              <m:rPr>
                <m:sty m:val="p"/>
                <m:scr m:val="double-struck"/>
              </m:rPr>
              <m:t>R</m:t>
            </m:r>
          </m:e>
          <m:sup>
            <m:r>
              <m:t>B</m:t>
            </m:r>
            <m:r>
              <m:rPr>
                <m:sty m:val="p"/>
              </m:rPr>
              <m:t>×</m:t>
            </m:r>
            <m:sSub>
              <m:e>
                <m:r>
                  <m:t>L</m:t>
                </m:r>
              </m:e>
              <m:sub>
                <m:r>
                  <m:rPr>
                    <m:sty m:val="p"/>
                  </m:rPr>
                  <m:t>max</m:t>
                </m:r>
              </m:sub>
            </m:sSub>
            <m:r>
              <m:rPr>
                <m:sty m:val="p"/>
              </m:rPr>
              <m:t>×</m:t>
            </m:r>
            <m:r>
              <m:t>1</m:t>
            </m:r>
          </m:sup>
        </m:sSup>
      </m:oMath>
      <w:r>
        <w:t xml:space="preserve">:</w:t>
      </w:r>
    </w:p>
    <w:p>
      <w:pPr>
        <w:pStyle w:val="BodyText"/>
      </w:pPr>
      <m:oMathPara>
        <m:oMathParaPr>
          <m:jc m:val="center"/>
        </m:oMathParaPr>
        <m:oMath>
          <m:sSub>
            <m:e>
              <m:r>
                <m:rPr>
                  <m:sty m:val="b"/>
                </m:rPr>
                <m:t>s</m:t>
              </m:r>
            </m:e>
            <m:sub>
              <m:r>
                <m:rPr>
                  <m:sty m:val="p"/>
                </m:rPr>
                <m:t>m</m:t>
              </m:r>
              <m:r>
                <m:rPr>
                  <m:sty m:val="p"/>
                </m:rPr>
                <m:t>e</m:t>
              </m:r>
              <m:r>
                <m:rPr>
                  <m:sty m:val="p"/>
                </m:rPr>
                <m:t>a</m:t>
              </m:r>
              <m:r>
                <m:rPr>
                  <m:sty m:val="p"/>
                </m:rPr>
                <m:t>n</m:t>
              </m:r>
            </m:sub>
          </m:sSub>
          <m:r>
            <m:rPr>
              <m:sty m:val="p"/>
            </m:rPr>
            <m:t>=</m:t>
          </m:r>
          <m:f>
            <m:fPr>
              <m:type m:val="bar"/>
            </m:fPr>
            <m:num>
              <m:nary>
                <m:naryPr>
                  <m:chr m:val="∑"/>
                  <m:limLoc m:val="undOvr"/>
                  <m:subHide m:val="off"/>
                  <m:supHide m:val="off"/>
                </m:naryPr>
                <m:sub>
                  <m:r>
                    <m:t>t</m:t>
                  </m:r>
                  <m:r>
                    <m:rPr>
                      <m:sty m:val="p"/>
                    </m:rPr>
                    <m:t>=</m:t>
                  </m:r>
                  <m:r>
                    <m:t>1</m:t>
                  </m:r>
                </m:sub>
                <m:sup>
                  <m:sSub>
                    <m:e>
                      <m:r>
                        <m:t>L</m:t>
                      </m:r>
                    </m:e>
                    <m:sub>
                      <m:r>
                        <m:rPr>
                          <m:sty m:val="p"/>
                        </m:rPr>
                        <m:t>max</m:t>
                      </m:r>
                    </m:sub>
                  </m:sSub>
                </m:sup>
                <m:e>
                  <m:sSub>
                    <m:e>
                      <m:acc>
                        <m:accPr>
                          <m:chr m:val="‾"/>
                        </m:accPr>
                        <m:e>
                          <m:r>
                            <m:rPr>
                              <m:sty m:val="b"/>
                            </m:rPr>
                            <m:t>a</m:t>
                          </m:r>
                        </m:e>
                      </m:acc>
                    </m:e>
                    <m:sub>
                      <m:r>
                        <m:rPr>
                          <m:sty m:val="p"/>
                        </m:rPr>
                        <m:t>:</m:t>
                      </m:r>
                      <m:r>
                        <m:rPr>
                          <m:sty m:val="p"/>
                        </m:rPr>
                        <m:t>,</m:t>
                      </m:r>
                      <m:r>
                        <m:t>t</m:t>
                      </m:r>
                      <m:r>
                        <m:rPr>
                          <m:sty m:val="p"/>
                        </m:rPr>
                        <m:t>,</m:t>
                      </m:r>
                      <m:r>
                        <m:rPr>
                          <m:sty m:val="p"/>
                        </m:rPr>
                        <m:t>:</m:t>
                      </m:r>
                    </m:sub>
                  </m:sSub>
                </m:e>
              </m:nary>
              <m:r>
                <m:rPr>
                  <m:sty m:val="p"/>
                </m:rPr>
                <m:t>⊙</m:t>
              </m:r>
              <m:sSub>
                <m:e>
                  <m:r>
                    <m:t>H</m:t>
                  </m:r>
                </m:e>
                <m:sub>
                  <m:r>
                    <m:rPr>
                      <m:sty m:val="p"/>
                    </m:rPr>
                    <m:t>:</m:t>
                  </m:r>
                  <m:r>
                    <m:rPr>
                      <m:sty m:val="p"/>
                    </m:rPr>
                    <m:t>,</m:t>
                  </m:r>
                  <m:r>
                    <m:t>t</m:t>
                  </m:r>
                  <m:r>
                    <m:rPr>
                      <m:sty m:val="p"/>
                    </m:rPr>
                    <m:t>,</m:t>
                  </m:r>
                  <m:r>
                    <m:rPr>
                      <m:sty m:val="p"/>
                    </m:rPr>
                    <m:t>:</m:t>
                  </m:r>
                </m:sub>
              </m:sSub>
            </m:num>
            <m:den>
              <m:r>
                <m:rPr>
                  <m:sty m:val="p"/>
                </m:rPr>
                <m:t>max</m:t>
              </m:r>
              <m:r>
                <m:t>​</m:t>
              </m:r>
              <m:d>
                <m:dPr>
                  <m:begChr m:val="("/>
                  <m:endChr m:val=")"/>
                  <m:sepChr m:val=""/>
                  <m:grow/>
                </m:dPr>
                <m:e>
                  <m:nary>
                    <m:naryPr>
                      <m:chr m:val="∑"/>
                      <m:limLoc m:val="undOvr"/>
                      <m:subHide m:val="off"/>
                      <m:supHide m:val="off"/>
                    </m:naryPr>
                    <m:sub>
                      <m:r>
                        <m:t>t</m:t>
                      </m:r>
                      <m:r>
                        <m:rPr>
                          <m:sty m:val="p"/>
                        </m:rPr>
                        <m:t>=</m:t>
                      </m:r>
                      <m:r>
                        <m:t>1</m:t>
                      </m:r>
                    </m:sub>
                    <m:sup>
                      <m:sSub>
                        <m:e>
                          <m:r>
                            <m:t>L</m:t>
                          </m:r>
                        </m:e>
                        <m:sub>
                          <m:r>
                            <m:rPr>
                              <m:sty m:val="p"/>
                            </m:rPr>
                            <m:t>max</m:t>
                          </m:r>
                        </m:sub>
                      </m:sSub>
                    </m:sup>
                    <m:e>
                      <m:sSub>
                        <m:e>
                          <m:acc>
                            <m:accPr>
                              <m:chr m:val="‾"/>
                            </m:accPr>
                            <m:e>
                              <m:r>
                                <m:rPr>
                                  <m:sty m:val="b"/>
                                </m:rPr>
                                <m:t>a</m:t>
                              </m:r>
                            </m:e>
                          </m:acc>
                        </m:e>
                        <m:sub>
                          <m:r>
                            <m:rPr>
                              <m:sty m:val="p"/>
                            </m:rPr>
                            <m:t>:</m:t>
                          </m:r>
                          <m:r>
                            <m:rPr>
                              <m:sty m:val="p"/>
                            </m:rPr>
                            <m:t>,</m:t>
                          </m:r>
                          <m:r>
                            <m:t>t</m:t>
                          </m:r>
                          <m:r>
                            <m:rPr>
                              <m:sty m:val="p"/>
                            </m:rPr>
                            <m:t>,</m:t>
                          </m:r>
                          <m:r>
                            <m:rPr>
                              <m:sty m:val="p"/>
                            </m:rPr>
                            <m:t>:</m:t>
                          </m:r>
                        </m:sub>
                      </m:sSub>
                    </m:e>
                  </m:nary>
                  <m:r>
                    <m:rPr>
                      <m:sty m:val="p"/>
                    </m:rPr>
                    <m:t>,</m:t>
                  </m:r>
                  <m:r>
                    <m:t> </m:t>
                  </m:r>
                  <m:r>
                    <m:t>ε</m:t>
                  </m:r>
                </m:e>
              </m:d>
            </m:den>
          </m:f>
          <m:r>
            <m:rPr>
              <m:sty m:val="p"/>
            </m:rPr>
            <m:t>,</m:t>
          </m:r>
        </m:oMath>
      </m:oMathPara>
    </w:p>
    <w:p>
      <w:pPr>
        <w:pStyle w:val="FirstParagraph"/>
      </w:pPr>
      <w:r>
        <w:t xml:space="preserve">with</w:t>
      </w:r>
      <w:r>
        <w:t xml:space="preserve"> </w:t>
      </w:r>
      <m:oMath>
        <m:r>
          <m:t>ε</m:t>
        </m:r>
        <m:r>
          <m:rPr>
            <m:sty m:val="p"/>
          </m:rPr>
          <m:t>=</m:t>
        </m:r>
        <m:sSup>
          <m:e>
            <m:r>
              <m:t>10</m:t>
            </m:r>
          </m:e>
          <m:sup>
            <m:r>
              <m:rPr>
                <m:sty m:val="p"/>
              </m:rPr>
              <m:t>−</m:t>
            </m:r>
            <m:r>
              <m:t>9</m:t>
            </m:r>
          </m:sup>
        </m:sSup>
      </m:oMath>
      <w:r>
        <w:t xml:space="preserve">. The mask division ensures padding tokens are correctly excluded — an issue that a naïve</w:t>
      </w:r>
      <w:r>
        <w:t xml:space="preserve"> </w:t>
      </w:r>
      <w:r>
        <w:rPr>
          <w:rStyle w:val="VerbatimChar"/>
        </w:rPr>
        <w:t xml:space="preserve">hidden.mean(dim=1)</w:t>
      </w:r>
      <w:r>
        <w:t xml:space="preserve"> </w:t>
      </w:r>
      <w:r>
        <w:t xml:space="preserve">would silently violate.</w:t>
      </w:r>
    </w:p>
    <w:p>
      <w:pPr>
        <w:pStyle w:val="BodyText"/>
      </w:pPr>
      <w:r>
        <w:rPr>
          <w:bCs/>
          <w:b/>
        </w:rPr>
        <w:t xml:space="preserve">Attention-weighted pool.</w:t>
      </w:r>
      <w:r>
        <w:t xml:space="preserve"> </w:t>
      </w:r>
      <w:r>
        <w:t xml:space="preserve">A single-parameter linear scorer</w:t>
      </w:r>
      <w:r>
        <w:t xml:space="preserve"> </w:t>
      </w:r>
      <m:oMath>
        <m:sSub>
          <m:e>
            <m:r>
              <m:rPr>
                <m:sty m:val="b"/>
              </m:rPr>
              <m:t>w</m:t>
            </m:r>
          </m:e>
          <m:sub>
            <m:r>
              <m:rPr>
                <m:sty m:val="p"/>
              </m:rPr>
              <m:t>a</m:t>
            </m:r>
            <m:r>
              <m:rPr>
                <m:sty m:val="p"/>
              </m:rPr>
              <m:t>t</m:t>
            </m:r>
            <m:r>
              <m:rPr>
                <m:sty m:val="p"/>
              </m:rPr>
              <m:t>t</m:t>
            </m:r>
            <m:r>
              <m:rPr>
                <m:sty m:val="p"/>
              </m:rPr>
              <m:t>n</m:t>
            </m:r>
          </m:sub>
        </m:sSub>
        <m:r>
          <m:rPr>
            <m:sty m:val="p"/>
          </m:rPr>
          <m:t>∈</m:t>
        </m:r>
        <m:sSup>
          <m:e>
            <m:r>
              <m:rPr>
                <m:sty m:val="p"/>
                <m:scr m:val="double-struck"/>
              </m:rPr>
              <m:t>R</m:t>
            </m:r>
          </m:e>
          <m:sup>
            <m:r>
              <m:t>D</m:t>
            </m:r>
            <m:r>
              <m:rPr>
                <m:sty m:val="p"/>
              </m:rPr>
              <m:t>×</m:t>
            </m:r>
            <m:r>
              <m:t>1</m:t>
            </m:r>
          </m:sup>
        </m:sSup>
      </m:oMath>
      <w:r>
        <w:t xml:space="preserve"> </w:t>
      </w:r>
      <w:r>
        <w:t xml:space="preserve">produces per-token scalar scores, masked at padding positions and softmax-normalised:</w:t>
      </w:r>
    </w:p>
    <w:p>
      <w:pPr>
        <w:pStyle w:val="BodyText"/>
      </w:pPr>
      <m:oMathPara>
        <m:oMathParaPr>
          <m:jc m:val="center"/>
        </m:oMathParaPr>
        <m:oMath>
          <m:sSub>
            <m:e>
              <m:r>
                <m:t>q</m:t>
              </m:r>
            </m:e>
            <m:sub>
              <m:r>
                <m:t>t</m:t>
              </m:r>
            </m:sub>
          </m:sSub>
          <m:r>
            <m:rPr>
              <m:sty m:val="p"/>
            </m:rPr>
            <m:t>=</m:t>
          </m:r>
          <m:sSub>
            <m:e>
              <m:r>
                <m:t>H</m:t>
              </m:r>
            </m:e>
            <m:sub>
              <m:r>
                <m:rPr>
                  <m:sty m:val="p"/>
                </m:rPr>
                <m:t>:</m:t>
              </m:r>
              <m:r>
                <m:rPr>
                  <m:sty m:val="p"/>
                </m:rPr>
                <m:t>,</m:t>
              </m:r>
              <m:r>
                <m:t>t</m:t>
              </m:r>
              <m:r>
                <m:rPr>
                  <m:sty m:val="p"/>
                </m:rPr>
                <m:t>,</m:t>
              </m:r>
              <m:r>
                <m:rPr>
                  <m:sty m:val="p"/>
                </m:rPr>
                <m:t>:</m:t>
              </m:r>
            </m:sub>
          </m:sSub>
          <m:sSub>
            <m:e>
              <m:r>
                <m:rPr>
                  <m:sty m:val="b"/>
                </m:rPr>
                <m:t>w</m:t>
              </m:r>
            </m:e>
            <m:sub>
              <m:r>
                <m:rPr>
                  <m:sty m:val="p"/>
                </m:rPr>
                <m:t>a</m:t>
              </m:r>
              <m:r>
                <m:rPr>
                  <m:sty m:val="p"/>
                </m:rPr>
                <m:t>t</m:t>
              </m:r>
              <m:r>
                <m:rPr>
                  <m:sty m:val="p"/>
                </m:rPr>
                <m:t>t</m:t>
              </m:r>
              <m:r>
                <m:rPr>
                  <m:sty m:val="p"/>
                </m:rPr>
                <m:t>n</m:t>
              </m:r>
            </m:sub>
          </m:sSub>
          <m:r>
            <m:rPr>
              <m:sty m:val="p"/>
            </m:rPr>
            <m:t>,</m:t>
          </m:r>
          <m:r>
            <m:t>  </m:t>
          </m:r>
          <m:sSub>
            <m:e>
              <m:acc>
                <m:accPr>
                  <m:chr m:val="̃"/>
                </m:accPr>
                <m:e>
                  <m:r>
                    <m:t>q</m:t>
                  </m:r>
                </m:e>
              </m:acc>
            </m:e>
            <m:sub>
              <m:r>
                <m:t>t</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q</m:t>
                        </m:r>
                      </m:e>
                      <m:sub>
                        <m:r>
                          <m:t>t</m:t>
                        </m:r>
                      </m:sub>
                    </m:sSub>
                  </m:e>
                  <m:e>
                    <m:sSub>
                      <m:e>
                        <m:r>
                          <m:t>a</m:t>
                        </m:r>
                      </m:e>
                      <m:sub>
                        <m:r>
                          <m:t>t</m:t>
                        </m:r>
                      </m:sub>
                    </m:sSub>
                    <m:r>
                      <m:rPr>
                        <m:sty m:val="p"/>
                      </m:rPr>
                      <m:t>=</m:t>
                    </m:r>
                    <m:r>
                      <m:t>1</m:t>
                    </m:r>
                  </m:e>
                </m:mr>
                <m:mr>
                  <m:e>
                    <m:r>
                      <m:rPr>
                        <m:sty m:val="p"/>
                      </m:rPr>
                      <m:t>−</m:t>
                    </m:r>
                    <m:r>
                      <m:rPr>
                        <m:sty m:val="p"/>
                      </m:rPr>
                      <m:t>∞</m:t>
                    </m:r>
                  </m:e>
                  <m:e>
                    <m:sSub>
                      <m:e>
                        <m:r>
                          <m:t>a</m:t>
                        </m:r>
                      </m:e>
                      <m:sub>
                        <m:r>
                          <m:t>t</m:t>
                        </m:r>
                      </m:sub>
                    </m:sSub>
                    <m:r>
                      <m:rPr>
                        <m:sty m:val="p"/>
                      </m:rPr>
                      <m:t>=</m:t>
                    </m:r>
                    <m:r>
                      <m:t>0</m:t>
                    </m:r>
                  </m:e>
                </m:mr>
              </m:m>
            </m:e>
          </m:d>
          <m:r>
            <m:rPr>
              <m:sty m:val="p"/>
            </m:rPr>
            <m:t>,</m:t>
          </m:r>
          <m:r>
            <m:t>  </m:t>
          </m:r>
          <m:sSub>
            <m:e>
              <m:r>
                <m:t>α</m:t>
              </m:r>
            </m:e>
            <m:sub>
              <m:r>
                <m:t>t</m:t>
              </m:r>
            </m:sub>
          </m:sSub>
          <m:r>
            <m:rPr>
              <m:sty m:val="p"/>
            </m:rPr>
            <m:t>=</m:t>
          </m:r>
          <m:f>
            <m:fPr>
              <m:type m:val="bar"/>
            </m:fPr>
            <m:num>
              <m:r>
                <m:rPr>
                  <m:sty m:val="p"/>
                </m:rPr>
                <m:t>exp</m:t>
              </m:r>
              <m:d>
                <m:dPr>
                  <m:begChr m:val="("/>
                  <m:endChr m:val=")"/>
                  <m:sepChr m:val=""/>
                  <m:grow/>
                </m:dPr>
                <m:e>
                  <m:sSub>
                    <m:e>
                      <m:acc>
                        <m:accPr>
                          <m:chr m:val="̃"/>
                        </m:accPr>
                        <m:e>
                          <m:r>
                            <m:t>q</m:t>
                          </m:r>
                        </m:e>
                      </m:acc>
                    </m:e>
                    <m:sub>
                      <m:r>
                        <m:t>t</m:t>
                      </m:r>
                    </m:sub>
                  </m:sSub>
                </m:e>
              </m:d>
            </m:num>
            <m:den>
              <m:nary>
                <m:naryPr>
                  <m:chr m:val="∑"/>
                  <m:limLoc m:val="undOvr"/>
                  <m:subHide m:val="off"/>
                  <m:supHide m:val="on"/>
                </m:naryPr>
                <m:sub>
                  <m:r>
                    <m:t>t</m:t>
                  </m:r>
                  <m:r>
                    <m:rPr>
                      <m:sty m:val="p"/>
                    </m:rPr>
                    <m:t>′</m:t>
                  </m:r>
                </m:sub>
                <m:sup>
                  <m:r>
                    <m:t>​</m:t>
                  </m:r>
                </m:sup>
                <m:e>
                  <m:r>
                    <m:rPr>
                      <m:sty m:val="p"/>
                    </m:rPr>
                    <m:t>exp</m:t>
                  </m:r>
                </m:e>
              </m:nary>
              <m:d>
                <m:dPr>
                  <m:begChr m:val="("/>
                  <m:endChr m:val=")"/>
                  <m:sepChr m:val=""/>
                  <m:grow/>
                </m:dPr>
                <m:e>
                  <m:sSub>
                    <m:e>
                      <m:acc>
                        <m:accPr>
                          <m:chr m:val="̃"/>
                        </m:accPr>
                        <m:e>
                          <m:r>
                            <m:t>q</m:t>
                          </m:r>
                        </m:e>
                      </m:acc>
                    </m:e>
                    <m:sub>
                      <m:r>
                        <m:t>t</m:t>
                      </m:r>
                      <m:r>
                        <m:rPr>
                          <m:sty m:val="p"/>
                        </m:rPr>
                        <m:t>′</m:t>
                      </m:r>
                    </m:sub>
                  </m:sSub>
                </m:e>
              </m:d>
            </m:den>
          </m:f>
          <m:r>
            <m:rPr>
              <m:sty m:val="p"/>
            </m:rPr>
            <m:t>,</m:t>
          </m:r>
        </m:oMath>
      </m:oMathPara>
    </w:p>
    <w:p>
      <w:pPr>
        <w:pStyle w:val="FirstParagraph"/>
      </w:pPr>
      <m:oMathPara>
        <m:oMathParaPr>
          <m:jc m:val="center"/>
        </m:oMathParaPr>
        <m:oMath>
          <m:sSub>
            <m:e>
              <m:r>
                <m:rPr>
                  <m:sty m:val="b"/>
                </m:rPr>
                <m:t>s</m:t>
              </m:r>
            </m:e>
            <m:sub>
              <m:r>
                <m:rPr>
                  <m:sty m:val="p"/>
                </m:rPr>
                <m:t>a</m:t>
              </m:r>
              <m:r>
                <m:rPr>
                  <m:sty m:val="p"/>
                </m:rPr>
                <m:t>t</m:t>
              </m:r>
              <m:r>
                <m:rPr>
                  <m:sty m:val="p"/>
                </m:rPr>
                <m:t>t</m:t>
              </m:r>
              <m:r>
                <m:rPr>
                  <m:sty m:val="p"/>
                </m:rPr>
                <m:t>n</m:t>
              </m:r>
            </m:sub>
          </m:sSub>
          <m:r>
            <m:rPr>
              <m:sty m:val="p"/>
            </m:rPr>
            <m:t>=</m:t>
          </m:r>
          <m:nary>
            <m:naryPr>
              <m:chr m:val="∑"/>
              <m:limLoc m:val="undOvr"/>
              <m:subHide m:val="off"/>
              <m:supHide m:val="off"/>
            </m:naryPr>
            <m:sub>
              <m:r>
                <m:t>t</m:t>
              </m:r>
              <m:r>
                <m:rPr>
                  <m:sty m:val="p"/>
                </m:rPr>
                <m:t>=</m:t>
              </m:r>
              <m:r>
                <m:t>1</m:t>
              </m:r>
            </m:sub>
            <m:sup>
              <m:sSub>
                <m:e>
                  <m:r>
                    <m:t>L</m:t>
                  </m:r>
                </m:e>
                <m:sub>
                  <m:r>
                    <m:rPr>
                      <m:sty m:val="p"/>
                    </m:rPr>
                    <m:t>max</m:t>
                  </m:r>
                </m:sub>
              </m:sSub>
            </m:sup>
            <m:e>
              <m:sSub>
                <m:e>
                  <m:r>
                    <m:t>α</m:t>
                  </m:r>
                </m:e>
                <m:sub>
                  <m:r>
                    <m:t>t</m:t>
                  </m:r>
                </m:sub>
              </m:sSub>
            </m:e>
          </m:nary>
          <m:r>
            <m:t> </m:t>
          </m:r>
          <m:sSub>
            <m:e>
              <m:r>
                <m:t>H</m:t>
              </m:r>
            </m:e>
            <m:sub>
              <m:r>
                <m:rPr>
                  <m:sty m:val="p"/>
                </m:rPr>
                <m:t>:</m:t>
              </m:r>
              <m:r>
                <m:rPr>
                  <m:sty m:val="p"/>
                </m:rPr>
                <m:t>,</m:t>
              </m:r>
              <m:r>
                <m:t>t</m:t>
              </m:r>
              <m:r>
                <m:rPr>
                  <m:sty m:val="p"/>
                </m:rPr>
                <m:t>,</m:t>
              </m:r>
              <m:r>
                <m:rPr>
                  <m:sty m:val="p"/>
                </m:rPr>
                <m:t>:</m:t>
              </m:r>
            </m:sub>
          </m:sSub>
          <m:r>
            <m:rPr>
              <m:sty m:val="p"/>
            </m:rPr>
            <m:t>.</m:t>
          </m:r>
        </m:oMath>
      </m:oMathPara>
    </w:p>
    <w:p>
      <w:pPr>
        <w:pStyle w:val="FirstParagraph"/>
      </w:pPr>
      <w:r>
        <w:rPr>
          <w:bCs/>
          <w:b/>
        </w:rPr>
        <w:t xml:space="preserve">Combined SMILES embedding.</w:t>
      </w:r>
    </w:p>
    <w:p>
      <w:pPr>
        <w:pStyle w:val="BodyText"/>
      </w:pPr>
      <m:oMathPara>
        <m:oMathParaPr>
          <m:jc m:val="center"/>
        </m:oMathParaPr>
        <m:oMath>
          <m:sSub>
            <m:e>
              <m:r>
                <m:rPr>
                  <m:sty m:val="b"/>
                </m:rPr>
                <m:t>s</m:t>
              </m:r>
            </m:e>
            <m:sub>
              <m:r>
                <m:rPr>
                  <m:sty m:val="p"/>
                </m:rPr>
                <m:t>S</m:t>
              </m:r>
              <m:r>
                <m:rPr>
                  <m:sty m:val="p"/>
                </m:rPr>
                <m:t>M</m:t>
              </m:r>
              <m:r>
                <m:rPr>
                  <m:sty m:val="p"/>
                </m:rPr>
                <m:t>I</m:t>
              </m:r>
              <m:r>
                <m:rPr>
                  <m:sty m:val="p"/>
                </m:rPr>
                <m:t>L</m:t>
              </m:r>
              <m:r>
                <m:rPr>
                  <m:sty m:val="p"/>
                </m:rPr>
                <m:t>E</m:t>
              </m:r>
              <m:r>
                <m:rPr>
                  <m:sty m:val="p"/>
                </m:rPr>
                <m:t>S</m:t>
              </m:r>
            </m:sub>
          </m:sSub>
          <m:r>
            <m:rPr>
              <m:sty m:val="p"/>
            </m:rPr>
            <m:t>=</m:t>
          </m:r>
          <m:f>
            <m:fPr>
              <m:type m:val="bar"/>
            </m:fPr>
            <m:num>
              <m:r>
                <m:t>1</m:t>
              </m:r>
            </m:num>
            <m:den>
              <m:r>
                <m:t>3</m:t>
              </m:r>
            </m:den>
          </m:f>
          <m:d>
            <m:dPr>
              <m:begChr m:val="("/>
              <m:endChr m:val=")"/>
              <m:sepChr m:val=""/>
              <m:grow/>
            </m:dPr>
            <m:e>
              <m:sSub>
                <m:e>
                  <m:r>
                    <m:rPr>
                      <m:sty m:val="b"/>
                    </m:rPr>
                    <m:t>s</m:t>
                  </m:r>
                </m:e>
                <m:sub>
                  <m:r>
                    <m:rPr>
                      <m:sty m:val="p"/>
                    </m:rPr>
                    <m:t>C</m:t>
                  </m:r>
                  <m:r>
                    <m:rPr>
                      <m:sty m:val="p"/>
                    </m:rPr>
                    <m:t>L</m:t>
                  </m:r>
                  <m:r>
                    <m:rPr>
                      <m:sty m:val="p"/>
                    </m:rPr>
                    <m:t>S</m:t>
                  </m:r>
                </m:sub>
              </m:sSub>
              <m:r>
                <m:rPr>
                  <m:sty m:val="p"/>
                </m:rPr>
                <m:t>+</m:t>
              </m:r>
              <m:sSub>
                <m:e>
                  <m:r>
                    <m:rPr>
                      <m:sty m:val="b"/>
                    </m:rPr>
                    <m:t>s</m:t>
                  </m:r>
                </m:e>
                <m:sub>
                  <m:r>
                    <m:rPr>
                      <m:sty m:val="p"/>
                    </m:rPr>
                    <m:t>m</m:t>
                  </m:r>
                  <m:r>
                    <m:rPr>
                      <m:sty m:val="p"/>
                    </m:rPr>
                    <m:t>e</m:t>
                  </m:r>
                  <m:r>
                    <m:rPr>
                      <m:sty m:val="p"/>
                    </m:rPr>
                    <m:t>a</m:t>
                  </m:r>
                  <m:r>
                    <m:rPr>
                      <m:sty m:val="p"/>
                    </m:rPr>
                    <m:t>n</m:t>
                  </m:r>
                </m:sub>
              </m:sSub>
              <m:r>
                <m:rPr>
                  <m:sty m:val="p"/>
                </m:rPr>
                <m:t>+</m:t>
              </m:r>
              <m:sSub>
                <m:e>
                  <m:r>
                    <m:rPr>
                      <m:sty m:val="b"/>
                    </m:rPr>
                    <m:t>s</m:t>
                  </m:r>
                </m:e>
                <m:sub>
                  <m:r>
                    <m:rPr>
                      <m:sty m:val="p"/>
                    </m:rPr>
                    <m:t>a</m:t>
                  </m:r>
                  <m:r>
                    <m:rPr>
                      <m:sty m:val="p"/>
                    </m:rPr>
                    <m:t>t</m:t>
                  </m:r>
                  <m:r>
                    <m:rPr>
                      <m:sty m:val="p"/>
                    </m:rPr>
                    <m:t>t</m:t>
                  </m:r>
                  <m:r>
                    <m:rPr>
                      <m:sty m:val="p"/>
                    </m:rPr>
                    <m:t>n</m:t>
                  </m:r>
                </m:sub>
              </m:sSub>
            </m:e>
          </m:d>
          <m:r>
            <m:rPr>
              <m:sty m:val="p"/>
            </m:rPr>
            <m:t>.</m:t>
          </m:r>
        </m:oMath>
      </m:oMathPara>
    </w:p>
    <w:p>
      <w:pPr>
        <w:pStyle w:val="FirstParagraph"/>
      </w:pPr>
      <w:r>
        <w:t xml:space="preserve">The three strategies capture different summarisation biases: CLS pools via the pretrained aggregation token, masked mean provides an unbiased across-token summary, and the attention-weighted pool learns a task-specific reweighting; averaging exploits their complementarity without introducing a further learnable combiner.</w:t>
      </w:r>
    </w:p>
    <w:bookmarkEnd w:id="39"/>
    <w:bookmarkStart w:id="40" w:name="modality-projection-heads"/>
    <w:p>
      <w:pPr>
        <w:pStyle w:val="Heading3"/>
      </w:pPr>
      <w:r>
        <w:t xml:space="preserve">3.3.4 Modality projection heads</w:t>
      </w:r>
    </w:p>
    <w:p>
      <w:pPr>
        <w:pStyle w:val="FirstParagraph"/>
      </w:pPr>
      <w:r>
        <w:t xml:space="preserve">The three non-SMILES modalities are lifted into the same</w:t>
      </w:r>
      <w:r>
        <w:t xml:space="preserve"> </w:t>
      </w:r>
      <m:oMath>
        <m:r>
          <m:t>D</m:t>
        </m:r>
      </m:oMath>
      <w:r>
        <w:t xml:space="preserve">-dimensional embedding space via two-stage MLP projection heads. Each stage applies a linear layer, a GELU non-linearity, a LayerNorm, and dropout, in that order. Terminating each stage with LayerNorm (rather than the more common LayerNorm-then-GELU ordering) ensures that the projected token entering the cross-modal transformer has unit variance, which in turn keeps the modality type-embedding addition (Section 3.3.5) scale-consistent across all four modalities.</w:t>
      </w:r>
    </w:p>
    <w:p>
      <w:pPr>
        <w:pStyle w:val="BodyText"/>
      </w:pPr>
      <w:r>
        <w:t xml:space="preserve">Formally, for input modality vector</w:t>
      </w:r>
      <w:r>
        <w:t xml:space="preserve"> </w:t>
      </w:r>
      <m:oMath>
        <m:r>
          <m:rPr>
            <m:sty m:val="b"/>
          </m:rPr>
          <m:t>v</m:t>
        </m:r>
        <m:r>
          <m:rPr>
            <m:sty m:val="p"/>
          </m:rPr>
          <m:t>∈</m:t>
        </m:r>
        <m:sSup>
          <m:e>
            <m:r>
              <m:rPr>
                <m:sty m:val="p"/>
                <m:scr m:val="double-struck"/>
              </m:rPr>
              <m:t>R</m:t>
            </m:r>
          </m:e>
          <m:sup>
            <m:sSub>
              <m:e>
                <m:r>
                  <m:t>d</m:t>
                </m:r>
              </m:e>
              <m:sub>
                <m:r>
                  <m:rPr>
                    <m:sty m:val="p"/>
                  </m:rPr>
                  <m:t>i</m:t>
                </m:r>
                <m:r>
                  <m:rPr>
                    <m:sty m:val="p"/>
                  </m:rPr>
                  <m:t>n</m:t>
                </m:r>
              </m:sub>
            </m:sSub>
          </m:sup>
        </m:sSup>
      </m:oMath>
      <w:r>
        <w:t xml:space="preserve">, hidden width</w:t>
      </w:r>
      <w:r>
        <w:t xml:space="preserve"> </w:t>
      </w:r>
      <m:oMath>
        <m:sSub>
          <m:e>
            <m:r>
              <m:t>d</m:t>
            </m:r>
          </m:e>
          <m:sub>
            <m:r>
              <m:t>h</m:t>
            </m:r>
          </m:sub>
        </m:sSub>
      </m:oMath>
      <w:r>
        <w:t xml:space="preserve">, weight matrices</w:t>
      </w:r>
      <w:r>
        <w:t xml:space="preserve"> </w:t>
      </w:r>
      <m:oMath>
        <m:sSub>
          <m:e>
            <m:r>
              <m:t>W</m:t>
            </m:r>
          </m:e>
          <m:sub>
            <m:r>
              <m:t>1</m:t>
            </m:r>
          </m:sub>
        </m:sSub>
        <m:r>
          <m:rPr>
            <m:sty m:val="p"/>
          </m:rPr>
          <m:t>∈</m:t>
        </m:r>
        <m:sSup>
          <m:e>
            <m:r>
              <m:rPr>
                <m:sty m:val="p"/>
                <m:scr m:val="double-struck"/>
              </m:rPr>
              <m:t>R</m:t>
            </m:r>
          </m:e>
          <m:sup>
            <m:sSub>
              <m:e>
                <m:r>
                  <m:t>d</m:t>
                </m:r>
              </m:e>
              <m:sub>
                <m:r>
                  <m:t>h</m:t>
                </m:r>
              </m:sub>
            </m:sSub>
            <m:r>
              <m:rPr>
                <m:sty m:val="p"/>
              </m:rPr>
              <m:t>×</m:t>
            </m:r>
            <m:sSub>
              <m:e>
                <m:r>
                  <m:t>d</m:t>
                </m:r>
              </m:e>
              <m:sub>
                <m:r>
                  <m:rPr>
                    <m:sty m:val="p"/>
                  </m:rPr>
                  <m:t>i</m:t>
                </m:r>
                <m:r>
                  <m:rPr>
                    <m:sty m:val="p"/>
                  </m:rPr>
                  <m:t>n</m:t>
                </m:r>
              </m:sub>
            </m:sSub>
          </m:sup>
        </m:sSup>
      </m:oMath>
      <w:r>
        <w:t xml:space="preserve">,</w:t>
      </w:r>
      <w:r>
        <w:t xml:space="preserve"> </w:t>
      </w:r>
      <m:oMath>
        <m:sSub>
          <m:e>
            <m:r>
              <m:t>W</m:t>
            </m:r>
          </m:e>
          <m:sub>
            <m:r>
              <m:t>2</m:t>
            </m:r>
          </m:sub>
        </m:sSub>
        <m:r>
          <m:rPr>
            <m:sty m:val="p"/>
          </m:rPr>
          <m:t>∈</m:t>
        </m:r>
        <m:sSup>
          <m:e>
            <m:r>
              <m:rPr>
                <m:sty m:val="p"/>
                <m:scr m:val="double-struck"/>
              </m:rPr>
              <m:t>R</m:t>
            </m:r>
          </m:e>
          <m:sup>
            <m:r>
              <m:t>D</m:t>
            </m:r>
            <m:r>
              <m:rPr>
                <m:sty m:val="p"/>
              </m:rPr>
              <m:t>×</m:t>
            </m:r>
            <m:sSub>
              <m:e>
                <m:r>
                  <m:t>d</m:t>
                </m:r>
              </m:e>
              <m:sub>
                <m:r>
                  <m:t>h</m:t>
                </m:r>
              </m:sub>
            </m:sSub>
          </m:sup>
        </m:sSup>
      </m:oMath>
      <w:r>
        <w:t xml:space="preserve">, biases</w:t>
      </w:r>
      <w:r>
        <w:t xml:space="preserve"> </w:t>
      </w:r>
      <m:oMath>
        <m:sSub>
          <m:e>
            <m:r>
              <m:rPr>
                <m:sty m:val="b"/>
              </m:rPr>
              <m:t>b</m:t>
            </m:r>
          </m:e>
          <m:sub>
            <m:r>
              <m:t>1</m:t>
            </m:r>
          </m:sub>
        </m:sSub>
        <m:r>
          <m:rPr>
            <m:sty m:val="p"/>
          </m:rPr>
          <m:t>,</m:t>
        </m:r>
        <m:sSub>
          <m:e>
            <m:r>
              <m:rPr>
                <m:sty m:val="b"/>
              </m:rPr>
              <m:t>b</m:t>
            </m:r>
          </m:e>
          <m:sub>
            <m:r>
              <m:t>2</m:t>
            </m:r>
          </m:sub>
        </m:sSub>
      </m:oMath>
      <w:r>
        <w:t xml:space="preserve">, and dropout rates</w:t>
      </w:r>
      <w:r>
        <w:t xml:space="preserve"> </w:t>
      </w:r>
      <m:oMath>
        <m:sSub>
          <m:e>
            <m:r>
              <m:t>p</m:t>
            </m:r>
          </m:e>
          <m:sub>
            <m:r>
              <m:t>1</m:t>
            </m:r>
          </m:sub>
        </m:sSub>
        <m:r>
          <m:rPr>
            <m:sty m:val="p"/>
          </m:rPr>
          <m:t>=</m:t>
        </m:r>
        <m:r>
          <m:t>p</m:t>
        </m:r>
        <m:r>
          <m:rPr>
            <m:sty m:val="p"/>
          </m:rPr>
          <m:t>/</m:t>
        </m:r>
        <m:r>
          <m:t>2</m:t>
        </m:r>
      </m:oMath>
      <w:r>
        <w:t xml:space="preserve">,</w:t>
      </w:r>
      <w:r>
        <w:t xml:space="preserve"> </w:t>
      </w:r>
      <m:oMath>
        <m:sSub>
          <m:e>
            <m:r>
              <m:t>p</m:t>
            </m:r>
          </m:e>
          <m:sub>
            <m:r>
              <m:t>2</m:t>
            </m:r>
          </m:sub>
        </m:sSub>
        <m:r>
          <m:rPr>
            <m:sty m:val="p"/>
          </m:rPr>
          <m:t>=</m:t>
        </m:r>
        <m:r>
          <m:t>p</m:t>
        </m:r>
      </m:oMath>
      <w:r>
        <w:t xml:space="preserve">:</w:t>
      </w:r>
    </w:p>
    <w:p>
      <w:pPr>
        <w:pStyle w:val="BodyText"/>
      </w:pPr>
      <m:oMathPara>
        <m:oMathParaPr>
          <m:jc m:val="center"/>
        </m:oMathParaPr>
        <m:oMath>
          <m:sSub>
            <m:e>
              <m:r>
                <m:rPr>
                  <m:sty m:val="b"/>
                </m:rPr>
                <m:t>h</m:t>
              </m:r>
            </m:e>
            <m:sub>
              <m:r>
                <m:t>1</m:t>
              </m:r>
            </m:sub>
          </m:sSub>
          <m:r>
            <m:rPr>
              <m:sty m:val="p"/>
            </m:rPr>
            <m:t>=</m:t>
          </m:r>
          <m:sSub>
            <m:e>
              <m:r>
                <m:rPr>
                  <m:sty m:val="p"/>
                </m:rPr>
                <m:t>D</m:t>
              </m:r>
              <m:r>
                <m:rPr>
                  <m:sty m:val="p"/>
                </m:rPr>
                <m:t>r</m:t>
              </m:r>
              <m:r>
                <m:rPr>
                  <m:sty m:val="p"/>
                </m:rPr>
                <m:t>o</m:t>
              </m:r>
              <m:r>
                <m:rPr>
                  <m:sty m:val="p"/>
                </m:rPr>
                <m:t>p</m:t>
              </m:r>
            </m:e>
            <m:sub>
              <m:sSub>
                <m:e>
                  <m:r>
                    <m:t>p</m:t>
                  </m:r>
                </m:e>
                <m:sub>
                  <m:r>
                    <m:t>1</m:t>
                  </m:r>
                </m:sub>
              </m:sSub>
            </m:sub>
          </m:sSub>
          <m:r>
            <m:t>​</m:t>
          </m:r>
          <m:d>
            <m:dPr>
              <m:begChr m:val="("/>
              <m:endChr m:val=")"/>
              <m:sepChr m:val=""/>
              <m:grow/>
            </m:dPr>
            <m:e>
              <m:r>
                <m:rPr>
                  <m:sty m:val="p"/>
                </m:rPr>
                <m:t>L</m:t>
              </m:r>
              <m:r>
                <m:rPr>
                  <m:sty m:val="p"/>
                </m:rPr>
                <m:t>N</m:t>
              </m:r>
              <m:r>
                <m:t>​</m:t>
              </m:r>
              <m:d>
                <m:dPr>
                  <m:begChr m:val="("/>
                  <m:endChr m:val=")"/>
                  <m:sepChr m:val=""/>
                  <m:grow/>
                </m:dPr>
                <m:e>
                  <m:r>
                    <m:rPr>
                      <m:sty m:val="p"/>
                    </m:rPr>
                    <m:t>G</m:t>
                  </m:r>
                  <m:r>
                    <m:rPr>
                      <m:sty m:val="p"/>
                    </m:rPr>
                    <m:t>E</m:t>
                  </m:r>
                  <m:r>
                    <m:rPr>
                      <m:sty m:val="p"/>
                    </m:rPr>
                    <m:t>L</m:t>
                  </m:r>
                  <m:r>
                    <m:rPr>
                      <m:sty m:val="p"/>
                    </m:rPr>
                    <m:t>U</m:t>
                  </m:r>
                  <m:d>
                    <m:dPr>
                      <m:begChr m:val="("/>
                      <m:endChr m:val=")"/>
                      <m:sepChr m:val=""/>
                      <m:grow/>
                    </m:dPr>
                    <m:e>
                      <m:sSub>
                        <m:e>
                          <m:r>
                            <m:t>W</m:t>
                          </m:r>
                        </m:e>
                        <m:sub>
                          <m:r>
                            <m:t>1</m:t>
                          </m:r>
                        </m:sub>
                      </m:sSub>
                      <m:r>
                        <m:rPr>
                          <m:sty m:val="b"/>
                        </m:rPr>
                        <m:t>v</m:t>
                      </m:r>
                      <m:r>
                        <m:rPr>
                          <m:sty m:val="p"/>
                        </m:rPr>
                        <m:t>+</m:t>
                      </m:r>
                      <m:sSub>
                        <m:e>
                          <m:r>
                            <m:rPr>
                              <m:sty m:val="b"/>
                            </m:rPr>
                            <m:t>b</m:t>
                          </m:r>
                        </m:e>
                        <m:sub>
                          <m:r>
                            <m:t>1</m:t>
                          </m:r>
                        </m:sub>
                      </m:sSub>
                    </m:e>
                  </m:d>
                </m:e>
              </m:d>
            </m:e>
          </m:d>
          <m:r>
            <m:rPr>
              <m:sty m:val="p"/>
            </m:rPr>
            <m:t>,</m:t>
          </m:r>
        </m:oMath>
      </m:oMathPara>
    </w:p>
    <w:p>
      <w:pPr>
        <w:pStyle w:val="FirstParagraph"/>
      </w:pPr>
      <m:oMathPara>
        <m:oMathParaPr>
          <m:jc m:val="center"/>
        </m:oMathParaPr>
        <m:oMath>
          <m:sSub>
            <m:e>
              <m:r>
                <m:t>f</m:t>
              </m:r>
            </m:e>
            <m:sub>
              <m:r>
                <m:rPr>
                  <m:sty m:val="p"/>
                </m:rPr>
                <m:t>p</m:t>
              </m:r>
              <m:r>
                <m:rPr>
                  <m:sty m:val="p"/>
                </m:rPr>
                <m:t>r</m:t>
              </m:r>
              <m:r>
                <m:rPr>
                  <m:sty m:val="p"/>
                </m:rPr>
                <m:t>o</m:t>
              </m:r>
              <m:r>
                <m:rPr>
                  <m:sty m:val="p"/>
                </m:rPr>
                <m:t>j</m:t>
              </m:r>
            </m:sub>
          </m:sSub>
          <m:d>
            <m:dPr>
              <m:begChr m:val="("/>
              <m:endChr m:val=")"/>
              <m:sepChr m:val=""/>
              <m:grow/>
            </m:dPr>
            <m:e>
              <m:r>
                <m:rPr>
                  <m:sty m:val="b"/>
                </m:rPr>
                <m:t>v</m:t>
              </m:r>
            </m:e>
          </m:d>
          <m:r>
            <m:rPr>
              <m:sty m:val="p"/>
            </m:rPr>
            <m:t>=</m:t>
          </m:r>
          <m:sSub>
            <m:e>
              <m:r>
                <m:rPr>
                  <m:sty m:val="p"/>
                </m:rPr>
                <m:t>D</m:t>
              </m:r>
              <m:r>
                <m:rPr>
                  <m:sty m:val="p"/>
                </m:rPr>
                <m:t>r</m:t>
              </m:r>
              <m:r>
                <m:rPr>
                  <m:sty m:val="p"/>
                </m:rPr>
                <m:t>o</m:t>
              </m:r>
              <m:r>
                <m:rPr>
                  <m:sty m:val="p"/>
                </m:rPr>
                <m:t>p</m:t>
              </m:r>
            </m:e>
            <m:sub>
              <m:sSub>
                <m:e>
                  <m:r>
                    <m:t>p</m:t>
                  </m:r>
                </m:e>
                <m:sub>
                  <m:r>
                    <m:t>2</m:t>
                  </m:r>
                </m:sub>
              </m:sSub>
            </m:sub>
          </m:sSub>
          <m:r>
            <m:t>​</m:t>
          </m:r>
          <m:d>
            <m:dPr>
              <m:begChr m:val="("/>
              <m:endChr m:val=")"/>
              <m:sepChr m:val=""/>
              <m:grow/>
            </m:dPr>
            <m:e>
              <m:r>
                <m:rPr>
                  <m:sty m:val="p"/>
                </m:rPr>
                <m:t>L</m:t>
              </m:r>
              <m:r>
                <m:rPr>
                  <m:sty m:val="p"/>
                </m:rPr>
                <m:t>N</m:t>
              </m:r>
              <m:r>
                <m:t>​</m:t>
              </m:r>
              <m:d>
                <m:dPr>
                  <m:begChr m:val="("/>
                  <m:endChr m:val=")"/>
                  <m:sepChr m:val=""/>
                  <m:grow/>
                </m:dPr>
                <m:e>
                  <m:r>
                    <m:rPr>
                      <m:sty m:val="p"/>
                    </m:rPr>
                    <m:t>G</m:t>
                  </m:r>
                  <m:r>
                    <m:rPr>
                      <m:sty m:val="p"/>
                    </m:rPr>
                    <m:t>E</m:t>
                  </m:r>
                  <m:r>
                    <m:rPr>
                      <m:sty m:val="p"/>
                    </m:rPr>
                    <m:t>L</m:t>
                  </m:r>
                  <m:r>
                    <m:rPr>
                      <m:sty m:val="p"/>
                    </m:rPr>
                    <m:t>U</m:t>
                  </m:r>
                  <m:d>
                    <m:dPr>
                      <m:begChr m:val="("/>
                      <m:endChr m:val=")"/>
                      <m:sepChr m:val=""/>
                      <m:grow/>
                    </m:dPr>
                    <m:e>
                      <m:sSub>
                        <m:e>
                          <m:r>
                            <m:t>W</m:t>
                          </m:r>
                        </m:e>
                        <m:sub>
                          <m:r>
                            <m:t>2</m:t>
                          </m:r>
                        </m:sub>
                      </m:sSub>
                      <m:sSub>
                        <m:e>
                          <m:r>
                            <m:rPr>
                              <m:sty m:val="b"/>
                            </m:rPr>
                            <m:t>h</m:t>
                          </m:r>
                        </m:e>
                        <m:sub>
                          <m:r>
                            <m:t>1</m:t>
                          </m:r>
                        </m:sub>
                      </m:sSub>
                      <m:r>
                        <m:rPr>
                          <m:sty m:val="p"/>
                        </m:rPr>
                        <m:t>+</m:t>
                      </m:r>
                      <m:sSub>
                        <m:e>
                          <m:r>
                            <m:rPr>
                              <m:sty m:val="b"/>
                            </m:rPr>
                            <m:t>b</m:t>
                          </m:r>
                        </m:e>
                        <m:sub>
                          <m:r>
                            <m:t>2</m:t>
                          </m:r>
                        </m:sub>
                      </m:sSub>
                    </m:e>
                  </m:d>
                </m:e>
              </m:d>
            </m:e>
          </m:d>
          <m:r>
            <m:rPr>
              <m:sty m:val="p"/>
            </m:rPr>
            <m:t>.</m:t>
          </m:r>
        </m:oMath>
      </m:oMathPara>
    </w:p>
    <w:p>
      <w:pPr>
        <w:pStyle w:val="FirstParagraph"/>
      </w:pPr>
      <w:r>
        <w:t xml:space="preserve">The three projection heads use</w:t>
      </w:r>
      <w:r>
        <w:t xml:space="preserve"> </w:t>
      </w:r>
      <m:oMath>
        <m:d>
          <m:dPr>
            <m:begChr m:val="("/>
            <m:endChr m:val=")"/>
            <m:sepChr m:val=""/>
            <m:grow/>
          </m:dPr>
          <m:e>
            <m:sSub>
              <m:e>
                <m:r>
                  <m:t>d</m:t>
                </m:r>
              </m:e>
              <m:sub>
                <m:r>
                  <m:t>h</m:t>
                </m:r>
              </m:sub>
            </m:sSub>
            <m:r>
              <m:rPr>
                <m:sty m:val="p"/>
              </m:rPr>
              <m:t>,</m:t>
            </m:r>
            <m:sSub>
              <m:e>
                <m:r>
                  <m:t>d</m:t>
                </m:r>
              </m:e>
              <m:sub>
                <m:r>
                  <m:rPr>
                    <m:sty m:val="p"/>
                  </m:rPr>
                  <m:t>i</m:t>
                </m:r>
                <m:r>
                  <m:rPr>
                    <m:sty m:val="p"/>
                  </m:rPr>
                  <m:t>n</m:t>
                </m:r>
              </m:sub>
            </m:sSub>
          </m:e>
        </m:d>
        <m:r>
          <m:rPr>
            <m:sty m:val="p"/>
          </m:rPr>
          <m:t>=</m:t>
        </m:r>
        <m:d>
          <m:dPr>
            <m:begChr m:val="("/>
            <m:endChr m:val=")"/>
            <m:sepChr m:val=""/>
            <m:grow/>
          </m:dPr>
          <m:e>
            <m:r>
              <m:t>512</m:t>
            </m:r>
            <m:r>
              <m:rPr>
                <m:sty m:val="p"/>
              </m:rPr>
              <m:t>,</m:t>
            </m:r>
            <m:r>
              <m:t>1024</m:t>
            </m:r>
          </m:e>
        </m:d>
      </m:oMath>
      <w:r>
        <w:t xml:space="preserve"> </w:t>
      </w:r>
      <w:r>
        <w:t xml:space="preserve">for ECFP,</w:t>
      </w:r>
      <w:r>
        <w:t xml:space="preserve"> </w:t>
      </w:r>
      <m:oMath>
        <m:d>
          <m:dPr>
            <m:begChr m:val="("/>
            <m:endChr m:val=")"/>
            <m:sepChr m:val=""/>
            <m:grow/>
          </m:dPr>
          <m:e>
            <m:r>
              <m:t>256</m:t>
            </m:r>
            <m:r>
              <m:rPr>
                <m:sty m:val="p"/>
              </m:rPr>
              <m:t>,</m:t>
            </m:r>
            <m:r>
              <m:t>167</m:t>
            </m:r>
          </m:e>
        </m:d>
      </m:oMath>
      <w:r>
        <w:t xml:space="preserve"> </w:t>
      </w:r>
      <w:r>
        <w:t xml:space="preserve">for MACCS, and</w:t>
      </w:r>
      <w:r>
        <w:t xml:space="preserve"> </w:t>
      </w:r>
      <m:oMath>
        <m:d>
          <m:dPr>
            <m:begChr m:val="("/>
            <m:endChr m:val=")"/>
            <m:sepChr m:val=""/>
            <m:grow/>
          </m:dPr>
          <m:e>
            <m:r>
              <m:t>64</m:t>
            </m:r>
            <m:r>
              <m:rPr>
                <m:sty m:val="p"/>
              </m:rPr>
              <m:t>,</m:t>
            </m:r>
            <m:r>
              <m:t>6</m:t>
            </m:r>
          </m:e>
        </m:d>
      </m:oMath>
      <w:r>
        <w:t xml:space="preserve"> </w:t>
      </w:r>
      <w:r>
        <w:t xml:space="preserve">for descriptors, producing:</w:t>
      </w:r>
    </w:p>
    <w:p>
      <w:pPr>
        <w:pStyle w:val="BodyText"/>
      </w:pPr>
      <m:oMathPara>
        <m:oMathParaPr>
          <m:jc m:val="center"/>
        </m:oMathParaPr>
        <m:oMath>
          <m:sSub>
            <m:e>
              <m:r>
                <m:rPr>
                  <m:sty m:val="b"/>
                </m:rPr>
                <m:t>e</m:t>
              </m:r>
            </m:e>
            <m:sub>
              <m:r>
                <m:rPr>
                  <m:sty m:val="p"/>
                </m:rPr>
                <m:t>E</m:t>
              </m:r>
              <m:r>
                <m:rPr>
                  <m:sty m:val="p"/>
                </m:rPr>
                <m:t>C</m:t>
              </m:r>
              <m:r>
                <m:rPr>
                  <m:sty m:val="p"/>
                </m:rPr>
                <m:t>F</m:t>
              </m:r>
              <m:r>
                <m:rPr>
                  <m:sty m:val="p"/>
                </m:rPr>
                <m:t>P</m:t>
              </m:r>
            </m:sub>
          </m:sSub>
          <m:r>
            <m:rPr>
              <m:sty m:val="p"/>
            </m:rPr>
            <m:t>=</m:t>
          </m:r>
          <m:sSubSup>
            <m:e>
              <m:r>
                <m:t>f</m:t>
              </m:r>
            </m:e>
            <m:sub>
              <m:r>
                <m:rPr>
                  <m:sty m:val="p"/>
                </m:rPr>
                <m:t>p</m:t>
              </m:r>
              <m:r>
                <m:rPr>
                  <m:sty m:val="p"/>
                </m:rPr>
                <m:t>r</m:t>
              </m:r>
              <m:r>
                <m:rPr>
                  <m:sty m:val="p"/>
                </m:rPr>
                <m:t>o</m:t>
              </m:r>
              <m:r>
                <m:rPr>
                  <m:sty m:val="p"/>
                </m:rPr>
                <m:t>j</m:t>
              </m:r>
            </m:sub>
            <m:sup>
              <m:r>
                <m:rPr>
                  <m:sty m:val="p"/>
                </m:rPr>
                <m:t>E</m:t>
              </m:r>
              <m:r>
                <m:rPr>
                  <m:sty m:val="p"/>
                </m:rPr>
                <m:t>C</m:t>
              </m:r>
              <m:r>
                <m:rPr>
                  <m:sty m:val="p"/>
                </m:rPr>
                <m:t>F</m:t>
              </m:r>
              <m:r>
                <m:rPr>
                  <m:sty m:val="p"/>
                </m:rPr>
                <m:t>P</m:t>
              </m:r>
            </m:sup>
          </m:sSubSup>
          <m:d>
            <m:dPr>
              <m:begChr m:val="("/>
              <m:endChr m:val=")"/>
              <m:sepChr m:val=""/>
              <m:grow/>
            </m:dPr>
            <m:e>
              <m:sSubSup>
                <m:e>
                  <m:r>
                    <m:rPr>
                      <m:sty m:val="b"/>
                    </m:rPr>
                    <m:t>e</m:t>
                  </m:r>
                </m:e>
                <m:sub>
                  <m:r>
                    <m:rPr>
                      <m:sty m:val="p"/>
                    </m:rPr>
                    <m:t>E</m:t>
                  </m:r>
                  <m:r>
                    <m:rPr>
                      <m:sty m:val="p"/>
                    </m:rPr>
                    <m:t>C</m:t>
                  </m:r>
                  <m:r>
                    <m:rPr>
                      <m:sty m:val="p"/>
                    </m:rPr>
                    <m:t>F</m:t>
                  </m:r>
                  <m:r>
                    <m:rPr>
                      <m:sty m:val="p"/>
                    </m:rPr>
                    <m:t>P</m:t>
                  </m:r>
                </m:sub>
                <m:sup>
                  <m:r>
                    <m:rPr>
                      <m:sty m:val="p"/>
                    </m:rPr>
                    <m:t>r</m:t>
                  </m:r>
                  <m:r>
                    <m:rPr>
                      <m:sty m:val="p"/>
                    </m:rPr>
                    <m:t>a</m:t>
                  </m:r>
                  <m:r>
                    <m:rPr>
                      <m:sty m:val="p"/>
                    </m:rPr>
                    <m:t>w</m:t>
                  </m:r>
                </m:sup>
              </m:sSubSup>
            </m:e>
          </m:d>
          <m:r>
            <m:rPr>
              <m:sty m:val="p"/>
            </m:rPr>
            <m:t>,</m:t>
          </m:r>
          <m:r>
            <m:t> </m:t>
          </m:r>
          <m:sSub>
            <m:e>
              <m:r>
                <m:rPr>
                  <m:sty m:val="b"/>
                </m:rPr>
                <m:t>e</m:t>
              </m:r>
            </m:e>
            <m:sub>
              <m:r>
                <m:rPr>
                  <m:sty m:val="p"/>
                </m:rPr>
                <m:t>M</m:t>
              </m:r>
              <m:r>
                <m:rPr>
                  <m:sty m:val="p"/>
                </m:rPr>
                <m:t>A</m:t>
              </m:r>
              <m:r>
                <m:rPr>
                  <m:sty m:val="p"/>
                </m:rPr>
                <m:t>C</m:t>
              </m:r>
              <m:r>
                <m:rPr>
                  <m:sty m:val="p"/>
                </m:rPr>
                <m:t>C</m:t>
              </m:r>
              <m:r>
                <m:rPr>
                  <m:sty m:val="p"/>
                </m:rPr>
                <m:t>S</m:t>
              </m:r>
            </m:sub>
          </m:sSub>
          <m:r>
            <m:rPr>
              <m:sty m:val="p"/>
            </m:rPr>
            <m:t>=</m:t>
          </m:r>
          <m:sSubSup>
            <m:e>
              <m:r>
                <m:t>f</m:t>
              </m:r>
            </m:e>
            <m:sub>
              <m:r>
                <m:rPr>
                  <m:sty m:val="p"/>
                </m:rPr>
                <m:t>p</m:t>
              </m:r>
              <m:r>
                <m:rPr>
                  <m:sty m:val="p"/>
                </m:rPr>
                <m:t>r</m:t>
              </m:r>
              <m:r>
                <m:rPr>
                  <m:sty m:val="p"/>
                </m:rPr>
                <m:t>o</m:t>
              </m:r>
              <m:r>
                <m:rPr>
                  <m:sty m:val="p"/>
                </m:rPr>
                <m:t>j</m:t>
              </m:r>
            </m:sub>
            <m:sup>
              <m:r>
                <m:rPr>
                  <m:sty m:val="p"/>
                </m:rPr>
                <m:t>M</m:t>
              </m:r>
              <m:r>
                <m:rPr>
                  <m:sty m:val="p"/>
                </m:rPr>
                <m:t>A</m:t>
              </m:r>
              <m:r>
                <m:rPr>
                  <m:sty m:val="p"/>
                </m:rPr>
                <m:t>C</m:t>
              </m:r>
              <m:r>
                <m:rPr>
                  <m:sty m:val="p"/>
                </m:rPr>
                <m:t>C</m:t>
              </m:r>
              <m:r>
                <m:rPr>
                  <m:sty m:val="p"/>
                </m:rPr>
                <m:t>S</m:t>
              </m:r>
            </m:sup>
          </m:sSubSup>
          <m:d>
            <m:dPr>
              <m:begChr m:val="("/>
              <m:endChr m:val=")"/>
              <m:sepChr m:val=""/>
              <m:grow/>
            </m:dPr>
            <m:e>
              <m:sSubSup>
                <m:e>
                  <m:r>
                    <m:rPr>
                      <m:sty m:val="b"/>
                    </m:rPr>
                    <m:t>e</m:t>
                  </m:r>
                </m:e>
                <m:sub>
                  <m:r>
                    <m:rPr>
                      <m:sty m:val="p"/>
                    </m:rPr>
                    <m:t>M</m:t>
                  </m:r>
                  <m:r>
                    <m:rPr>
                      <m:sty m:val="p"/>
                    </m:rPr>
                    <m:t>A</m:t>
                  </m:r>
                  <m:r>
                    <m:rPr>
                      <m:sty m:val="p"/>
                    </m:rPr>
                    <m:t>C</m:t>
                  </m:r>
                  <m:r>
                    <m:rPr>
                      <m:sty m:val="p"/>
                    </m:rPr>
                    <m:t>C</m:t>
                  </m:r>
                  <m:r>
                    <m:rPr>
                      <m:sty m:val="p"/>
                    </m:rPr>
                    <m:t>S</m:t>
                  </m:r>
                </m:sub>
                <m:sup>
                  <m:r>
                    <m:rPr>
                      <m:sty m:val="p"/>
                    </m:rPr>
                    <m:t>r</m:t>
                  </m:r>
                  <m:r>
                    <m:rPr>
                      <m:sty m:val="p"/>
                    </m:rPr>
                    <m:t>a</m:t>
                  </m:r>
                  <m:r>
                    <m:rPr>
                      <m:sty m:val="p"/>
                    </m:rPr>
                    <m:t>w</m:t>
                  </m:r>
                </m:sup>
              </m:sSubSup>
            </m:e>
          </m:d>
          <m:r>
            <m:rPr>
              <m:sty m:val="p"/>
            </m:rPr>
            <m:t>,</m:t>
          </m:r>
          <m:r>
            <m:t> </m:t>
          </m:r>
          <m:sSub>
            <m:e>
              <m:r>
                <m:rPr>
                  <m:sty m:val="b"/>
                </m:rPr>
                <m:t>e</m:t>
              </m:r>
            </m:e>
            <m:sub>
              <m:r>
                <m:rPr>
                  <m:sty m:val="p"/>
                </m:rPr>
                <m:t>D</m:t>
              </m:r>
              <m:r>
                <m:rPr>
                  <m:sty m:val="p"/>
                </m:rPr>
                <m:t>E</m:t>
              </m:r>
              <m:r>
                <m:rPr>
                  <m:sty m:val="p"/>
                </m:rPr>
                <m:t>S</m:t>
              </m:r>
              <m:r>
                <m:rPr>
                  <m:sty m:val="p"/>
                </m:rPr>
                <m:t>C</m:t>
              </m:r>
            </m:sub>
          </m:sSub>
          <m:r>
            <m:rPr>
              <m:sty m:val="p"/>
            </m:rPr>
            <m:t>=</m:t>
          </m:r>
          <m:sSubSup>
            <m:e>
              <m:r>
                <m:t>f</m:t>
              </m:r>
            </m:e>
            <m:sub>
              <m:r>
                <m:rPr>
                  <m:sty m:val="p"/>
                </m:rPr>
                <m:t>p</m:t>
              </m:r>
              <m:r>
                <m:rPr>
                  <m:sty m:val="p"/>
                </m:rPr>
                <m:t>r</m:t>
              </m:r>
              <m:r>
                <m:rPr>
                  <m:sty m:val="p"/>
                </m:rPr>
                <m:t>o</m:t>
              </m:r>
              <m:r>
                <m:rPr>
                  <m:sty m:val="p"/>
                </m:rPr>
                <m:t>j</m:t>
              </m:r>
            </m:sub>
            <m:sup>
              <m:r>
                <m:rPr>
                  <m:sty m:val="p"/>
                </m:rPr>
                <m:t>D</m:t>
              </m:r>
              <m:r>
                <m:rPr>
                  <m:sty m:val="p"/>
                </m:rPr>
                <m:t>E</m:t>
              </m:r>
              <m:r>
                <m:rPr>
                  <m:sty m:val="p"/>
                </m:rPr>
                <m:t>S</m:t>
              </m:r>
              <m:r>
                <m:rPr>
                  <m:sty m:val="p"/>
                </m:rPr>
                <m:t>C</m:t>
              </m:r>
            </m:sup>
          </m:sSubSup>
          <m:d>
            <m:dPr>
              <m:begChr m:val="("/>
              <m:endChr m:val=")"/>
              <m:sepChr m:val=""/>
              <m:grow/>
            </m:dPr>
            <m:e>
              <m:r>
                <m:rPr>
                  <m:sty m:val="b"/>
                </m:rPr>
                <m:t>d</m:t>
              </m:r>
            </m:e>
          </m:d>
          <m:r>
            <m:rPr>
              <m:sty m:val="p"/>
            </m:rPr>
            <m:t>.</m:t>
          </m:r>
        </m:oMath>
      </m:oMathPara>
    </w:p>
    <w:bookmarkEnd w:id="40"/>
    <w:bookmarkStart w:id="41" w:name="modality-type-embeddings"/>
    <w:p>
      <w:pPr>
        <w:pStyle w:val="Heading3"/>
      </w:pPr>
      <w:r>
        <w:t xml:space="preserve">3.3.5 Modality type embeddings</w:t>
      </w:r>
    </w:p>
    <w:p>
      <w:pPr>
        <w:pStyle w:val="FirstParagraph"/>
      </w:pPr>
      <w:r>
        <w:t xml:space="preserve">A vanilla concatenation of four modality tokens hides their type identity from the cross-modal transformer: a self-attention layer sees only four vectors in</w:t>
      </w:r>
      <w:r>
        <w:t xml:space="preserve"> </w:t>
      </w:r>
      <m:oMath>
        <m:sSup>
          <m:e>
            <m:r>
              <m:rPr>
                <m:sty m:val="p"/>
                <m:scr m:val="double-struck"/>
              </m:rPr>
              <m:t>R</m:t>
            </m:r>
          </m:e>
          <m:sup>
            <m:r>
              <m:t>D</m:t>
            </m:r>
          </m:sup>
        </m:sSup>
      </m:oMath>
      <w:r>
        <w:t xml:space="preserve"> </w:t>
      </w:r>
      <w:r>
        <w:t xml:space="preserve">and cannot condition its attention on which vector is SMILES-derived versus fingerprint-derived versus descriptor-derived. To break this symmetry we add a learned modality type embedding to each modality token before feeding them into the cross-modal transformer. Let</w:t>
      </w:r>
      <w:r>
        <w:t xml:space="preserve"> </w:t>
      </w:r>
      <m:oMath>
        <m:sSub>
          <m:e>
            <m:r>
              <m:t>E</m:t>
            </m:r>
          </m:e>
          <m:sub>
            <m:r>
              <m:rPr>
                <m:sty m:val="p"/>
              </m:rPr>
              <m:t>t</m:t>
            </m:r>
            <m:r>
              <m:rPr>
                <m:sty m:val="p"/>
              </m:rPr>
              <m:t>y</m:t>
            </m:r>
            <m:r>
              <m:rPr>
                <m:sty m:val="p"/>
              </m:rPr>
              <m:t>p</m:t>
            </m:r>
            <m:r>
              <m:rPr>
                <m:sty m:val="p"/>
              </m:rPr>
              <m:t>e</m:t>
            </m:r>
          </m:sub>
        </m:sSub>
        <m:r>
          <m:rPr>
            <m:sty m:val="p"/>
          </m:rPr>
          <m:t>∈</m:t>
        </m:r>
        <m:sSup>
          <m:e>
            <m:r>
              <m:rPr>
                <m:sty m:val="p"/>
                <m:scr m:val="double-struck"/>
              </m:rPr>
              <m:t>R</m:t>
            </m:r>
          </m:e>
          <m:sup>
            <m:r>
              <m:t>4</m:t>
            </m:r>
            <m:r>
              <m:rPr>
                <m:sty m:val="p"/>
              </m:rPr>
              <m:t>×</m:t>
            </m:r>
            <m:r>
              <m:t>D</m:t>
            </m:r>
          </m:sup>
        </m:sSup>
      </m:oMath>
      <w:r>
        <w:t xml:space="preserve"> </w:t>
      </w:r>
      <w:r>
        <w:t xml:space="preserve">be a learnable embedding matrix (Xavier-uniform initialised, so its initial scale is</w:t>
      </w:r>
      <w:r>
        <w:t xml:space="preserve"> </w:t>
      </w:r>
      <m:oMath>
        <m:r>
          <m:rPr>
            <m:sty m:val="p"/>
          </m:rPr>
          <m:t>≈</m:t>
        </m:r>
        <m:r>
          <m:t>0.05</m:t>
        </m:r>
      </m:oMath>
      <w:r>
        <w:t xml:space="preserve"> </w:t>
      </w:r>
      <w:r>
        <w:t xml:space="preserve">— of the same order as the LayerNorm-normalised projection outputs, avoiding either drowning out or being drowned out by the modality content at initialisation). Writing</w:t>
      </w:r>
      <w:r>
        <w:t xml:space="preserve"> </w:t>
      </w:r>
      <m:oMath>
        <m:sSubSup>
          <m:e>
            <m:r>
              <m:rPr>
                <m:sty m:val="b"/>
              </m:rPr>
              <m:t>e</m:t>
            </m:r>
          </m:e>
          <m:sub>
            <m:r>
              <m:t>i</m:t>
            </m:r>
          </m:sub>
          <m:sup>
            <m:r>
              <m:rPr>
                <m:sty m:val="p"/>
              </m:rPr>
              <m:t>t</m:t>
            </m:r>
            <m:r>
              <m:rPr>
                <m:sty m:val="p"/>
              </m:rPr>
              <m:t>y</m:t>
            </m:r>
            <m:r>
              <m:rPr>
                <m:sty m:val="p"/>
              </m:rPr>
              <m:t>p</m:t>
            </m:r>
            <m:r>
              <m:rPr>
                <m:sty m:val="p"/>
              </m:rPr>
              <m:t>e</m:t>
            </m:r>
          </m:sup>
        </m:sSubSup>
        <m:r>
          <m:rPr>
            <m:sty m:val="p"/>
          </m:rPr>
          <m:t>=</m:t>
        </m:r>
        <m:sSub>
          <m:e>
            <m:r>
              <m:t>E</m:t>
            </m:r>
          </m:e>
          <m:sub>
            <m:r>
              <m:rPr>
                <m:sty m:val="p"/>
              </m:rPr>
              <m:t>t</m:t>
            </m:r>
            <m:r>
              <m:rPr>
                <m:sty m:val="p"/>
              </m:rPr>
              <m:t>y</m:t>
            </m:r>
            <m:r>
              <m:rPr>
                <m:sty m:val="p"/>
              </m:rPr>
              <m:t>p</m:t>
            </m:r>
            <m:r>
              <m:rPr>
                <m:sty m:val="p"/>
              </m:rPr>
              <m:t>e</m:t>
            </m:r>
          </m:sub>
        </m:sSub>
        <m:d>
          <m:dPr>
            <m:begChr m:val="["/>
            <m:endChr m:val="]"/>
            <m:sepChr m:val=""/>
            <m:grow/>
          </m:dPr>
          <m:e>
            <m:r>
              <m:t>i</m:t>
            </m:r>
            <m:r>
              <m:rPr>
                <m:sty m:val="p"/>
              </m:rPr>
              <m:t>,</m:t>
            </m:r>
            <m:r>
              <m:rPr>
                <m:sty m:val="p"/>
              </m:rPr>
              <m:t>:</m:t>
            </m:r>
          </m:e>
        </m:d>
      </m:oMath>
      <w:r>
        <w:t xml:space="preserve">:</w:t>
      </w:r>
    </w:p>
    <w:p>
      <w:pPr>
        <w:pStyle w:val="BodyText"/>
      </w:pPr>
      <m:oMathPara>
        <m:oMathParaPr>
          <m:jc m:val="center"/>
        </m:oMathParaPr>
        <m:oMath>
          <m:sSub>
            <m:e>
              <m:r>
                <m:t>T</m:t>
              </m:r>
            </m:e>
            <m:sub>
              <m:r>
                <m:t>0</m:t>
              </m:r>
            </m:sub>
          </m:sSub>
          <m:r>
            <m:rPr>
              <m:sty m:val="p"/>
            </m:rPr>
            <m:t>=</m:t>
          </m:r>
          <m:r>
            <m:rPr>
              <m:sty m:val="p"/>
            </m:rPr>
            <m:t>S</m:t>
          </m:r>
          <m:r>
            <m:rPr>
              <m:sty m:val="p"/>
            </m:rPr>
            <m:t>t</m:t>
          </m:r>
          <m:r>
            <m:rPr>
              <m:sty m:val="p"/>
            </m:rPr>
            <m:t>a</m:t>
          </m:r>
          <m:r>
            <m:rPr>
              <m:sty m:val="p"/>
            </m:rPr>
            <m:t>c</m:t>
          </m:r>
          <m:r>
            <m:rPr>
              <m:sty m:val="p"/>
            </m:rPr>
            <m:t>k</m:t>
          </m:r>
          <m:d>
            <m:dPr>
              <m:begChr m:val="("/>
              <m:endChr m:val=")"/>
              <m:sepChr m:val=""/>
              <m:grow/>
            </m:dPr>
            <m:e>
              <m:sSub>
                <m:e>
                  <m:r>
                    <m:rPr>
                      <m:sty m:val="b"/>
                    </m:rPr>
                    <m:t>s</m:t>
                  </m:r>
                </m:e>
                <m:sub>
                  <m:r>
                    <m:rPr>
                      <m:sty m:val="p"/>
                    </m:rPr>
                    <m:t>S</m:t>
                  </m:r>
                  <m:r>
                    <m:rPr>
                      <m:sty m:val="p"/>
                    </m:rPr>
                    <m:t>M</m:t>
                  </m:r>
                  <m:r>
                    <m:rPr>
                      <m:sty m:val="p"/>
                    </m:rPr>
                    <m:t>I</m:t>
                  </m:r>
                  <m:r>
                    <m:rPr>
                      <m:sty m:val="p"/>
                    </m:rPr>
                    <m:t>L</m:t>
                  </m:r>
                  <m:r>
                    <m:rPr>
                      <m:sty m:val="p"/>
                    </m:rPr>
                    <m:t>E</m:t>
                  </m:r>
                  <m:r>
                    <m:rPr>
                      <m:sty m:val="p"/>
                    </m:rPr>
                    <m:t>S</m:t>
                  </m:r>
                </m:sub>
              </m:sSub>
              <m:r>
                <m:rPr>
                  <m:sty m:val="p"/>
                </m:rPr>
                <m:t>,</m:t>
              </m:r>
              <m:sSub>
                <m:e>
                  <m:r>
                    <m:rPr>
                      <m:sty m:val="b"/>
                    </m:rPr>
                    <m:t>e</m:t>
                  </m:r>
                </m:e>
                <m:sub>
                  <m:r>
                    <m:rPr>
                      <m:sty m:val="p"/>
                    </m:rPr>
                    <m:t>E</m:t>
                  </m:r>
                  <m:r>
                    <m:rPr>
                      <m:sty m:val="p"/>
                    </m:rPr>
                    <m:t>C</m:t>
                  </m:r>
                  <m:r>
                    <m:rPr>
                      <m:sty m:val="p"/>
                    </m:rPr>
                    <m:t>F</m:t>
                  </m:r>
                  <m:r>
                    <m:rPr>
                      <m:sty m:val="p"/>
                    </m:rPr>
                    <m:t>P</m:t>
                  </m:r>
                </m:sub>
              </m:sSub>
              <m:r>
                <m:rPr>
                  <m:sty m:val="p"/>
                </m:rPr>
                <m:t>,</m:t>
              </m:r>
              <m:sSub>
                <m:e>
                  <m:r>
                    <m:rPr>
                      <m:sty m:val="b"/>
                    </m:rPr>
                    <m:t>e</m:t>
                  </m:r>
                </m:e>
                <m:sub>
                  <m:r>
                    <m:rPr>
                      <m:sty m:val="p"/>
                    </m:rPr>
                    <m:t>M</m:t>
                  </m:r>
                  <m:r>
                    <m:rPr>
                      <m:sty m:val="p"/>
                    </m:rPr>
                    <m:t>A</m:t>
                  </m:r>
                  <m:r>
                    <m:rPr>
                      <m:sty m:val="p"/>
                    </m:rPr>
                    <m:t>C</m:t>
                  </m:r>
                  <m:r>
                    <m:rPr>
                      <m:sty m:val="p"/>
                    </m:rPr>
                    <m:t>C</m:t>
                  </m:r>
                  <m:r>
                    <m:rPr>
                      <m:sty m:val="p"/>
                    </m:rPr>
                    <m:t>S</m:t>
                  </m:r>
                </m:sub>
              </m:sSub>
              <m:r>
                <m:rPr>
                  <m:sty m:val="p"/>
                </m:rPr>
                <m:t>,</m:t>
              </m:r>
              <m:sSub>
                <m:e>
                  <m:r>
                    <m:rPr>
                      <m:sty m:val="b"/>
                    </m:rPr>
                    <m:t>e</m:t>
                  </m:r>
                </m:e>
                <m:sub>
                  <m:r>
                    <m:rPr>
                      <m:sty m:val="p"/>
                    </m:rPr>
                    <m:t>D</m:t>
                  </m:r>
                  <m:r>
                    <m:rPr>
                      <m:sty m:val="p"/>
                    </m:rPr>
                    <m:t>E</m:t>
                  </m:r>
                  <m:r>
                    <m:rPr>
                      <m:sty m:val="p"/>
                    </m:rPr>
                    <m:t>S</m:t>
                  </m:r>
                  <m:r>
                    <m:rPr>
                      <m:sty m:val="p"/>
                    </m:rPr>
                    <m:t>C</m:t>
                  </m:r>
                </m:sub>
              </m:sSub>
            </m:e>
          </m:d>
          <m:r>
            <m:rPr>
              <m:sty m:val="p"/>
            </m:rPr>
            <m:t>+</m:t>
          </m:r>
          <m:d>
            <m:dPr>
              <m:begChr m:val="["/>
              <m:endChr m:val="]"/>
              <m:sepChr m:val=""/>
              <m:grow/>
            </m:dPr>
            <m:e>
              <m:m>
                <m:mPr>
                  <m:baseJc m:val="center"/>
                  <m:plcHide m:val="on"/>
                  <m:mcs>
                    <m:mc>
                      <m:mcPr>
                        <m:mcJc m:val="center"/>
                        <m:count m:val="1"/>
                      </m:mcPr>
                    </m:mc>
                  </m:mcs>
                </m:mPr>
                <m:mr>
                  <m:e>
                    <m:sSubSup>
                      <m:e>
                        <m:r>
                          <m:rPr>
                            <m:sty m:val="b"/>
                          </m:rPr>
                          <m:t>e</m:t>
                        </m:r>
                      </m:e>
                      <m:sub>
                        <m:r>
                          <m:t>0</m:t>
                        </m:r>
                      </m:sub>
                      <m:sup>
                        <m:r>
                          <m:rPr>
                            <m:sty m:val="p"/>
                          </m:rPr>
                          <m:t>t</m:t>
                        </m:r>
                        <m:r>
                          <m:rPr>
                            <m:sty m:val="p"/>
                          </m:rPr>
                          <m:t>y</m:t>
                        </m:r>
                        <m:r>
                          <m:rPr>
                            <m:sty m:val="p"/>
                          </m:rPr>
                          <m:t>p</m:t>
                        </m:r>
                        <m:r>
                          <m:rPr>
                            <m:sty m:val="p"/>
                          </m:rPr>
                          <m:t>e</m:t>
                        </m:r>
                      </m:sup>
                    </m:sSubSup>
                  </m:e>
                </m:mr>
                <m:mr>
                  <m:e>
                    <m:sSubSup>
                      <m:e>
                        <m:r>
                          <m:rPr>
                            <m:sty m:val="b"/>
                          </m:rPr>
                          <m:t>e</m:t>
                        </m:r>
                      </m:e>
                      <m:sub>
                        <m:r>
                          <m:t>1</m:t>
                        </m:r>
                      </m:sub>
                      <m:sup>
                        <m:r>
                          <m:rPr>
                            <m:sty m:val="p"/>
                          </m:rPr>
                          <m:t>t</m:t>
                        </m:r>
                        <m:r>
                          <m:rPr>
                            <m:sty m:val="p"/>
                          </m:rPr>
                          <m:t>y</m:t>
                        </m:r>
                        <m:r>
                          <m:rPr>
                            <m:sty m:val="p"/>
                          </m:rPr>
                          <m:t>p</m:t>
                        </m:r>
                        <m:r>
                          <m:rPr>
                            <m:sty m:val="p"/>
                          </m:rPr>
                          <m:t>e</m:t>
                        </m:r>
                      </m:sup>
                    </m:sSubSup>
                  </m:e>
                </m:mr>
                <m:mr>
                  <m:e>
                    <m:sSubSup>
                      <m:e>
                        <m:r>
                          <m:rPr>
                            <m:sty m:val="b"/>
                          </m:rPr>
                          <m:t>e</m:t>
                        </m:r>
                      </m:e>
                      <m:sub>
                        <m:r>
                          <m:t>2</m:t>
                        </m:r>
                      </m:sub>
                      <m:sup>
                        <m:r>
                          <m:rPr>
                            <m:sty m:val="p"/>
                          </m:rPr>
                          <m:t>t</m:t>
                        </m:r>
                        <m:r>
                          <m:rPr>
                            <m:sty m:val="p"/>
                          </m:rPr>
                          <m:t>y</m:t>
                        </m:r>
                        <m:r>
                          <m:rPr>
                            <m:sty m:val="p"/>
                          </m:rPr>
                          <m:t>p</m:t>
                        </m:r>
                        <m:r>
                          <m:rPr>
                            <m:sty m:val="p"/>
                          </m:rPr>
                          <m:t>e</m:t>
                        </m:r>
                      </m:sup>
                    </m:sSubSup>
                  </m:e>
                </m:mr>
                <m:mr>
                  <m:e>
                    <m:sSubSup>
                      <m:e>
                        <m:r>
                          <m:rPr>
                            <m:sty m:val="b"/>
                          </m:rPr>
                          <m:t>e</m:t>
                        </m:r>
                      </m:e>
                      <m:sub>
                        <m:r>
                          <m:t>3</m:t>
                        </m:r>
                      </m:sub>
                      <m:sup>
                        <m:r>
                          <m:rPr>
                            <m:sty m:val="p"/>
                          </m:rPr>
                          <m:t>t</m:t>
                        </m:r>
                        <m:r>
                          <m:rPr>
                            <m:sty m:val="p"/>
                          </m:rPr>
                          <m:t>y</m:t>
                        </m:r>
                        <m:r>
                          <m:rPr>
                            <m:sty m:val="p"/>
                          </m:rPr>
                          <m:t>p</m:t>
                        </m:r>
                        <m:r>
                          <m:rPr>
                            <m:sty m:val="p"/>
                          </m:rPr>
                          <m:t>e</m:t>
                        </m:r>
                      </m:sup>
                    </m:sSubSup>
                  </m:e>
                </m:mr>
              </m:m>
            </m:e>
          </m:d>
          <m:r>
            <m:rPr>
              <m:sty m:val="p"/>
            </m:rPr>
            <m:t>∈</m:t>
          </m:r>
          <m:sSup>
            <m:e>
              <m:r>
                <m:rPr>
                  <m:sty m:val="p"/>
                  <m:scr m:val="double-struck"/>
                </m:rPr>
                <m:t>R</m:t>
              </m:r>
            </m:e>
            <m:sup>
              <m:r>
                <m:t>B</m:t>
              </m:r>
              <m:r>
                <m:rPr>
                  <m:sty m:val="p"/>
                </m:rPr>
                <m:t>×</m:t>
              </m:r>
              <m:r>
                <m:t>4</m:t>
              </m:r>
              <m:r>
                <m:rPr>
                  <m:sty m:val="p"/>
                </m:rPr>
                <m:t>×</m:t>
              </m:r>
              <m:r>
                <m:t>D</m:t>
              </m:r>
            </m:sup>
          </m:sSup>
          <m:r>
            <m:rPr>
              <m:sty m:val="p"/>
            </m:rPr>
            <m:t>.</m:t>
          </m:r>
        </m:oMath>
      </m:oMathPara>
    </w:p>
    <w:bookmarkEnd w:id="41"/>
    <w:bookmarkStart w:id="42" w:name="cross-modal-transformer"/>
    <w:p>
      <w:pPr>
        <w:pStyle w:val="Heading3"/>
      </w:pPr>
      <w:r>
        <w:t xml:space="preserve">3.3.6 Cross-modal transformer</w:t>
      </w:r>
    </w:p>
    <w:p>
      <w:pPr>
        <w:pStyle w:val="FirstParagraph"/>
      </w:pPr>
      <w:r>
        <w:t xml:space="preserve">The four-token sequence</w:t>
      </w:r>
      <w:r>
        <w:t xml:space="preserve"> </w:t>
      </w:r>
      <m:oMath>
        <m:sSub>
          <m:e>
            <m:r>
              <m:t>T</m:t>
            </m:r>
          </m:e>
          <m:sub>
            <m:r>
              <m:t>0</m:t>
            </m:r>
          </m:sub>
        </m:sSub>
      </m:oMath>
      <w:r>
        <w:t xml:space="preserve"> </w:t>
      </w:r>
      <w:r>
        <w:t xml:space="preserve">is passed through</w:t>
      </w:r>
      <w:r>
        <w:t xml:space="preserve"> </w:t>
      </w:r>
      <m:oMath>
        <m:sSub>
          <m:e>
            <m:r>
              <m:t>N</m:t>
            </m:r>
          </m:e>
          <m:sub>
            <m:r>
              <m:rPr>
                <m:sty m:val="p"/>
              </m:rPr>
              <m:t>c</m:t>
            </m:r>
            <m:r>
              <m:rPr>
                <m:sty m:val="p"/>
              </m:rPr>
              <m:t>r</m:t>
            </m:r>
            <m:r>
              <m:rPr>
                <m:sty m:val="p"/>
              </m:rPr>
              <m:t>o</m:t>
            </m:r>
            <m:r>
              <m:rPr>
                <m:sty m:val="p"/>
              </m:rPr>
              <m:t>s</m:t>
            </m:r>
            <m:r>
              <m:rPr>
                <m:sty m:val="p"/>
              </m:rPr>
              <m:t>s</m:t>
            </m:r>
          </m:sub>
        </m:sSub>
      </m:oMath>
      <w:r>
        <w:t xml:space="preserve"> </w:t>
      </w:r>
      <w:r>
        <w:t xml:space="preserve">stacked Pre-LN transformer encoder layers with</w:t>
      </w:r>
      <w:r>
        <w:t xml:space="preserve"> </w:t>
      </w:r>
      <m:oMath>
        <m:sSub>
          <m:e>
            <m:r>
              <m:t>n</m:t>
            </m:r>
          </m:e>
          <m:sub>
            <m:r>
              <m:rPr>
                <m:sty m:val="p"/>
              </m:rPr>
              <m:t>h</m:t>
            </m:r>
            <m:r>
              <m:rPr>
                <m:sty m:val="p"/>
              </m:rPr>
              <m:t>e</m:t>
            </m:r>
            <m:r>
              <m:rPr>
                <m:sty m:val="p"/>
              </m:rPr>
              <m:t>a</m:t>
            </m:r>
            <m:r>
              <m:rPr>
                <m:sty m:val="p"/>
              </m:rPr>
              <m:t>d</m:t>
            </m:r>
          </m:sub>
        </m:sSub>
      </m:oMath>
      <w:r>
        <w:t xml:space="preserve"> </w:t>
      </w:r>
      <w:r>
        <w:t xml:space="preserve">attention heads and a 4</w:t>
      </w:r>
      <m:oMath>
        <m:r>
          <m:t>D</m:t>
        </m:r>
      </m:oMath>
      <w:r>
        <w:t xml:space="preserve">-dimensional feed-forward block. Denoting layer input</w:t>
      </w:r>
      <w:r>
        <w:t xml:space="preserve"> </w:t>
      </w:r>
      <m:oMath>
        <m:sSup>
          <m:e>
            <m:r>
              <m:t>T</m:t>
            </m:r>
          </m:e>
          <m:sup>
            <m:d>
              <m:dPr>
                <m:begChr m:val="("/>
                <m:endChr m:val=")"/>
                <m:sepChr m:val=""/>
                <m:grow/>
              </m:dPr>
              <m:e>
                <m:r>
                  <m:rPr>
                    <m:sty m:val="p"/>
                  </m:rPr>
                  <m:t>ℓ</m:t>
                </m:r>
              </m:e>
            </m:d>
          </m:sup>
        </m:sSup>
      </m:oMath>
      <w:r>
        <w:t xml:space="preserve">:</w:t>
      </w:r>
    </w:p>
    <w:p>
      <w:pPr>
        <w:pStyle w:val="BodyText"/>
      </w:pPr>
      <m:oMathPara>
        <m:oMathParaPr>
          <m:jc m:val="center"/>
        </m:oMathParaPr>
        <m:oMath>
          <m:sSup>
            <m:e>
              <m:r>
                <m:t>U</m:t>
              </m:r>
            </m:e>
            <m:sup>
              <m:d>
                <m:dPr>
                  <m:begChr m:val="("/>
                  <m:endChr m:val=")"/>
                  <m:sepChr m:val=""/>
                  <m:grow/>
                </m:dPr>
                <m:e>
                  <m:r>
                    <m:rPr>
                      <m:sty m:val="p"/>
                    </m:rPr>
                    <m:t>ℓ</m:t>
                  </m:r>
                </m:e>
              </m:d>
            </m:sup>
          </m:sSup>
          <m:r>
            <m:rPr>
              <m:sty m:val="p"/>
            </m:rPr>
            <m:t>=</m:t>
          </m:r>
          <m:sSup>
            <m:e>
              <m:r>
                <m:t>T</m:t>
              </m:r>
            </m:e>
            <m:sup>
              <m:d>
                <m:dPr>
                  <m:begChr m:val="("/>
                  <m:endChr m:val=")"/>
                  <m:sepChr m:val=""/>
                  <m:grow/>
                </m:dPr>
                <m:e>
                  <m:r>
                    <m:rPr>
                      <m:sty m:val="p"/>
                    </m:rPr>
                    <m:t>ℓ</m:t>
                  </m:r>
                </m:e>
              </m:d>
            </m:sup>
          </m:sSup>
          <m:r>
            <m:rPr>
              <m:sty m:val="p"/>
            </m:rPr>
            <m:t>+</m:t>
          </m:r>
          <m:r>
            <m:rPr>
              <m:sty m:val="p"/>
            </m:rPr>
            <m:t>M</m:t>
          </m:r>
          <m:r>
            <m:rPr>
              <m:sty m:val="p"/>
            </m:rPr>
            <m:t>H</m:t>
          </m:r>
          <m:r>
            <m:rPr>
              <m:sty m:val="p"/>
            </m:rPr>
            <m:t>A</m:t>
          </m:r>
          <m:r>
            <m:t>​</m:t>
          </m:r>
          <m:d>
            <m:dPr>
              <m:begChr m:val="("/>
              <m:endChr m:val=")"/>
              <m:sepChr m:val=""/>
              <m:grow/>
            </m:dPr>
            <m:e>
              <m:r>
                <m:rPr>
                  <m:sty m:val="p"/>
                </m:rPr>
                <m:t>L</m:t>
              </m:r>
              <m:r>
                <m:rPr>
                  <m:sty m:val="p"/>
                </m:rPr>
                <m:t>N</m:t>
              </m:r>
              <m:d>
                <m:dPr>
                  <m:begChr m:val="("/>
                  <m:endChr m:val=")"/>
                  <m:sepChr m:val=""/>
                  <m:grow/>
                </m:dPr>
                <m:e>
                  <m:sSup>
                    <m:e>
                      <m:r>
                        <m:t>T</m:t>
                      </m:r>
                    </m:e>
                    <m:sup>
                      <m:d>
                        <m:dPr>
                          <m:begChr m:val="("/>
                          <m:endChr m:val=")"/>
                          <m:sepChr m:val=""/>
                          <m:grow/>
                        </m:dPr>
                        <m:e>
                          <m:r>
                            <m:rPr>
                              <m:sty m:val="p"/>
                            </m:rPr>
                            <m:t>ℓ</m:t>
                          </m:r>
                        </m:e>
                      </m:d>
                    </m:sup>
                  </m:sSup>
                </m:e>
              </m:d>
            </m:e>
          </m:d>
          <m:r>
            <m:rPr>
              <m:sty m:val="p"/>
            </m:rPr>
            <m:t>,</m:t>
          </m:r>
        </m:oMath>
      </m:oMathPara>
    </w:p>
    <w:p>
      <w:pPr>
        <w:pStyle w:val="FirstParagraph"/>
      </w:pPr>
      <m:oMathPara>
        <m:oMathParaPr>
          <m:jc m:val="center"/>
        </m:oMathParaPr>
        <m:oMath>
          <m:sSup>
            <m:e>
              <m:r>
                <m:t>T</m:t>
              </m:r>
            </m:e>
            <m:sup>
              <m:d>
                <m:dPr>
                  <m:begChr m:val="("/>
                  <m:endChr m:val=")"/>
                  <m:sepChr m:val=""/>
                  <m:grow/>
                </m:dPr>
                <m:e>
                  <m:r>
                    <m:rPr>
                      <m:sty m:val="p"/>
                    </m:rPr>
                    <m:t>ℓ</m:t>
                  </m:r>
                  <m:r>
                    <m:rPr>
                      <m:sty m:val="p"/>
                    </m:rPr>
                    <m:t>+</m:t>
                  </m:r>
                  <m:r>
                    <m:t>1</m:t>
                  </m:r>
                </m:e>
              </m:d>
            </m:sup>
          </m:sSup>
          <m:r>
            <m:rPr>
              <m:sty m:val="p"/>
            </m:rPr>
            <m:t>=</m:t>
          </m:r>
          <m:sSup>
            <m:e>
              <m:r>
                <m:t>U</m:t>
              </m:r>
            </m:e>
            <m:sup>
              <m:d>
                <m:dPr>
                  <m:begChr m:val="("/>
                  <m:endChr m:val=")"/>
                  <m:sepChr m:val=""/>
                  <m:grow/>
                </m:dPr>
                <m:e>
                  <m:r>
                    <m:rPr>
                      <m:sty m:val="p"/>
                    </m:rPr>
                    <m:t>ℓ</m:t>
                  </m:r>
                </m:e>
              </m:d>
            </m:sup>
          </m:sSup>
          <m:r>
            <m:rPr>
              <m:sty m:val="p"/>
            </m:rPr>
            <m:t>+</m:t>
          </m:r>
          <m:r>
            <m:rPr>
              <m:sty m:val="p"/>
            </m:rPr>
            <m:t>F</m:t>
          </m:r>
          <m:r>
            <m:rPr>
              <m:sty m:val="p"/>
            </m:rPr>
            <m:t>F</m:t>
          </m:r>
          <m:r>
            <m:rPr>
              <m:sty m:val="p"/>
            </m:rPr>
            <m:t>N</m:t>
          </m:r>
          <m:r>
            <m:t>​</m:t>
          </m:r>
          <m:d>
            <m:dPr>
              <m:begChr m:val="("/>
              <m:endChr m:val=")"/>
              <m:sepChr m:val=""/>
              <m:grow/>
            </m:dPr>
            <m:e>
              <m:r>
                <m:rPr>
                  <m:sty m:val="p"/>
                </m:rPr>
                <m:t>L</m:t>
              </m:r>
              <m:r>
                <m:rPr>
                  <m:sty m:val="p"/>
                </m:rPr>
                <m:t>N</m:t>
              </m:r>
              <m:d>
                <m:dPr>
                  <m:begChr m:val="("/>
                  <m:endChr m:val=")"/>
                  <m:sepChr m:val=""/>
                  <m:grow/>
                </m:dPr>
                <m:e>
                  <m:sSup>
                    <m:e>
                      <m:r>
                        <m:t>U</m:t>
                      </m:r>
                    </m:e>
                    <m:sup>
                      <m:d>
                        <m:dPr>
                          <m:begChr m:val="("/>
                          <m:endChr m:val=")"/>
                          <m:sepChr m:val=""/>
                          <m:grow/>
                        </m:dPr>
                        <m:e>
                          <m:r>
                            <m:rPr>
                              <m:sty m:val="p"/>
                            </m:rPr>
                            <m:t>ℓ</m:t>
                          </m:r>
                        </m:e>
                      </m:d>
                    </m:sup>
                  </m:sSup>
                </m:e>
              </m:d>
            </m:e>
          </m:d>
          <m:r>
            <m:rPr>
              <m:sty m:val="p"/>
            </m:rPr>
            <m:t>,</m:t>
          </m:r>
        </m:oMath>
      </m:oMathPara>
    </w:p>
    <w:p>
      <w:pPr>
        <w:pStyle w:val="FirstParagraph"/>
      </w:pPr>
      <w:r>
        <w:t xml:space="preserve">where</w:t>
      </w:r>
      <w:r>
        <w:t xml:space="preserve"> </w:t>
      </w:r>
      <m:oMath>
        <m:r>
          <m:rPr>
            <m:sty m:val="p"/>
          </m:rPr>
          <m:t>M</m:t>
        </m:r>
        <m:r>
          <m:rPr>
            <m:sty m:val="p"/>
          </m:rPr>
          <m:t>H</m:t>
        </m:r>
        <m:r>
          <m:rPr>
            <m:sty m:val="p"/>
          </m:rPr>
          <m:t>A</m:t>
        </m:r>
      </m:oMath>
      <w:r>
        <w:t xml:space="preserve"> </w:t>
      </w:r>
      <w:r>
        <w:t xml:space="preserve">is standard multi-head scaled dot-product attention and</w:t>
      </w:r>
      <w:r>
        <w:t xml:space="preserve"> </w:t>
      </w:r>
      <m:oMath>
        <m:r>
          <m:rPr>
            <m:sty m:val="p"/>
          </m:rPr>
          <m:t>F</m:t>
        </m:r>
        <m:r>
          <m:rPr>
            <m:sty m:val="p"/>
          </m:rPr>
          <m:t>F</m:t>
        </m:r>
        <m:r>
          <m:rPr>
            <m:sty m:val="p"/>
          </m:rPr>
          <m:t>N</m:t>
        </m:r>
        <m:d>
          <m:dPr>
            <m:begChr m:val="("/>
            <m:endChr m:val=")"/>
            <m:sepChr m:val=""/>
            <m:grow/>
          </m:dPr>
          <m:e>
            <m:r>
              <m:rPr>
                <m:sty m:val="b"/>
              </m:rPr>
              <m:t>x</m:t>
            </m:r>
          </m:e>
        </m:d>
        <m:r>
          <m:rPr>
            <m:sty m:val="p"/>
          </m:rPr>
          <m:t>=</m:t>
        </m:r>
        <m:sSub>
          <m:e>
            <m:r>
              <m:t>W</m:t>
            </m:r>
          </m:e>
          <m:sub>
            <m:r>
              <m:t>2</m:t>
            </m:r>
          </m:sub>
        </m:sSub>
        <m:r>
          <m:t> </m:t>
        </m:r>
        <m:r>
          <m:rPr>
            <m:sty m:val="p"/>
          </m:rPr>
          <m:t>G</m:t>
        </m:r>
        <m:r>
          <m:rPr>
            <m:sty m:val="p"/>
          </m:rPr>
          <m:t>E</m:t>
        </m:r>
        <m:r>
          <m:rPr>
            <m:sty m:val="p"/>
          </m:rPr>
          <m:t>L</m:t>
        </m:r>
        <m:r>
          <m:rPr>
            <m:sty m:val="p"/>
          </m:rPr>
          <m:t>U</m:t>
        </m:r>
        <m:d>
          <m:dPr>
            <m:begChr m:val="("/>
            <m:endChr m:val=")"/>
            <m:sepChr m:val=""/>
            <m:grow/>
          </m:dPr>
          <m:e>
            <m:sSub>
              <m:e>
                <m:r>
                  <m:t>W</m:t>
                </m:r>
              </m:e>
              <m:sub>
                <m:r>
                  <m:t>1</m:t>
                </m:r>
              </m:sub>
            </m:sSub>
            <m:r>
              <m:rPr>
                <m:sty m:val="b"/>
              </m:rPr>
              <m:t>x</m:t>
            </m:r>
          </m:e>
        </m:d>
      </m:oMath>
      <w:r>
        <w:t xml:space="preserve">. The Pre-LN placement (rather than the original Post-LN of Vaswani et al., 2017) is chosen for its known training-stability advantage on small datasets with mixed-precision arithmetic. The output</w:t>
      </w:r>
      <w:r>
        <w:t xml:space="preserve"> </w:t>
      </w:r>
      <m:oMath>
        <m:sSup>
          <m:e>
            <m:r>
              <m:t>T</m:t>
            </m:r>
          </m:e>
          <m:sup>
            <m:d>
              <m:dPr>
                <m:begChr m:val="("/>
                <m:endChr m:val=")"/>
                <m:sepChr m:val=""/>
                <m:grow/>
              </m:dPr>
              <m:e>
                <m:sSub>
                  <m:e>
                    <m:r>
                      <m:t>N</m:t>
                    </m:r>
                  </m:e>
                  <m:sub>
                    <m:r>
                      <m:rPr>
                        <m:sty m:val="p"/>
                      </m:rPr>
                      <m:t>c</m:t>
                    </m:r>
                    <m:r>
                      <m:rPr>
                        <m:sty m:val="p"/>
                      </m:rPr>
                      <m:t>r</m:t>
                    </m:r>
                    <m:r>
                      <m:rPr>
                        <m:sty m:val="p"/>
                      </m:rPr>
                      <m:t>o</m:t>
                    </m:r>
                    <m:r>
                      <m:rPr>
                        <m:sty m:val="p"/>
                      </m:rPr>
                      <m:t>s</m:t>
                    </m:r>
                    <m:r>
                      <m:rPr>
                        <m:sty m:val="p"/>
                      </m:rPr>
                      <m:t>s</m:t>
                    </m:r>
                  </m:sub>
                </m:sSub>
              </m:e>
            </m:d>
          </m:sup>
        </m:sSup>
        <m:r>
          <m:rPr>
            <m:sty m:val="p"/>
          </m:rPr>
          <m:t>∈</m:t>
        </m:r>
        <m:sSup>
          <m:e>
            <m:r>
              <m:rPr>
                <m:sty m:val="p"/>
                <m:scr m:val="double-struck"/>
              </m:rPr>
              <m:t>R</m:t>
            </m:r>
          </m:e>
          <m:sup>
            <m:r>
              <m:t>B</m:t>
            </m:r>
            <m:r>
              <m:rPr>
                <m:sty m:val="p"/>
              </m:rPr>
              <m:t>×</m:t>
            </m:r>
            <m:r>
              <m:t>4</m:t>
            </m:r>
            <m:r>
              <m:rPr>
                <m:sty m:val="p"/>
              </m:rPr>
              <m:t>×</m:t>
            </m:r>
            <m:r>
              <m:t>D</m:t>
            </m:r>
          </m:sup>
        </m:sSup>
      </m:oMath>
      <w:r>
        <w:t xml:space="preserve"> </w:t>
      </w:r>
      <w:r>
        <w:t xml:space="preserve">contains four contextualised modality tokens, each of which has attended to the other three.</w:t>
      </w:r>
    </w:p>
    <w:bookmarkEnd w:id="42"/>
    <w:bookmarkStart w:id="43" w:name="per-modality-gated-fusion"/>
    <w:p>
      <w:pPr>
        <w:pStyle w:val="Heading3"/>
      </w:pPr>
      <w:r>
        <w:t xml:space="preserve">3.3.7 Per-modality gated fusion</w:t>
      </w:r>
    </w:p>
    <w:p>
      <w:pPr>
        <w:pStyle w:val="FirstParagraph"/>
      </w:pPr>
      <w:r>
        <w:t xml:space="preserve">Rather than a single global gate over the concatenation of the four tokens, we apply an independent sigmoid gate to each of the four output tokens. Writing</w:t>
      </w:r>
      <w:r>
        <w:t xml:space="preserve"> </w:t>
      </w:r>
      <m:oMath>
        <m:r>
          <m:t>T</m:t>
        </m:r>
        <m:r>
          <m:rPr>
            <m:sty m:val="p"/>
          </m:rPr>
          <m:t>″</m:t>
        </m:r>
        <m:r>
          <m:rPr>
            <m:sty m:val="p"/>
          </m:rPr>
          <m:t>=</m:t>
        </m:r>
        <m:sSup>
          <m:e>
            <m:r>
              <m:t>T</m:t>
            </m:r>
          </m:e>
          <m:sup>
            <m:d>
              <m:dPr>
                <m:begChr m:val="("/>
                <m:endChr m:val=")"/>
                <m:sepChr m:val=""/>
                <m:grow/>
              </m:dPr>
              <m:e>
                <m:sSub>
                  <m:e>
                    <m:r>
                      <m:t>N</m:t>
                    </m:r>
                  </m:e>
                  <m:sub>
                    <m:r>
                      <m:rPr>
                        <m:sty m:val="p"/>
                      </m:rPr>
                      <m:t>c</m:t>
                    </m:r>
                    <m:r>
                      <m:rPr>
                        <m:sty m:val="p"/>
                      </m:rPr>
                      <m:t>r</m:t>
                    </m:r>
                    <m:r>
                      <m:rPr>
                        <m:sty m:val="p"/>
                      </m:rPr>
                      <m:t>o</m:t>
                    </m:r>
                    <m:r>
                      <m:rPr>
                        <m:sty m:val="p"/>
                      </m:rPr>
                      <m:t>s</m:t>
                    </m:r>
                    <m:r>
                      <m:rPr>
                        <m:sty m:val="p"/>
                      </m:rPr>
                      <m:t>s</m:t>
                    </m:r>
                  </m:sub>
                </m:sSub>
              </m:e>
            </m:d>
          </m:sup>
        </m:sSup>
      </m:oMath>
      <w:r>
        <w:t xml:space="preserve">:</w:t>
      </w:r>
    </w:p>
    <w:p>
      <w:pPr>
        <w:pStyle w:val="BodyText"/>
      </w:pPr>
      <m:oMathPara>
        <m:oMathParaPr>
          <m:jc m:val="center"/>
        </m:oMathParaPr>
        <m:oMath>
          <m:sSub>
            <m:e>
              <m:r>
                <m:t>G</m:t>
              </m:r>
            </m:e>
            <m:sub>
              <m:r>
                <m:t>i</m:t>
              </m:r>
            </m:sub>
          </m:sSub>
          <m:r>
            <m:rPr>
              <m:sty m:val="p"/>
            </m:rPr>
            <m:t>=</m:t>
          </m:r>
          <m:r>
            <m:t>σ</m:t>
          </m:r>
          <m:r>
            <m:t>​</m:t>
          </m:r>
          <m:d>
            <m:dPr>
              <m:begChr m:val="("/>
              <m:endChr m:val=")"/>
              <m:sepChr m:val=""/>
              <m:grow/>
            </m:dPr>
            <m:e>
              <m:r>
                <m:rPr>
                  <m:sty m:val="p"/>
                </m:rPr>
                <m:t>L</m:t>
              </m:r>
              <m:r>
                <m:rPr>
                  <m:sty m:val="p"/>
                </m:rPr>
                <m:t>N</m:t>
              </m:r>
              <m:d>
                <m:dPr>
                  <m:begChr m:val="("/>
                  <m:endChr m:val=")"/>
                  <m:sepChr m:val=""/>
                  <m:grow/>
                </m:dPr>
                <m:e>
                  <m:sSub>
                    <m:e>
                      <m:r>
                        <m:t>W</m:t>
                      </m:r>
                    </m:e>
                    <m:sub>
                      <m:r>
                        <m:t>g</m:t>
                      </m:r>
                    </m:sub>
                  </m:sSub>
                  <m:r>
                    <m:t>T</m:t>
                  </m:r>
                  <m:sSub>
                    <m:e>
                      <m:r>
                        <m:rPr>
                          <m:sty m:val="p"/>
                        </m:rPr>
                        <m:t>″</m:t>
                      </m:r>
                    </m:e>
                    <m:sub>
                      <m:r>
                        <m:t>i</m:t>
                      </m:r>
                    </m:sub>
                  </m:sSub>
                  <m:r>
                    <m:rPr>
                      <m:sty m:val="p"/>
                    </m:rPr>
                    <m:t>+</m:t>
                  </m:r>
                  <m:sSub>
                    <m:e>
                      <m:r>
                        <m:rPr>
                          <m:sty m:val="b"/>
                        </m:rPr>
                        <m:t>b</m:t>
                      </m:r>
                    </m:e>
                    <m:sub>
                      <m:r>
                        <m:t>g</m:t>
                      </m:r>
                    </m:sub>
                  </m:sSub>
                </m:e>
              </m:d>
            </m:e>
          </m:d>
          <m:r>
            <m:rPr>
              <m:sty m:val="p"/>
            </m:rPr>
            <m:t>,</m:t>
          </m:r>
          <m:r>
            <m:t>  </m:t>
          </m:r>
          <m:r>
            <m:t>i</m:t>
          </m:r>
          <m:r>
            <m:rPr>
              <m:sty m:val="p"/>
            </m:rPr>
            <m:t>∈</m:t>
          </m:r>
          <m:r>
            <m:rPr>
              <m:sty m:val="p"/>
            </m:rPr>
            <m:t>{</m:t>
          </m:r>
          <m:r>
            <m:t>0</m:t>
          </m:r>
          <m:r>
            <m:rPr>
              <m:sty m:val="p"/>
            </m:rPr>
            <m:t>,</m:t>
          </m:r>
          <m:r>
            <m:t>1</m:t>
          </m:r>
          <m:r>
            <m:rPr>
              <m:sty m:val="p"/>
            </m:rPr>
            <m:t>,</m:t>
          </m:r>
          <m:r>
            <m:t>2</m:t>
          </m:r>
          <m:r>
            <m:rPr>
              <m:sty m:val="p"/>
            </m:rPr>
            <m:t>,</m:t>
          </m:r>
          <m:r>
            <m:t>3</m:t>
          </m:r>
          <m:r>
            <m:rPr>
              <m:sty m:val="p"/>
            </m:rPr>
            <m:t>}</m:t>
          </m:r>
          <m:r>
            <m:rPr>
              <m:sty m:val="p"/>
            </m:rPr>
            <m:t>,</m:t>
          </m:r>
        </m:oMath>
      </m:oMathPara>
    </w:p>
    <w:p>
      <w:pPr>
        <w:pStyle w:val="FirstParagraph"/>
      </w:pPr>
      <m:oMathPara>
        <m:oMathParaPr>
          <m:jc m:val="center"/>
        </m:oMathParaPr>
        <m:oMath>
          <m:sSub>
            <m:e>
              <m:acc>
                <m:accPr>
                  <m:chr m:val="̃"/>
                </m:accPr>
                <m:e>
                  <m:r>
                    <m:t>T</m:t>
                  </m:r>
                </m:e>
              </m:acc>
            </m:e>
            <m:sub>
              <m:r>
                <m:t>i</m:t>
              </m:r>
            </m:sub>
          </m:sSub>
          <m:r>
            <m:rPr>
              <m:sty m:val="p"/>
            </m:rPr>
            <m:t>=</m:t>
          </m:r>
          <m:sSub>
            <m:e>
              <m:r>
                <m:t>G</m:t>
              </m:r>
            </m:e>
            <m:sub>
              <m:r>
                <m:t>i</m:t>
              </m:r>
            </m:sub>
          </m:sSub>
          <m:r>
            <m:rPr>
              <m:sty m:val="p"/>
            </m:rPr>
            <m:t>⊙</m:t>
          </m:r>
          <m:r>
            <m:t>T</m:t>
          </m:r>
          <m:sSub>
            <m:e>
              <m:r>
                <m:rPr>
                  <m:sty m:val="p"/>
                </m:rPr>
                <m:t>″</m:t>
              </m:r>
            </m:e>
            <m:sub>
              <m:r>
                <m:t>i</m:t>
              </m:r>
            </m:sub>
          </m:sSub>
          <m:r>
            <m:rPr>
              <m:sty m:val="p"/>
            </m:rPr>
            <m:t>.</m:t>
          </m:r>
        </m:oMath>
      </m:oMathPara>
    </w:p>
    <w:p>
      <w:pPr>
        <w:pStyle w:val="FirstParagraph"/>
      </w:pPr>
      <w:r>
        <w:t xml:space="preserve">The pre-sigmoid LayerNorm prevents gate-saturation, which was empirically observed in an earlier internal variant that placed LayerNorm after the sigmoid. The gated tokens are then concatenated and projected to a single</w:t>
      </w:r>
      <w:r>
        <w:t xml:space="preserve"> </w:t>
      </w:r>
      <m:oMath>
        <m:r>
          <m:t>D</m:t>
        </m:r>
      </m:oMath>
      <w:r>
        <w:t xml:space="preserve">-dimensional fused embedding:</w:t>
      </w:r>
    </w:p>
    <w:p>
      <w:pPr>
        <w:pStyle w:val="BodyText"/>
      </w:pPr>
      <m:oMathPara>
        <m:oMathParaPr>
          <m:jc m:val="center"/>
        </m:oMathParaPr>
        <m:oMath>
          <m:sSub>
            <m:e>
              <m:r>
                <m:rPr>
                  <m:sty m:val="b"/>
                </m:rPr>
                <m:t>z</m:t>
              </m:r>
            </m:e>
            <m:sub>
              <m:r>
                <m:rPr>
                  <m:sty m:val="p"/>
                </m:rPr>
                <m:t>f</m:t>
              </m:r>
              <m:r>
                <m:rPr>
                  <m:sty m:val="p"/>
                </m:rPr>
                <m:t>u</m:t>
              </m:r>
              <m:r>
                <m:rPr>
                  <m:sty m:val="p"/>
                </m:rPr>
                <m:t>s</m:t>
              </m:r>
              <m:r>
                <m:rPr>
                  <m:sty m:val="p"/>
                </m:rPr>
                <m:t>e</m:t>
              </m:r>
              <m:r>
                <m:rPr>
                  <m:sty m:val="p"/>
                </m:rPr>
                <m:t>d</m:t>
              </m:r>
            </m:sub>
          </m:sSub>
          <m:r>
            <m:rPr>
              <m:sty m:val="p"/>
            </m:rPr>
            <m:t>=</m:t>
          </m:r>
          <m:sSub>
            <m:e>
              <m:r>
                <m:t>W</m:t>
              </m:r>
            </m:e>
            <m:sub>
              <m:r>
                <m:t>f</m:t>
              </m:r>
            </m:sub>
          </m:sSub>
          <m:r>
            <m:t> </m:t>
          </m:r>
          <m:r>
            <m:rPr>
              <m:sty m:val="p"/>
            </m:rPr>
            <m:t>c</m:t>
          </m:r>
          <m:r>
            <m:rPr>
              <m:sty m:val="p"/>
            </m:rPr>
            <m:t>o</m:t>
          </m:r>
          <m:r>
            <m:rPr>
              <m:sty m:val="p"/>
            </m:rPr>
            <m:t>n</m:t>
          </m:r>
          <m:r>
            <m:rPr>
              <m:sty m:val="p"/>
            </m:rPr>
            <m:t>c</m:t>
          </m:r>
          <m:r>
            <m:rPr>
              <m:sty m:val="p"/>
            </m:rPr>
            <m:t>a</m:t>
          </m:r>
          <m:r>
            <m:rPr>
              <m:sty m:val="p"/>
            </m:rPr>
            <m:t>t</m:t>
          </m:r>
          <m:d>
            <m:dPr>
              <m:begChr m:val="("/>
              <m:endChr m:val=")"/>
              <m:sepChr m:val=""/>
              <m:grow/>
            </m:dPr>
            <m:e>
              <m:sSub>
                <m:e>
                  <m:acc>
                    <m:accPr>
                      <m:chr m:val="̃"/>
                    </m:accPr>
                    <m:e>
                      <m:r>
                        <m:t>T</m:t>
                      </m:r>
                    </m:e>
                  </m:acc>
                </m:e>
                <m:sub>
                  <m:r>
                    <m:t>0</m:t>
                  </m:r>
                </m:sub>
              </m:sSub>
              <m:r>
                <m:rPr>
                  <m:sty m:val="p"/>
                </m:rPr>
                <m:t>,</m:t>
              </m:r>
              <m:sSub>
                <m:e>
                  <m:acc>
                    <m:accPr>
                      <m:chr m:val="̃"/>
                    </m:accPr>
                    <m:e>
                      <m:r>
                        <m:t>T</m:t>
                      </m:r>
                    </m:e>
                  </m:acc>
                </m:e>
                <m:sub>
                  <m:r>
                    <m:t>1</m:t>
                  </m:r>
                </m:sub>
              </m:sSub>
              <m:r>
                <m:rPr>
                  <m:sty m:val="p"/>
                </m:rPr>
                <m:t>,</m:t>
              </m:r>
              <m:sSub>
                <m:e>
                  <m:acc>
                    <m:accPr>
                      <m:chr m:val="̃"/>
                    </m:accPr>
                    <m:e>
                      <m:r>
                        <m:t>T</m:t>
                      </m:r>
                    </m:e>
                  </m:acc>
                </m:e>
                <m:sub>
                  <m:r>
                    <m:t>2</m:t>
                  </m:r>
                </m:sub>
              </m:sSub>
              <m:r>
                <m:rPr>
                  <m:sty m:val="p"/>
                </m:rPr>
                <m:t>,</m:t>
              </m:r>
              <m:sSub>
                <m:e>
                  <m:acc>
                    <m:accPr>
                      <m:chr m:val="̃"/>
                    </m:accPr>
                    <m:e>
                      <m:r>
                        <m:t>T</m:t>
                      </m:r>
                    </m:e>
                  </m:acc>
                </m:e>
                <m:sub>
                  <m:r>
                    <m:t>3</m:t>
                  </m:r>
                </m:sub>
              </m:sSub>
            </m:e>
          </m:d>
          <m:r>
            <m:rPr>
              <m:sty m:val="p"/>
            </m:rPr>
            <m:t>+</m:t>
          </m:r>
          <m:sSub>
            <m:e>
              <m:r>
                <m:rPr>
                  <m:sty m:val="b"/>
                </m:rPr>
                <m:t>b</m:t>
              </m:r>
            </m:e>
            <m:sub>
              <m:r>
                <m:t>f</m:t>
              </m:r>
            </m:sub>
          </m:sSub>
          <m:r>
            <m:rPr>
              <m:sty m:val="p"/>
            </m:rPr>
            <m:t>∈</m:t>
          </m:r>
          <m:sSup>
            <m:e>
              <m:r>
                <m:rPr>
                  <m:sty m:val="p"/>
                  <m:scr m:val="double-struck"/>
                </m:rPr>
                <m:t>R</m:t>
              </m:r>
            </m:e>
            <m:sup>
              <m:r>
                <m:t>B</m:t>
              </m:r>
              <m:r>
                <m:rPr>
                  <m:sty m:val="p"/>
                </m:rPr>
                <m:t>×</m:t>
              </m:r>
              <m:r>
                <m:t>D</m:t>
              </m:r>
            </m:sup>
          </m:sSup>
          <m:r>
            <m:rPr>
              <m:sty m:val="p"/>
            </m:rPr>
            <m:t>.</m:t>
          </m:r>
        </m:oMath>
      </m:oMathPara>
    </w:p>
    <w:p>
      <w:pPr>
        <w:pStyle w:val="FirstParagraph"/>
      </w:pPr>
      <w:r>
        <w:t xml:space="preserve">Because the gate operates per modality and per dimension (i.e.,</w:t>
      </w:r>
      <w:r>
        <w:t xml:space="preserve"> </w:t>
      </w:r>
      <m:oMath>
        <m:sSub>
          <m:e>
            <m:r>
              <m:t>W</m:t>
            </m:r>
          </m:e>
          <m:sub>
            <m:r>
              <m:t>g</m:t>
            </m:r>
          </m:sub>
        </m:sSub>
        <m:r>
          <m:rPr>
            <m:sty m:val="p"/>
          </m:rPr>
          <m:t>∈</m:t>
        </m:r>
        <m:sSup>
          <m:e>
            <m:r>
              <m:rPr>
                <m:sty m:val="p"/>
                <m:scr m:val="double-struck"/>
              </m:rPr>
              <m:t>R</m:t>
            </m:r>
          </m:e>
          <m:sup>
            <m:r>
              <m:t>D</m:t>
            </m:r>
            <m:r>
              <m:rPr>
                <m:sty m:val="p"/>
              </m:rPr>
              <m:t>×</m:t>
            </m:r>
            <m:r>
              <m:t>D</m:t>
            </m:r>
          </m:sup>
        </m:sSup>
      </m:oMath>
      <w:r>
        <w:t xml:space="preserve"> </w:t>
      </w:r>
      <w:r>
        <w:t xml:space="preserve">rather than</w:t>
      </w:r>
      <w:r>
        <w:t xml:space="preserve"> </w:t>
      </w:r>
      <m:oMath>
        <m:sSup>
          <m:e>
            <m:r>
              <m:rPr>
                <m:sty m:val="p"/>
                <m:scr m:val="double-struck"/>
              </m:rPr>
              <m:t>R</m:t>
            </m:r>
          </m:e>
          <m:sup>
            <m:r>
              <m:t>D</m:t>
            </m:r>
            <m:r>
              <m:rPr>
                <m:sty m:val="p"/>
              </m:rPr>
              <m:t>×</m:t>
            </m:r>
            <m:r>
              <m:t>4</m:t>
            </m:r>
            <m:r>
              <m:t>D</m:t>
            </m:r>
          </m:sup>
        </m:sSup>
      </m:oMath>
      <w:r>
        <w:t xml:space="preserve">), this design uses substantially fewer parameters than a global gate over the flattened concatenation while retaining per-modality modulation capacity.</w:t>
      </w:r>
    </w:p>
    <w:bookmarkEnd w:id="43"/>
    <w:bookmarkStart w:id="44" w:name="classifier-head"/>
    <w:p>
      <w:pPr>
        <w:pStyle w:val="Heading3"/>
      </w:pPr>
      <w:r>
        <w:t xml:space="preserve">3.3.8 Classifier head</w:t>
      </w:r>
    </w:p>
    <w:p>
      <w:pPr>
        <w:pStyle w:val="FirstParagraph"/>
      </w:pPr>
      <w:r>
        <w:t xml:space="preserve">The fused embedding is passed through a tapered-width MLP with</w:t>
      </w:r>
      <w:r>
        <w:t xml:space="preserve"> </w:t>
      </w:r>
      <m:oMath>
        <m:sSub>
          <m:e>
            <m:r>
              <m:t>N</m:t>
            </m:r>
          </m:e>
          <m:sub>
            <m:r>
              <m:rPr>
                <m:sty m:val="p"/>
              </m:rPr>
              <m:t>c</m:t>
            </m:r>
            <m:r>
              <m:rPr>
                <m:sty m:val="p"/>
              </m:rPr>
              <m:t>l</m:t>
            </m:r>
            <m:r>
              <m:rPr>
                <m:sty m:val="p"/>
              </m:rPr>
              <m:t>f</m:t>
            </m:r>
          </m:sub>
        </m:sSub>
      </m:oMath>
      <w:r>
        <w:t xml:space="preserve"> </w:t>
      </w:r>
      <w:r>
        <w:t xml:space="preserve">hidden layers. At layer</w:t>
      </w:r>
      <w:r>
        <w:t xml:space="preserve"> </w:t>
      </w:r>
      <m:oMath>
        <m:r>
          <m:t>i</m:t>
        </m:r>
        <m:r>
          <m:rPr>
            <m:sty m:val="p"/>
          </m:rPr>
          <m:t>∈</m:t>
        </m:r>
        <m:r>
          <m:rPr>
            <m:sty m:val="p"/>
          </m:rPr>
          <m:t>{</m:t>
        </m:r>
        <m:r>
          <m:t>0</m:t>
        </m:r>
        <m:r>
          <m:rPr>
            <m:sty m:val="p"/>
          </m:rPr>
          <m:t>,</m:t>
        </m:r>
        <m:r>
          <m:rPr>
            <m:sty m:val="p"/>
          </m:rPr>
          <m:t>…</m:t>
        </m:r>
        <m:r>
          <m:rPr>
            <m:sty m:val="p"/>
          </m:rPr>
          <m:t>,</m:t>
        </m:r>
        <m:sSub>
          <m:e>
            <m:r>
              <m:t>N</m:t>
            </m:r>
          </m:e>
          <m:sub>
            <m:r>
              <m:rPr>
                <m:sty m:val="p"/>
              </m:rPr>
              <m:t>c</m:t>
            </m:r>
            <m:r>
              <m:rPr>
                <m:sty m:val="p"/>
              </m:rPr>
              <m:t>l</m:t>
            </m:r>
            <m:r>
              <m:rPr>
                <m:sty m:val="p"/>
              </m:rPr>
              <m:t>f</m:t>
            </m:r>
          </m:sub>
        </m:sSub>
        <m:r>
          <m:rPr>
            <m:sty m:val="p"/>
          </m:rPr>
          <m:t>−</m:t>
        </m:r>
        <m:r>
          <m:t>1</m:t>
        </m:r>
        <m:r>
          <m:rPr>
            <m:sty m:val="p"/>
          </m:rPr>
          <m:t>}</m:t>
        </m:r>
      </m:oMath>
      <w:r>
        <w:t xml:space="preserve"> </w:t>
      </w:r>
      <w:r>
        <w:t xml:space="preserve">the output width is</w:t>
      </w:r>
      <w:r>
        <w:t xml:space="preserve"> </w:t>
      </w:r>
      <m:oMath>
        <m:sSub>
          <m:e>
            <m:r>
              <m:t>d</m:t>
            </m:r>
          </m:e>
          <m:sub>
            <m:r>
              <m:t>i</m:t>
            </m:r>
          </m:sub>
        </m:sSub>
        <m:r>
          <m:rPr>
            <m:sty m:val="p"/>
          </m:rPr>
          <m:t>=</m:t>
        </m:r>
        <m:sSub>
          <m:e>
            <m:r>
              <m:t>d</m:t>
            </m:r>
          </m:e>
          <m:sub>
            <m:r>
              <m:rPr>
                <m:sty m:val="p"/>
              </m:rPr>
              <m:t>h</m:t>
            </m:r>
            <m:r>
              <m:rPr>
                <m:sty m:val="p"/>
              </m:rPr>
              <m:t>i</m:t>
            </m:r>
            <m:r>
              <m:rPr>
                <m:sty m:val="p"/>
              </m:rPr>
              <m:t>d</m:t>
            </m:r>
            <m:r>
              <m:rPr>
                <m:sty m:val="p"/>
              </m:rPr>
              <m:t>d</m:t>
            </m:r>
            <m:r>
              <m:rPr>
                <m:sty m:val="p"/>
              </m:rPr>
              <m:t>e</m:t>
            </m:r>
            <m:r>
              <m:rPr>
                <m:sty m:val="p"/>
              </m:rPr>
              <m:t>n</m:t>
            </m:r>
          </m:sub>
        </m:sSub>
        <m:r>
          <m:rPr>
            <m:sty m:val="p"/>
          </m:rPr>
          <m:t>/</m:t>
        </m:r>
        <m:sSup>
          <m:e>
            <m:r>
              <m:t>2</m:t>
            </m:r>
          </m:e>
          <m:sup>
            <m:r>
              <m:t>i</m:t>
            </m:r>
          </m:sup>
        </m:sSup>
      </m:oMath>
      <w:r>
        <w:t xml:space="preserve">, where</w:t>
      </w:r>
      <w:r>
        <w:t xml:space="preserve"> </w:t>
      </w:r>
      <m:oMath>
        <m:sSub>
          <m:e>
            <m:r>
              <m:t>d</m:t>
            </m:r>
          </m:e>
          <m:sub>
            <m:r>
              <m:rPr>
                <m:sty m:val="p"/>
              </m:rPr>
              <m:t>h</m:t>
            </m:r>
            <m:r>
              <m:rPr>
                <m:sty m:val="p"/>
              </m:rPr>
              <m:t>i</m:t>
            </m:r>
            <m:r>
              <m:rPr>
                <m:sty m:val="p"/>
              </m:rPr>
              <m:t>d</m:t>
            </m:r>
            <m:r>
              <m:rPr>
                <m:sty m:val="p"/>
              </m:rPr>
              <m:t>d</m:t>
            </m:r>
            <m:r>
              <m:rPr>
                <m:sty m:val="p"/>
              </m:rPr>
              <m:t>e</m:t>
            </m:r>
            <m:r>
              <m:rPr>
                <m:sty m:val="p"/>
              </m:rPr>
              <m:t>n</m:t>
            </m:r>
          </m:sub>
        </m:sSub>
      </m:oMath>
      <w:r>
        <w:t xml:space="preserve"> </w:t>
      </w:r>
      <w:r>
        <w:t xml:space="preserve">is a hyperparameter. Each hidden layer is</w:t>
      </w:r>
      <w:r>
        <w:t xml:space="preserve"> </w:t>
      </w:r>
      <m:oMath>
        <m:r>
          <m:rPr>
            <m:nor/>
            <m:sty m:val="p"/>
          </m:rPr>
          <m:t>Linear</m:t>
        </m:r>
        <m:r>
          <m:rPr>
            <m:sty m:val="p"/>
          </m:rPr>
          <m:t>→</m:t>
        </m:r>
        <m:r>
          <m:rPr>
            <m:nor/>
            <m:sty m:val="p"/>
          </m:rPr>
          <m:t>LayerNorm</m:t>
        </m:r>
        <m:r>
          <m:rPr>
            <m:sty m:val="p"/>
          </m:rPr>
          <m:t>→</m:t>
        </m:r>
        <m:r>
          <m:rPr>
            <m:nor/>
            <m:sty m:val="p"/>
          </m:rPr>
          <m:t>GELU</m:t>
        </m:r>
        <m:r>
          <m:rPr>
            <m:sty m:val="p"/>
          </m:rPr>
          <m:t>→</m:t>
        </m:r>
        <m:r>
          <m:rPr>
            <m:nor/>
            <m:sty m:val="p"/>
          </m:rPr>
          <m:t>Dropout</m:t>
        </m:r>
      </m:oMath>
      <w:r>
        <w:t xml:space="preserve">, with the dropout rate reduced to</w:t>
      </w:r>
      <w:r>
        <w:t xml:space="preserve"> </w:t>
      </w:r>
      <m:oMath>
        <m:r>
          <m:t>p</m:t>
        </m:r>
        <m:r>
          <m:rPr>
            <m:sty m:val="p"/>
          </m:rPr>
          <m:t>/</m:t>
        </m:r>
        <m:r>
          <m:t>2</m:t>
        </m:r>
      </m:oMath>
      <w:r>
        <w:t xml:space="preserve"> </w:t>
      </w:r>
      <w:r>
        <w:t xml:space="preserve">at the final hidden layer to permit greater signal to reach the output; the final layer is a single-unit linear projection that produces the binary logit</w:t>
      </w:r>
      <w:r>
        <w:t xml:space="preserve"> </w:t>
      </w:r>
      <m:oMath>
        <m:r>
          <m:t>z</m:t>
        </m:r>
        <m:r>
          <m:rPr>
            <m:sty m:val="p"/>
          </m:rPr>
          <m:t>∈</m:t>
        </m:r>
        <m:sSup>
          <m:e>
            <m:r>
              <m:rPr>
                <m:sty m:val="p"/>
                <m:scr m:val="double-struck"/>
              </m:rPr>
              <m:t>R</m:t>
            </m:r>
          </m:e>
          <m:sup>
            <m:r>
              <m:t>B</m:t>
            </m:r>
          </m:sup>
        </m:sSup>
      </m:oMath>
      <w:r>
        <w:t xml:space="preserve">. At inference, the probability of the active class is</w:t>
      </w:r>
      <w:r>
        <w:t xml:space="preserve"> </w:t>
      </w:r>
      <m:oMath>
        <m:r>
          <m:t>σ</m:t>
        </m:r>
        <m:d>
          <m:dPr>
            <m:begChr m:val="("/>
            <m:endChr m:val=")"/>
            <m:sepChr m:val=""/>
            <m:grow/>
          </m:dPr>
          <m:e>
            <m:r>
              <m:t>z</m:t>
            </m:r>
          </m:e>
        </m:d>
      </m:oMath>
      <w:r>
        <w:t xml:space="preserve">.</w:t>
      </w:r>
    </w:p>
    <w:bookmarkEnd w:id="44"/>
    <w:bookmarkEnd w:id="45"/>
    <w:bookmarkStart w:id="51" w:name="managing-severe-class-imbalance"/>
    <w:p>
      <w:pPr>
        <w:pStyle w:val="Heading2"/>
      </w:pPr>
      <w:r>
        <w:t xml:space="preserve">3.4 Managing Severe Class Imbalance</w:t>
      </w:r>
    </w:p>
    <w:p>
      <w:pPr>
        <w:pStyle w:val="FirstParagraph"/>
      </w:pPr>
      <w:r>
        <w:t xml:space="preserve">The class distribution — 78.7% active, 21.3% inactive on the cleaned dataset (Section 2.6) — is severe enough that a naïve training procedure will bias the classifier toward the majority class and produce misleadingly high aggregate accuracy while catastrophically under-detecting the minority (inactive) class. FMM addresses this through four coordinated interventions that operate at different stages of the pipeline. Because these interventions target complementary failure modes rather than duplicating a single mechanism, they compose rather than compete.</w:t>
      </w:r>
    </w:p>
    <w:bookmarkStart w:id="46" w:name="stratified-splitting"/>
    <w:p>
      <w:pPr>
        <w:pStyle w:val="Heading3"/>
      </w:pPr>
      <w:r>
        <w:t xml:space="preserve">3.4.1 Stratified splitting</w:t>
      </w:r>
    </w:p>
    <w:p>
      <w:pPr>
        <w:pStyle w:val="FirstParagraph"/>
      </w:pPr>
      <w:r>
        <w:t xml:space="preserve">The initial train/validation/test partition preserves class proportions by stratifying on the bioactivity label. The dataset is first split 70% / 30% (</w:t>
      </w:r>
      <w:r>
        <w:rPr>
          <w:rStyle w:val="VerbatimChar"/>
        </w:rPr>
        <w:t xml:space="preserve">train_test_split(..., stratify=df['bioactivity'], random_state=42)</w:t>
      </w:r>
      <w:r>
        <w:t xml:space="preserve">) and the 30% temporary partition is then split 50% / 50% to yield a validation set and a held-out test set, each approximately 15% of the cleaned data. All downstream 5-fold cross-validation splits use</w:t>
      </w:r>
      <w:r>
        <w:t xml:space="preserve"> </w:t>
      </w:r>
      <w:r>
        <w:rPr>
          <w:rStyle w:val="VerbatimChar"/>
        </w:rPr>
        <w:t xml:space="preserve">StratifiedKFold(n_splits=5, shuffle=True, random_state=42)</w:t>
      </w:r>
      <w:r>
        <w:t xml:space="preserve">, guaranteeing that every fold’s training and out-of-fold validation partitions retain the parent class proportions.</w:t>
      </w:r>
    </w:p>
    <w:bookmarkEnd w:id="46"/>
    <w:bookmarkStart w:id="47" w:name="X1408d415e0233c6528ccbb0aee749f21a38f02f"/>
    <w:p>
      <w:pPr>
        <w:pStyle w:val="Heading3"/>
      </w:pPr>
      <w:r>
        <w:t xml:space="preserve">3.4.2 WeightedRandomSampler at the batch-sampling stage</w:t>
      </w:r>
    </w:p>
    <w:p>
      <w:pPr>
        <w:pStyle w:val="FirstParagraph"/>
      </w:pPr>
      <w:r>
        <w:t xml:space="preserve">Rather than exposing the model to raw batches with</w:t>
      </w:r>
      <w:r>
        <w:t xml:space="preserve"> </w:t>
      </w:r>
      <m:oMath>
        <m:r>
          <m:rPr>
            <m:sty m:val="p"/>
          </m:rPr>
          <m:t>≈</m:t>
        </m:r>
        <m:r>
          <m:t>79</m:t>
        </m:r>
        <m:r>
          <m:rPr>
            <m:sty m:val="p"/>
          </m:rPr>
          <m:t>%</m:t>
        </m:r>
      </m:oMath>
      <w:r>
        <w:t xml:space="preserve"> </w:t>
      </w:r>
      <w:r>
        <w:t xml:space="preserve">active examples, we sample training batches with per-sample weights inversely proportional to their class frequency. Let</w:t>
      </w:r>
      <w:r>
        <w:t xml:space="preserve"> </w:t>
      </w:r>
      <m:oMath>
        <m:sSub>
          <m:e>
            <m:r>
              <m:t>c</m:t>
            </m:r>
          </m:e>
          <m:sub>
            <m:r>
              <m:t>i</m:t>
            </m:r>
          </m:sub>
        </m:sSub>
        <m:r>
          <m:rPr>
            <m:sty m:val="p"/>
          </m:rPr>
          <m:t>∈</m:t>
        </m:r>
        <m:r>
          <m:rPr>
            <m:sty m:val="p"/>
          </m:rPr>
          <m:t>{</m:t>
        </m:r>
        <m:r>
          <m:t>0</m:t>
        </m:r>
        <m:r>
          <m:rPr>
            <m:sty m:val="p"/>
          </m:rPr>
          <m:t>,</m:t>
        </m:r>
        <m:r>
          <m:t>1</m:t>
        </m:r>
        <m:r>
          <m:rPr>
            <m:sty m:val="p"/>
          </m:rPr>
          <m:t>}</m:t>
        </m:r>
      </m:oMath>
      <w:r>
        <w:t xml:space="preserve"> </w:t>
      </w:r>
      <w:r>
        <w:t xml:space="preserve">denote the class label of training sample</w:t>
      </w:r>
      <w:r>
        <w:t xml:space="preserve"> </w:t>
      </w:r>
      <m:oMath>
        <m:r>
          <m:t>i</m:t>
        </m:r>
      </m:oMath>
      <w:r>
        <w:t xml:space="preserve">, and</w:t>
      </w:r>
      <w:r>
        <w:t xml:space="preserve"> </w:t>
      </w:r>
      <m:oMath>
        <m:sSub>
          <m:e>
            <m:r>
              <m:t>n</m:t>
            </m:r>
          </m:e>
          <m:sub>
            <m:r>
              <m:t>c</m:t>
            </m:r>
          </m:sub>
        </m:sSub>
        <m:r>
          <m:rPr>
            <m:sty m:val="p"/>
          </m:rPr>
          <m:t>=</m:t>
        </m:r>
        <m:d>
          <m:dPr>
            <m:begChr m:val="|"/>
            <m:endChr m:val="|"/>
            <m:sepChr m:val=""/>
            <m:grow/>
          </m:dPr>
          <m:e>
            <m:r>
              <m:rPr>
                <m:sty m:val="p"/>
              </m:rPr>
              <m:t>{</m:t>
            </m:r>
            <m:r>
              <m:t>i</m:t>
            </m:r>
            <m:r>
              <m:rPr>
                <m:sty m:val="p"/>
              </m:rPr>
              <m:t>:</m:t>
            </m:r>
            <m:sSub>
              <m:e>
                <m:r>
                  <m:t>c</m:t>
                </m:r>
              </m:e>
              <m:sub>
                <m:r>
                  <m:t>i</m:t>
                </m:r>
              </m:sub>
            </m:sSub>
            <m:r>
              <m:rPr>
                <m:sty m:val="p"/>
              </m:rPr>
              <m:t>=</m:t>
            </m:r>
            <m:r>
              <m:t>c</m:t>
            </m:r>
            <m:r>
              <m:rPr>
                <m:sty m:val="p"/>
              </m:rPr>
              <m:t>}</m:t>
            </m:r>
          </m:e>
        </m:d>
      </m:oMath>
      <w:r>
        <w:t xml:space="preserve"> </w:t>
      </w:r>
      <w:r>
        <w:t xml:space="preserve">the training-partition count of class</w:t>
      </w:r>
      <w:r>
        <w:t xml:space="preserve"> </w:t>
      </w:r>
      <m:oMath>
        <m:r>
          <m:t>c</m:t>
        </m:r>
      </m:oMath>
      <w:r>
        <w:t xml:space="preserve">. Each sample is assigned weight:</w:t>
      </w:r>
    </w:p>
    <w:p>
      <w:pPr>
        <w:pStyle w:val="BodyText"/>
      </w:pPr>
      <m:oMathPara>
        <m:oMathParaPr>
          <m:jc m:val="center"/>
        </m:oMathParaPr>
        <m:oMath>
          <m:sSub>
            <m:e>
              <m:r>
                <m:t>w</m:t>
              </m:r>
            </m:e>
            <m:sub>
              <m:r>
                <m:t>i</m:t>
              </m:r>
            </m:sub>
          </m:sSub>
          <m:r>
            <m:rPr>
              <m:sty m:val="p"/>
            </m:rPr>
            <m:t>=</m:t>
          </m:r>
          <m:f>
            <m:fPr>
              <m:type m:val="bar"/>
            </m:fPr>
            <m:num>
              <m:r>
                <m:t>1</m:t>
              </m:r>
            </m:num>
            <m:den>
              <m:sSub>
                <m:e>
                  <m:r>
                    <m:t>n</m:t>
                  </m:r>
                </m:e>
                <m:sub>
                  <m:sSub>
                    <m:e>
                      <m:r>
                        <m:t>c</m:t>
                      </m:r>
                    </m:e>
                    <m:sub>
                      <m:r>
                        <m:t>i</m:t>
                      </m:r>
                    </m:sub>
                  </m:sSub>
                </m:sub>
              </m:sSub>
            </m:den>
          </m:f>
          <m:r>
            <m:rPr>
              <m:sty m:val="p"/>
            </m:rPr>
            <m:t>.</m:t>
          </m:r>
        </m:oMath>
      </m:oMathPara>
    </w:p>
    <w:p>
      <w:pPr>
        <w:pStyle w:val="FirstParagraph"/>
      </w:pPr>
      <w:r>
        <w:t xml:space="preserve">A PyTorch</w:t>
      </w:r>
      <w:r>
        <w:t xml:space="preserve"> </w:t>
      </w:r>
      <w:r>
        <w:rPr>
          <w:rStyle w:val="VerbatimChar"/>
        </w:rPr>
        <w:t xml:space="preserve">WeightedRandomSampler</w:t>
      </w:r>
      <w:r>
        <w:t xml:space="preserve"> </w:t>
      </w:r>
      <w:r>
        <w:t xml:space="preserve">is instantiated with these weights,</w:t>
      </w:r>
      <w:r>
        <w:t xml:space="preserve"> </w:t>
      </w:r>
      <w:r>
        <w:rPr>
          <w:rStyle w:val="VerbatimChar"/>
        </w:rPr>
        <w:t xml:space="preserve">num_samples = |D_{\mathrm{train}}|</w:t>
      </w:r>
      <w:r>
        <w:t xml:space="preserve">, and</w:t>
      </w:r>
      <w:r>
        <w:t xml:space="preserve"> </w:t>
      </w:r>
      <w:r>
        <w:rPr>
          <w:rStyle w:val="VerbatimChar"/>
        </w:rPr>
        <w:t xml:space="preserve">replacement = True</w:t>
      </w:r>
      <w:r>
        <w:t xml:space="preserve">. In expectation, each epoch presents an approximately class-balanced stream of</w:t>
      </w:r>
      <w:r>
        <w:t xml:space="preserve"> </w:t>
      </w:r>
      <m:oMath>
        <m:d>
          <m:dPr>
            <m:begChr m:val="|"/>
            <m:endChr m:val="|"/>
            <m:sepChr m:val=""/>
            <m:grow/>
          </m:dPr>
          <m:e>
            <m:sSub>
              <m:e>
                <m:r>
                  <m:t>D</m:t>
                </m:r>
              </m:e>
              <m:sub>
                <m:r>
                  <m:rPr>
                    <m:sty m:val="p"/>
                  </m:rPr>
                  <m:t>t</m:t>
                </m:r>
                <m:r>
                  <m:rPr>
                    <m:sty m:val="p"/>
                  </m:rPr>
                  <m:t>r</m:t>
                </m:r>
                <m:r>
                  <m:rPr>
                    <m:sty m:val="p"/>
                  </m:rPr>
                  <m:t>a</m:t>
                </m:r>
                <m:r>
                  <m:rPr>
                    <m:sty m:val="p"/>
                  </m:rPr>
                  <m:t>i</m:t>
                </m:r>
                <m:r>
                  <m:rPr>
                    <m:sty m:val="p"/>
                  </m:rPr>
                  <m:t>n</m:t>
                </m:r>
              </m:sub>
            </m:sSub>
          </m:e>
        </m:d>
      </m:oMath>
      <w:r>
        <w:t xml:space="preserve"> </w:t>
      </w:r>
      <w:r>
        <w:t xml:space="preserve">training examples in which minority-class samples appear more frequently than in the underlying distribution. This resampling is applied identically inside every fold of the K-fold loop and inside every trial of hyperparameter optimisation (Section 3.6), ensuring that the imbalance-handling treatment is consistent across evaluation regimes.</w:t>
      </w:r>
    </w:p>
    <w:bookmarkEnd w:id="47"/>
    <w:bookmarkStart w:id="48" w:name="focal-loss-with-label-smoothing"/>
    <w:p>
      <w:pPr>
        <w:pStyle w:val="Heading3"/>
      </w:pPr>
      <w:r>
        <w:t xml:space="preserve">3.4.3 Focal loss with label smoothing</w:t>
      </w:r>
    </w:p>
    <w:p>
      <w:pPr>
        <w:pStyle w:val="FirstParagraph"/>
      </w:pPr>
      <w:r>
        <w:t xml:space="preserve">Rather than binary cross-entropy — which weighs every training example equally regardless of how easy or hard it is to classify — we optimise a focal loss (Lin et al., 2017) with label smoothing. For a training sample with binary label</w:t>
      </w:r>
      <w:r>
        <w:t xml:space="preserve"> </w:t>
      </w:r>
      <m:oMath>
        <m:r>
          <m:t>y</m:t>
        </m:r>
        <m:r>
          <m:rPr>
            <m:sty m:val="p"/>
          </m:rPr>
          <m:t>∈</m:t>
        </m:r>
        <m:r>
          <m:rPr>
            <m:sty m:val="p"/>
          </m:rPr>
          <m:t>{</m:t>
        </m:r>
        <m:r>
          <m:t>0</m:t>
        </m:r>
        <m:r>
          <m:rPr>
            <m:sty m:val="p"/>
          </m:rPr>
          <m:t>,</m:t>
        </m:r>
        <m:r>
          <m:t>1</m:t>
        </m:r>
        <m:r>
          <m:rPr>
            <m:sty m:val="p"/>
          </m:rPr>
          <m:t>}</m:t>
        </m:r>
      </m:oMath>
      <w:r>
        <w:t xml:space="preserve"> </w:t>
      </w:r>
      <w:r>
        <w:t xml:space="preserve">and model logit</w:t>
      </w:r>
      <w:r>
        <w:t xml:space="preserve"> </w:t>
      </w:r>
      <m:oMath>
        <m:r>
          <m:t>z</m:t>
        </m:r>
      </m:oMath>
      <w:r>
        <w:t xml:space="preserve">:</w:t>
      </w:r>
    </w:p>
    <w:p>
      <w:pPr>
        <w:pStyle w:val="BodyText"/>
      </w:pPr>
      <w:r>
        <w:rPr>
          <w:bCs/>
          <w:b/>
        </w:rPr>
        <w:t xml:space="preserve">Label smoothing.</w:t>
      </w:r>
      <w:r>
        <w:t xml:space="preserve"> </w:t>
      </w:r>
      <w:r>
        <w:t xml:space="preserve">The hard label is smoothed toward the class-uniform prior:</w:t>
      </w:r>
    </w:p>
    <w:p>
      <w:pPr>
        <w:pStyle w:val="BodyText"/>
      </w:pPr>
      <m:oMathPara>
        <m:oMathParaPr>
          <m:jc m:val="center"/>
        </m:oMathParaPr>
        <m:oMath>
          <m:acc>
            <m:accPr>
              <m:chr m:val="̃"/>
            </m:accPr>
            <m:e>
              <m:r>
                <m:t>y</m:t>
              </m:r>
            </m:e>
          </m:acc>
          <m:r>
            <m:rPr>
              <m:sty m:val="p"/>
            </m:rPr>
            <m:t>=</m:t>
          </m:r>
          <m:r>
            <m:t>y</m:t>
          </m:r>
          <m:d>
            <m:dPr>
              <m:begChr m:val="("/>
              <m:endChr m:val=")"/>
              <m:sepChr m:val=""/>
              <m:grow/>
            </m:dPr>
            <m:e>
              <m:r>
                <m:t>1</m:t>
              </m:r>
              <m:r>
                <m:rPr>
                  <m:sty m:val="p"/>
                </m:rPr>
                <m:t>−</m:t>
              </m:r>
              <m:r>
                <m:t>ε</m:t>
              </m:r>
            </m:e>
          </m:d>
          <m:r>
            <m:rPr>
              <m:sty m:val="p"/>
            </m:rPr>
            <m:t>+</m:t>
          </m:r>
          <m:f>
            <m:fPr>
              <m:type m:val="lin"/>
            </m:fPr>
            <m:num>
              <m:r>
                <m:t>1</m:t>
              </m:r>
            </m:num>
            <m:den>
              <m:r>
                <m:t>2</m:t>
              </m:r>
            </m:den>
          </m:f>
          <m:r>
            <m:t>ε</m:t>
          </m:r>
          <m:r>
            <m:rPr>
              <m:sty m:val="p"/>
            </m:rPr>
            <m:t>,</m:t>
          </m:r>
          <m:r>
            <m:t>  </m:t>
          </m:r>
          <m:r>
            <m:t>ε</m:t>
          </m:r>
          <m:r>
            <m:rPr>
              <m:sty m:val="p"/>
            </m:rPr>
            <m:t>=</m:t>
          </m:r>
          <m:r>
            <m:t>0.05</m:t>
          </m:r>
          <m:r>
            <m:rPr>
              <m:sty m:val="p"/>
            </m:rPr>
            <m:t>,</m:t>
          </m:r>
        </m:oMath>
      </m:oMathPara>
    </w:p>
    <w:p>
      <w:pPr>
        <w:pStyle w:val="FirstParagraph"/>
      </w:pPr>
      <w:r>
        <w:t xml:space="preserve">so a positive example carries a target of</w:t>
      </w:r>
      <w:r>
        <w:t xml:space="preserve"> </w:t>
      </w:r>
      <m:oMath>
        <m:r>
          <m:t>0.975</m:t>
        </m:r>
      </m:oMath>
      <w:r>
        <w:t xml:space="preserve"> </w:t>
      </w:r>
      <w:r>
        <w:t xml:space="preserve">rather than</w:t>
      </w:r>
      <w:r>
        <w:t xml:space="preserve"> </w:t>
      </w:r>
      <m:oMath>
        <m:r>
          <m:t>1.0</m:t>
        </m:r>
      </m:oMath>
      <w:r>
        <w:t xml:space="preserve">, discouraging overconfident logits and improving calibration.</w:t>
      </w:r>
    </w:p>
    <w:p>
      <w:pPr>
        <w:pStyle w:val="BodyText"/>
      </w:pPr>
      <w:r>
        <w:rPr>
          <w:bCs/>
          <w:b/>
        </w:rPr>
        <w:t xml:space="preserve">Binary cross-entropy against smoothed target.</w:t>
      </w:r>
    </w:p>
    <w:p>
      <w:pPr>
        <w:pStyle w:val="BodyText"/>
      </w:pPr>
      <m:oMathPara>
        <m:oMathParaPr>
          <m:jc m:val="center"/>
        </m:oMathParaPr>
        <m:oMath>
          <m:r>
            <m:rPr>
              <m:sty m:val="p"/>
            </m:rPr>
            <m:t>B</m:t>
          </m:r>
          <m:r>
            <m:rPr>
              <m:sty m:val="p"/>
            </m:rPr>
            <m:t>C</m:t>
          </m:r>
          <m:r>
            <m:rPr>
              <m:sty m:val="p"/>
            </m:rPr>
            <m:t>E</m:t>
          </m:r>
          <m:d>
            <m:dPr>
              <m:begChr m:val="("/>
              <m:endChr m:val=")"/>
              <m:sepChr m:val=""/>
              <m:grow/>
            </m:dPr>
            <m:e>
              <m:r>
                <m:t>z</m:t>
              </m:r>
              <m:r>
                <m:rPr>
                  <m:sty m:val="p"/>
                </m:rPr>
                <m:t>,</m:t>
              </m:r>
              <m:acc>
                <m:accPr>
                  <m:chr m:val="̃"/>
                </m:accPr>
                <m:e>
                  <m:r>
                    <m:t>y</m:t>
                  </m:r>
                </m:e>
              </m:acc>
            </m:e>
          </m:d>
          <m:r>
            <m:rPr>
              <m:sty m:val="p"/>
            </m:rPr>
            <m:t>=</m:t>
          </m:r>
          <m:r>
            <m:rPr>
              <m:sty m:val="p"/>
            </m:rPr>
            <m:t>−</m:t>
          </m:r>
          <m:d>
            <m:dPr>
              <m:begChr m:val="["/>
              <m:endChr m:val="]"/>
              <m:sepChr m:val=""/>
              <m:grow/>
            </m:dPr>
            <m:e>
              <m:acc>
                <m:accPr>
                  <m:chr m:val="̃"/>
                </m:accPr>
                <m:e>
                  <m:r>
                    <m:t>y</m:t>
                  </m:r>
                </m:e>
              </m:acc>
              <m:r>
                <m:rPr>
                  <m:sty m:val="p"/>
                </m:rPr>
                <m:t>log</m:t>
              </m:r>
              <m:r>
                <m:t>σ</m:t>
              </m:r>
              <m:d>
                <m:dPr>
                  <m:begChr m:val="("/>
                  <m:endChr m:val=")"/>
                  <m:sepChr m:val=""/>
                  <m:grow/>
                </m:dPr>
                <m:e>
                  <m:r>
                    <m:t>z</m:t>
                  </m:r>
                </m:e>
              </m:d>
              <m:r>
                <m:rPr>
                  <m:sty m:val="p"/>
                </m:rPr>
                <m:t>+</m:t>
              </m:r>
              <m:d>
                <m:dPr>
                  <m:begChr m:val="("/>
                  <m:endChr m:val=")"/>
                  <m:sepChr m:val=""/>
                  <m:grow/>
                </m:dPr>
                <m:e>
                  <m:r>
                    <m:t>1</m:t>
                  </m:r>
                  <m:r>
                    <m:rPr>
                      <m:sty m:val="p"/>
                    </m:rPr>
                    <m:t>−</m:t>
                  </m:r>
                  <m:acc>
                    <m:accPr>
                      <m:chr m:val="̃"/>
                    </m:accPr>
                    <m:e>
                      <m:r>
                        <m:t>y</m:t>
                      </m:r>
                    </m:e>
                  </m:acc>
                </m:e>
              </m:d>
              <m:r>
                <m:rPr>
                  <m:sty m:val="p"/>
                </m:rPr>
                <m:t>log</m:t>
              </m:r>
              <m:d>
                <m:dPr>
                  <m:begChr m:val="("/>
                  <m:endChr m:val=")"/>
                  <m:sepChr m:val=""/>
                  <m:grow/>
                </m:dPr>
                <m:e>
                  <m:r>
                    <m:t>1</m:t>
                  </m:r>
                  <m:r>
                    <m:rPr>
                      <m:sty m:val="p"/>
                    </m:rPr>
                    <m:t>−</m:t>
                  </m:r>
                  <m:r>
                    <m:t>σ</m:t>
                  </m:r>
                  <m:d>
                    <m:dPr>
                      <m:begChr m:val="("/>
                      <m:endChr m:val=")"/>
                      <m:sepChr m:val=""/>
                      <m:grow/>
                    </m:dPr>
                    <m:e>
                      <m:r>
                        <m:t>z</m:t>
                      </m:r>
                    </m:e>
                  </m:d>
                </m:e>
              </m:d>
            </m:e>
          </m:d>
          <m:r>
            <m:rPr>
              <m:sty m:val="p"/>
            </m:rPr>
            <m:t>.</m:t>
          </m:r>
        </m:oMath>
      </m:oMathPara>
    </w:p>
    <w:p>
      <w:pPr>
        <w:pStyle w:val="FirstParagraph"/>
      </w:pPr>
      <w:r>
        <w:rPr>
          <w:bCs/>
          <w:b/>
        </w:rPr>
        <w:t xml:space="preserve">Focal down-weighting of easy examples.</w:t>
      </w:r>
      <w:r>
        <w:t xml:space="preserve"> </w:t>
      </w:r>
      <w:r>
        <w:t xml:space="preserve">Let</w:t>
      </w:r>
      <w:r>
        <w:t xml:space="preserve"> </w:t>
      </w:r>
      <m:oMath>
        <m:sSub>
          <m:e>
            <m:r>
              <m:t>p</m:t>
            </m:r>
          </m:e>
          <m:sub>
            <m:r>
              <m:t>t</m:t>
            </m:r>
          </m:sub>
        </m:sSub>
        <m:r>
          <m:rPr>
            <m:sty m:val="p"/>
          </m:rPr>
          <m:t>=</m:t>
        </m:r>
        <m:r>
          <m:rPr>
            <m:sty m:val="p"/>
          </m:rPr>
          <m:t>exp</m:t>
        </m:r>
        <m:d>
          <m:dPr>
            <m:begChr m:val="("/>
            <m:endChr m:val=")"/>
            <m:sepChr m:val=""/>
            <m:grow/>
          </m:dPr>
          <m:e>
            <m:r>
              <m:rPr>
                <m:sty m:val="p"/>
              </m:rPr>
              <m:t>−</m:t>
            </m:r>
            <m:r>
              <m:rPr>
                <m:sty m:val="p"/>
              </m:rPr>
              <m:t>B</m:t>
            </m:r>
            <m:r>
              <m:rPr>
                <m:sty m:val="p"/>
              </m:rPr>
              <m:t>C</m:t>
            </m:r>
            <m:r>
              <m:rPr>
                <m:sty m:val="p"/>
              </m:rPr>
              <m:t>E</m:t>
            </m:r>
            <m:d>
              <m:dPr>
                <m:begChr m:val="("/>
                <m:endChr m:val=")"/>
                <m:sepChr m:val=""/>
                <m:grow/>
              </m:dPr>
              <m:e>
                <m:r>
                  <m:t>z</m:t>
                </m:r>
                <m:r>
                  <m:rPr>
                    <m:sty m:val="p"/>
                  </m:rPr>
                  <m:t>,</m:t>
                </m:r>
                <m:acc>
                  <m:accPr>
                    <m:chr m:val="̃"/>
                  </m:accPr>
                  <m:e>
                    <m:r>
                      <m:t>y</m:t>
                    </m:r>
                  </m:e>
                </m:acc>
              </m:e>
            </m:d>
          </m:e>
        </m:d>
      </m:oMath>
      <w:r>
        <w:t xml:space="preserve"> </w:t>
      </w:r>
      <w:r>
        <w:t xml:space="preserve">denote the model’s probability assigned to the (smoothed) correct class. The focal loss multiplies each per-sample BCE by</w:t>
      </w:r>
      <w:r>
        <w:t xml:space="preserve"> </w:t>
      </w:r>
      <m:oMath>
        <m:sSup>
          <m:e>
            <m:d>
              <m:dPr>
                <m:begChr m:val="("/>
                <m:endChr m:val=")"/>
                <m:sepChr m:val=""/>
                <m:grow/>
              </m:dPr>
              <m:e>
                <m:r>
                  <m:t>1</m:t>
                </m:r>
                <m:r>
                  <m:rPr>
                    <m:sty m:val="p"/>
                  </m:rPr>
                  <m:t>−</m:t>
                </m:r>
                <m:sSub>
                  <m:e>
                    <m:r>
                      <m:t>p</m:t>
                    </m:r>
                  </m:e>
                  <m:sub>
                    <m:r>
                      <m:t>t</m:t>
                    </m:r>
                  </m:sub>
                </m:sSub>
              </m:e>
            </m:d>
          </m:e>
          <m:sup>
            <m:r>
              <m:t>γ</m:t>
            </m:r>
          </m:sup>
        </m:sSup>
      </m:oMath>
      <w:r>
        <w:t xml:space="preserve">, so well-classified examples (</w:t>
      </w:r>
      <m:oMath>
        <m:sSub>
          <m:e>
            <m:r>
              <m:t>p</m:t>
            </m:r>
          </m:e>
          <m:sub>
            <m:r>
              <m:t>t</m:t>
            </m:r>
          </m:sub>
        </m:sSub>
        <m:r>
          <m:rPr>
            <m:sty m:val="p"/>
          </m:rPr>
          <m:t>→</m:t>
        </m:r>
        <m:r>
          <m:t>1</m:t>
        </m:r>
      </m:oMath>
      <w:r>
        <w:t xml:space="preserve">) contribute vanishingly little to the gradient and the optimiser’s capacity concentrates on hard boundary cases where</w:t>
      </w:r>
      <w:r>
        <w:t xml:space="preserve"> </w:t>
      </w:r>
      <m:oMath>
        <m:sSub>
          <m:e>
            <m:r>
              <m:t>p</m:t>
            </m:r>
          </m:e>
          <m:sub>
            <m:r>
              <m:t>t</m:t>
            </m:r>
          </m:sub>
        </m:sSub>
      </m:oMath>
      <w:r>
        <w:t xml:space="preserve"> </w:t>
      </w:r>
      <w:r>
        <w:t xml:space="preserve">is small:</w:t>
      </w:r>
    </w:p>
    <w:p>
      <w:pPr>
        <w:pStyle w:val="BodyText"/>
      </w:pPr>
      <m:oMathPara>
        <m:oMathParaPr>
          <m:jc m:val="center"/>
        </m:oMathParaPr>
        <m:oMath>
          <m:sSub>
            <m:e>
              <m:r>
                <m:t>α</m:t>
              </m:r>
            </m:e>
            <m:sub>
              <m:r>
                <m:t>t</m:t>
              </m:r>
            </m:sub>
          </m:sSub>
          <m:r>
            <m:rPr>
              <m:sty m:val="p"/>
            </m:rPr>
            <m:t>=</m:t>
          </m:r>
          <m:r>
            <m:t>α</m:t>
          </m:r>
          <m:r>
            <m:rPr>
              <m:sty m:val="p"/>
            </m:rPr>
            <m:t>⋅</m:t>
          </m:r>
          <m:r>
            <m:t>y</m:t>
          </m:r>
          <m:r>
            <m:rPr>
              <m:sty m:val="p"/>
            </m:rPr>
            <m:t>+</m:t>
          </m:r>
          <m:d>
            <m:dPr>
              <m:begChr m:val="("/>
              <m:endChr m:val=")"/>
              <m:sepChr m:val=""/>
              <m:grow/>
            </m:dPr>
            <m:e>
              <m:r>
                <m:t>1</m:t>
              </m:r>
              <m:r>
                <m:rPr>
                  <m:sty m:val="p"/>
                </m:rPr>
                <m:t>−</m:t>
              </m:r>
              <m:r>
                <m:t>α</m:t>
              </m:r>
            </m:e>
          </m:d>
          <m:d>
            <m:dPr>
              <m:begChr m:val="("/>
              <m:endChr m:val=")"/>
              <m:sepChr m:val=""/>
              <m:grow/>
            </m:dPr>
            <m:e>
              <m:r>
                <m:t>1</m:t>
              </m:r>
              <m:r>
                <m:rPr>
                  <m:sty m:val="p"/>
                </m:rPr>
                <m:t>−</m:t>
              </m:r>
              <m:r>
                <m:t>y</m:t>
              </m:r>
            </m:e>
          </m:d>
          <m:r>
            <m:rPr>
              <m:sty m:val="p"/>
            </m:rPr>
            <m:t>,</m:t>
          </m:r>
        </m:oMath>
      </m:oMathPara>
    </w:p>
    <w:p>
      <w:pPr>
        <w:pStyle w:val="FirstParagraph"/>
      </w:pPr>
      <m:oMathPara>
        <m:oMathParaPr>
          <m:jc m:val="center"/>
        </m:oMathParaPr>
        <m:oMath>
          <m:sSub>
            <m:e>
              <m:r>
                <m:rPr>
                  <m:sty m:val="p"/>
                  <m:scr m:val="script"/>
                </m:rPr>
                <m:t>L</m:t>
              </m:r>
            </m:e>
            <m:sub>
              <m:r>
                <m:rPr>
                  <m:sty m:val="p"/>
                </m:rPr>
                <m:t>f</m:t>
              </m:r>
              <m:r>
                <m:rPr>
                  <m:sty m:val="p"/>
                </m:rPr>
                <m:t>o</m:t>
              </m:r>
              <m:r>
                <m:rPr>
                  <m:sty m:val="p"/>
                </m:rPr>
                <m:t>c</m:t>
              </m:r>
              <m:r>
                <m:rPr>
                  <m:sty m:val="p"/>
                </m:rPr>
                <m:t>a</m:t>
              </m:r>
              <m:r>
                <m:rPr>
                  <m:sty m:val="p"/>
                </m:rPr>
                <m:t>l</m:t>
              </m:r>
            </m:sub>
          </m:sSub>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sSub>
                <m:e>
                  <m:r>
                    <m:t>α</m:t>
                  </m:r>
                </m:e>
                <m:sub>
                  <m:r>
                    <m:t>t</m:t>
                  </m:r>
                  <m:r>
                    <m:rPr>
                      <m:sty m:val="p"/>
                    </m:rPr>
                    <m:t>,</m:t>
                  </m:r>
                  <m:r>
                    <m:t>i</m:t>
                  </m:r>
                </m:sub>
              </m:sSub>
            </m:e>
          </m:nary>
          <m:r>
            <m:t> </m:t>
          </m:r>
          <m:sSup>
            <m:e>
              <m:d>
                <m:dPr>
                  <m:begChr m:val="("/>
                  <m:endChr m:val=")"/>
                  <m:sepChr m:val=""/>
                  <m:grow/>
                </m:dPr>
                <m:e>
                  <m:r>
                    <m:t>1</m:t>
                  </m:r>
                  <m:r>
                    <m:rPr>
                      <m:sty m:val="p"/>
                    </m:rPr>
                    <m:t>−</m:t>
                  </m:r>
                  <m:sSub>
                    <m:e>
                      <m:r>
                        <m:t>p</m:t>
                      </m:r>
                    </m:e>
                    <m:sub>
                      <m:r>
                        <m:t>t</m:t>
                      </m:r>
                      <m:r>
                        <m:rPr>
                          <m:sty m:val="p"/>
                        </m:rPr>
                        <m:t>,</m:t>
                      </m:r>
                      <m:r>
                        <m:t>i</m:t>
                      </m:r>
                    </m:sub>
                  </m:sSub>
                </m:e>
              </m:d>
            </m:e>
            <m:sup>
              <m:r>
                <m:t>γ</m:t>
              </m:r>
            </m:sup>
          </m:sSup>
          <m:r>
            <m:t> </m:t>
          </m:r>
          <m:r>
            <m:rPr>
              <m:sty m:val="p"/>
            </m:rPr>
            <m:t>B</m:t>
          </m:r>
          <m:r>
            <m:rPr>
              <m:sty m:val="p"/>
            </m:rPr>
            <m:t>C</m:t>
          </m:r>
          <m:r>
            <m:rPr>
              <m:sty m:val="p"/>
            </m:rPr>
            <m:t>E</m:t>
          </m:r>
          <m:d>
            <m:dPr>
              <m:begChr m:val="("/>
              <m:endChr m:val=")"/>
              <m:sepChr m:val=""/>
              <m:grow/>
            </m:dPr>
            <m:e>
              <m:sSub>
                <m:e>
                  <m:r>
                    <m:t>z</m:t>
                  </m:r>
                </m:e>
                <m:sub>
                  <m:r>
                    <m:t>i</m:t>
                  </m:r>
                </m:sub>
              </m:sSub>
              <m:r>
                <m:rPr>
                  <m:sty m:val="p"/>
                </m:rPr>
                <m:t>,</m:t>
              </m:r>
              <m:sSub>
                <m:e>
                  <m:acc>
                    <m:accPr>
                      <m:chr m:val="̃"/>
                    </m:accPr>
                    <m:e>
                      <m:r>
                        <m:t>y</m:t>
                      </m:r>
                    </m:e>
                  </m:acc>
                </m:e>
                <m:sub>
                  <m:r>
                    <m:t>i</m:t>
                  </m:r>
                </m:sub>
              </m:sSub>
            </m:e>
          </m:d>
          <m:r>
            <m:rPr>
              <m:sty m:val="p"/>
            </m:rPr>
            <m:t>.</m:t>
          </m:r>
        </m:oMath>
      </m:oMathPara>
    </w:p>
    <w:p>
      <w:pPr>
        <w:pStyle w:val="FirstParagraph"/>
      </w:pPr>
      <w:r>
        <w:t xml:space="preserve">We fix</w:t>
      </w:r>
      <w:r>
        <w:t xml:space="preserve"> </w:t>
      </w:r>
      <m:oMath>
        <m:r>
          <m:t>γ</m:t>
        </m:r>
        <m:r>
          <m:rPr>
            <m:sty m:val="p"/>
          </m:rPr>
          <m:t>=</m:t>
        </m:r>
        <m:r>
          <m:t>2.0</m:t>
        </m:r>
      </m:oMath>
      <w:r>
        <w:t xml:space="preserve"> </w:t>
      </w:r>
      <w:r>
        <w:t xml:space="preserve">(the standard focal exponent) and</w:t>
      </w:r>
      <w:r>
        <w:t xml:space="preserve"> </w:t>
      </w:r>
      <m:oMath>
        <m:r>
          <m:t>ε</m:t>
        </m:r>
        <m:r>
          <m:rPr>
            <m:sty m:val="p"/>
          </m:rPr>
          <m:t>=</m:t>
        </m:r>
        <m:r>
          <m:t>0.05</m:t>
        </m:r>
      </m:oMath>
      <w:r>
        <w:t xml:space="preserve">, and we deliberately fix</w:t>
      </w:r>
      <w:r>
        <w:t xml:space="preserve"> </w:t>
      </w:r>
      <m:oMath>
        <m:r>
          <m:t>α</m:t>
        </m:r>
        <m:r>
          <m:rPr>
            <m:sty m:val="p"/>
          </m:rPr>
          <m:t>=</m:t>
        </m:r>
        <m:r>
          <m:t>0.50</m:t>
        </m:r>
      </m:oMath>
      <w:r>
        <w:t xml:space="preserve"> </w:t>
      </w:r>
      <w:r>
        <w:t xml:space="preserve">— the</w:t>
      </w:r>
      <w:r>
        <w:t xml:space="preserve"> </w:t>
      </w:r>
      <w:r>
        <w:rPr>
          <w:iCs/>
          <w:i/>
        </w:rPr>
        <w:t xml:space="preserve">neutral</w:t>
      </w:r>
      <w:r>
        <w:t xml:space="preserve"> </w:t>
      </w:r>
      <w:r>
        <w:t xml:space="preserve">value — rather than the imbalance-compensating</w:t>
      </w:r>
      <w:r>
        <w:t xml:space="preserve"> </w:t>
      </w:r>
      <m:oMath>
        <m:r>
          <m:t>α</m:t>
        </m:r>
        <m:r>
          <m:rPr>
            <m:sty m:val="p"/>
          </m:rPr>
          <m:t>≳</m:t>
        </m:r>
        <m:r>
          <m:t>0.75</m:t>
        </m:r>
      </m:oMath>
      <w:r>
        <w:t xml:space="preserve"> </w:t>
      </w:r>
      <w:r>
        <w:t xml:space="preserve">that would double the effect of the sampler. The WeightedRandomSampler (Section 3.4.2) already delivers class-balanced batches; forcing</w:t>
      </w:r>
      <w:r>
        <w:t xml:space="preserve"> </w:t>
      </w:r>
      <m:oMath>
        <m:r>
          <m:t>α</m:t>
        </m:r>
      </m:oMath>
      <w:r>
        <w:t xml:space="preserve"> </w:t>
      </w:r>
      <w:r>
        <w:t xml:space="preserve">to further upweight the minority class would over-compensate and destabilise minority-class precision. Under this decomposition, the sampler is responsible for class-level balance and the focal</w:t>
      </w:r>
      <w:r>
        <w:t xml:space="preserve"> </w:t>
      </w:r>
      <m:oMath>
        <m:r>
          <m:t>γ</m:t>
        </m:r>
      </m:oMath>
      <w:r>
        <w:t xml:space="preserve"> </w:t>
      </w:r>
      <w:r>
        <w:t xml:space="preserve">is responsible for example-level difficulty focus.</w:t>
      </w:r>
    </w:p>
    <w:bookmarkEnd w:id="48"/>
    <w:bookmarkStart w:id="49" w:name="out-of-fold-threshold-selection"/>
    <w:p>
      <w:pPr>
        <w:pStyle w:val="Heading3"/>
      </w:pPr>
      <w:r>
        <w:t xml:space="preserve">3.4.4 Out-of-fold threshold selection</w:t>
      </w:r>
    </w:p>
    <w:p>
      <w:pPr>
        <w:pStyle w:val="FirstParagraph"/>
      </w:pPr>
      <w:r>
        <w:t xml:space="preserve">Because the validation partition is absorbed into the development set for 5-fold cross-validation (dev = train + val = 4,669 molecules; test = 825 molecules, held out), no independent, model-blind validation set remains for selecting the operating threshold. A threshold selected on any single fold’s validation partition would be biased by that fold’s model choices. We therefore select the operating threshold from the aggregated</w:t>
      </w:r>
      <w:r>
        <w:t xml:space="preserve"> </w:t>
      </w:r>
      <w:r>
        <w:rPr>
          <w:bCs/>
          <w:b/>
        </w:rPr>
        <w:t xml:space="preserve">out-of-fold (OOF)</w:t>
      </w:r>
      <w:r>
        <w:t xml:space="preserve"> </w:t>
      </w:r>
      <w:r>
        <w:t xml:space="preserve">predictions: for each dev-set molecule</w:t>
      </w:r>
      <w:r>
        <w:t xml:space="preserve"> </w:t>
      </w:r>
      <m:oMath>
        <m:r>
          <m:t>m</m:t>
        </m:r>
      </m:oMath>
      <w:r>
        <w:t xml:space="preserve">, the prediction</w:t>
      </w:r>
      <w:r>
        <w:t xml:space="preserve"> </w:t>
      </w:r>
      <m:oMath>
        <m:acc>
          <m:accPr>
            <m:chr m:val="̂"/>
          </m:accPr>
          <m:e>
            <m:r>
              <m:t>p</m:t>
            </m:r>
          </m:e>
        </m:acc>
        <m:d>
          <m:dPr>
            <m:begChr m:val="("/>
            <m:endChr m:val=")"/>
            <m:sepChr m:val=""/>
            <m:grow/>
          </m:dPr>
          <m:e>
            <m:r>
              <m:t>m</m:t>
            </m:r>
          </m:e>
        </m:d>
      </m:oMath>
      <w:r>
        <w:t xml:space="preserve"> </w:t>
      </w:r>
      <w:r>
        <w:t xml:space="preserve">used for threshold selection is produced by the fold-</w:t>
      </w:r>
      <m:oMath>
        <m:r>
          <m:t>k</m:t>
        </m:r>
      </m:oMath>
      <w:r>
        <w:t xml:space="preserve"> </w:t>
      </w:r>
      <w:r>
        <w:t xml:space="preserve">model where</w:t>
      </w:r>
      <w:r>
        <w:t xml:space="preserve"> </w:t>
      </w:r>
      <m:oMath>
        <m:r>
          <m:t>m</m:t>
        </m:r>
      </m:oMath>
      <w:r>
        <w:t xml:space="preserve"> </w:t>
      </w:r>
      <w:r>
        <w:t xml:space="preserve">was in the held-out fold, and</w:t>
      </w:r>
      <w:r>
        <w:t xml:space="preserve"> </w:t>
      </w:r>
      <m:oMath>
        <m:r>
          <m:t>m</m:t>
        </m:r>
      </m:oMath>
      <w:r>
        <w:t xml:space="preserve"> </w:t>
      </w:r>
      <w:r>
        <w:t xml:space="preserve">was therefore never seen during training. The OOF-derived threshold is the only statistically unbiased choice under the K-fold protocol.</w:t>
      </w:r>
    </w:p>
    <w:p>
      <w:pPr>
        <w:pStyle w:val="BodyText"/>
      </w:pPr>
      <w:r>
        <w:t xml:space="preserve">Two OOF thresholds are computed for two distinct downstream purposes:</w:t>
      </w:r>
    </w:p>
    <w:p>
      <w:pPr>
        <w:numPr>
          <w:ilvl w:val="0"/>
          <w:numId w:val="1001"/>
        </w:numPr>
        <w:pStyle w:val="Compact"/>
      </w:pPr>
      <w:r>
        <w:rPr>
          <w:bCs/>
          <w:b/>
        </w:rPr>
        <w:t xml:space="preserve">CV metric table (Section 4.2, Table 8):</w:t>
      </w:r>
      <w:r>
        <w:t xml:space="preserve"> </w:t>
      </w:r>
      <w:r>
        <w:t xml:space="preserve">the threshold maximising F1-score on the OOF predictions, giving a single operating point at which all 13 metrics can be reported consistently across folds. This threshold was 0.4301.</w:t>
      </w:r>
    </w:p>
    <w:p>
      <w:pPr>
        <w:numPr>
          <w:ilvl w:val="0"/>
          <w:numId w:val="1001"/>
        </w:numPr>
        <w:pStyle w:val="Compact"/>
      </w:pPr>
      <w:r>
        <w:rPr>
          <w:bCs/>
          <w:b/>
        </w:rPr>
        <w:t xml:space="preserve">Final held-out test evaluation (Section 4.4):</w:t>
      </w:r>
      <w:r>
        <w:t xml:space="preserve"> </w:t>
      </w:r>
      <w:r>
        <w:t xml:space="preserve">the threshold maximising Matthews Correlation Coefficient (MCC) on the OOF predictions, giving the imbalance-robust operating point most defensible for a single reported test-set operating configuration. This threshold was 0.430 with an OOF MCC of 0.7881.</w:t>
      </w:r>
    </w:p>
    <w:p>
      <w:pPr>
        <w:pStyle w:val="FirstParagraph"/>
      </w:pPr>
      <w:r>
        <w:t xml:space="preserve">In both cases the threshold lies well below the na"ive 0.5 default — a direct consequence of the class imbalance, and a further indication that class-blind default thresholds should not be assumed appropriate for imbalanced classification.</w:t>
      </w:r>
    </w:p>
    <w:bookmarkEnd w:id="49"/>
    <w:bookmarkStart w:id="50" w:name="imbalance-aware-evaluation"/>
    <w:p>
      <w:pPr>
        <w:pStyle w:val="Heading3"/>
      </w:pPr>
      <w:r>
        <w:t xml:space="preserve">3.4.5 Imbalance-aware evaluation</w:t>
      </w:r>
    </w:p>
    <w:p>
      <w:pPr>
        <w:pStyle w:val="FirstParagraph"/>
      </w:pPr>
      <w:r>
        <w:t xml:space="preserve">Aggregate accuracy is uninformative under 79%/21% imbalance: a trivial always-active classifier achieves 79% accuracy while completely failing the minority class. We therefore report a 13-metric panel (Section 4.2) that includes several metrics explicitly designed to be robust to class imbalance: Balanced Accuracy (the arithmetic mean of sensitivity and specificity, neutralising majority-class dominance), the Matthews Correlation Coefficient (a bounded correlation coefficient between predicted and true labels that penalises errors on either class), area under the precision–recall curve (AUPRC, more sensitive than ROC-AUC when the minority class is small), Cohen’s</w:t>
      </w:r>
      <w:r>
        <w:t xml:space="preserve"> </w:t>
      </w:r>
      <m:oMath>
        <m:r>
          <m:t>κ</m:t>
        </m:r>
      </m:oMath>
      <w:r>
        <w:t xml:space="preserve"> </w:t>
      </w:r>
      <w:r>
        <w:t xml:space="preserve">(chance-corrected agreement), Brier score (probabilistic calibration), and per-class precision, recall, and specificity from the confusion matrix. This panel is designed to expose degradation modes that accuracy alone would hide.</w:t>
      </w:r>
    </w:p>
    <w:bookmarkEnd w:id="50"/>
    <w:bookmarkEnd w:id="51"/>
    <w:bookmarkStart w:id="60" w:name="overfitting-prevention"/>
    <w:p>
      <w:pPr>
        <w:pStyle w:val="Heading2"/>
      </w:pPr>
      <w:r>
        <w:t xml:space="preserve">3.5 Overfitting Prevention</w:t>
      </w:r>
    </w:p>
    <w:p>
      <w:pPr>
        <w:pStyle w:val="FirstParagraph"/>
      </w:pPr>
      <w:r>
        <w:t xml:space="preserve">With</w:t>
      </w:r>
      <w:r>
        <w:t xml:space="preserve"> </w:t>
      </w:r>
      <m:oMath>
        <m:r>
          <m:rPr>
            <m:sty m:val="p"/>
          </m:rPr>
          <m:t>≈</m:t>
        </m:r>
        <m:r>
          <m:t>5</m:t>
        </m:r>
        <m:r>
          <m:rPr>
            <m:sty m:val="p"/>
          </m:rPr>
          <m:t>,</m:t>
        </m:r>
        <m:r>
          <m:t>500</m:t>
        </m:r>
      </m:oMath>
      <w:r>
        <w:t xml:space="preserve"> </w:t>
      </w:r>
      <w:r>
        <w:t xml:space="preserve">training examples and a model that inherits an</w:t>
      </w:r>
      <w:r>
        <w:t xml:space="preserve"> </w:t>
      </w:r>
      <m:oMath>
        <m:r>
          <m:rPr>
            <m:sty m:val="p"/>
          </m:rPr>
          <m:t>≈</m:t>
        </m:r>
        <m:r>
          <m:t>44</m:t>
        </m:r>
      </m:oMath>
      <w:r>
        <w:t xml:space="preserve">M-parameter pretrained backbone plus additional task-specific parameters, overfitting is the dominant methodological risk. FMM applies seven distinct, complementary overfitting-prevention mechanisms.</w:t>
      </w:r>
    </w:p>
    <w:bookmarkStart w:id="52" w:name="Xcbabb7037a6bc31c1993597d6da07c40368fce3"/>
    <w:p>
      <w:pPr>
        <w:pStyle w:val="Heading3"/>
      </w:pPr>
      <w:r>
        <w:t xml:space="preserve">3.5.1 Encoder freezing and layer-wise learning-rate decay (LLRD)</w:t>
      </w:r>
    </w:p>
    <w:p>
      <w:pPr>
        <w:pStyle w:val="FirstParagraph"/>
      </w:pPr>
      <w:r>
        <w:t xml:space="preserve">As noted in Section 3.3.1, the bottom</w:t>
      </w:r>
      <w:r>
        <w:t xml:space="preserve"> </w:t>
      </w:r>
      <m:oMath>
        <m:sSub>
          <m:e>
            <m:r>
              <m:t>N</m:t>
            </m:r>
          </m:e>
          <m:sub>
            <m:r>
              <m:rPr>
                <m:sty m:val="p"/>
              </m:rPr>
              <m:t>f</m:t>
            </m:r>
            <m:r>
              <m:rPr>
                <m:sty m:val="p"/>
              </m:rPr>
              <m:t>r</m:t>
            </m:r>
            <m:r>
              <m:rPr>
                <m:sty m:val="p"/>
              </m:rPr>
              <m:t>e</m:t>
            </m:r>
            <m:r>
              <m:rPr>
                <m:sty m:val="p"/>
              </m:rPr>
              <m:t>e</m:t>
            </m:r>
            <m:r>
              <m:rPr>
                <m:sty m:val="p"/>
              </m:rPr>
              <m:t>z</m:t>
            </m:r>
            <m:r>
              <m:rPr>
                <m:sty m:val="p"/>
              </m:rPr>
              <m:t>e</m:t>
            </m:r>
          </m:sub>
        </m:sSub>
        <m:r>
          <m:rPr>
            <m:sty m:val="p"/>
          </m:rPr>
          <m:t>=</m:t>
        </m:r>
        <m:r>
          <m:t>4</m:t>
        </m:r>
      </m:oMath>
      <w:r>
        <w:t xml:space="preserve"> </w:t>
      </w:r>
      <w:r>
        <w:t xml:space="preserve">MoLFormer-XL encoder layers are frozen (</w:t>
      </w:r>
      <w:r>
        <w:rPr>
          <w:rStyle w:val="VerbatimChar"/>
        </w:rPr>
        <w:t xml:space="preserve">requires_grad = False</w:t>
      </w:r>
      <w:r>
        <w:t xml:space="preserve">) at initialisation to preserve their chemistry-pretrained representations from being overwritten by the small downstream signal. For the remaining trainable layers (top 8 encoder layers + embeddings), a Layer-wise Learning-Rate Decay is applied to the AdamW optimiser: the topmost encoder layer and the task head receive the base learning rate</w:t>
      </w:r>
      <w:r>
        <w:t xml:space="preserve"> </w:t>
      </w:r>
      <m:oMath>
        <m:sSub>
          <m:e>
            <m:r>
              <m:t>η</m:t>
            </m:r>
          </m:e>
          <m:sub>
            <m:r>
              <m:t>0</m:t>
            </m:r>
          </m:sub>
        </m:sSub>
      </m:oMath>
      <w:r>
        <w:t xml:space="preserve"> </w:t>
      </w:r>
      <w:r>
        <w:t xml:space="preserve">(the value returned by hyperparameter search), and each successively deeper encoder layer receives a rate scaled by a decay factor</w:t>
      </w:r>
      <w:r>
        <w:t xml:space="preserve"> </w:t>
      </w:r>
      <m:oMath>
        <m:r>
          <m:t>ξ</m:t>
        </m:r>
        <m:r>
          <m:rPr>
            <m:sty m:val="p"/>
          </m:rPr>
          <m:t>=</m:t>
        </m:r>
        <m:r>
          <m:t>0.95</m:t>
        </m:r>
      </m:oMath>
      <w:r>
        <w:t xml:space="preserve">. Writing</w:t>
      </w:r>
      <w:r>
        <w:t xml:space="preserve"> </w:t>
      </w:r>
      <m:oMath>
        <m:r>
          <m:rPr>
            <m:sty m:val="p"/>
          </m:rPr>
          <m:t>d</m:t>
        </m:r>
        <m:r>
          <m:rPr>
            <m:sty m:val="p"/>
          </m:rPr>
          <m:t>e</m:t>
        </m:r>
        <m:r>
          <m:rPr>
            <m:sty m:val="p"/>
          </m:rPr>
          <m:t>p</m:t>
        </m:r>
        <m:r>
          <m:rPr>
            <m:sty m:val="p"/>
          </m:rPr>
          <m:t>t</m:t>
        </m:r>
        <m:r>
          <m:rPr>
            <m:sty m:val="p"/>
          </m:rPr>
          <m:t>h</m:t>
        </m:r>
        <m:d>
          <m:dPr>
            <m:begChr m:val="("/>
            <m:endChr m:val=")"/>
            <m:sepChr m:val=""/>
            <m:grow/>
          </m:dPr>
          <m:e>
            <m:r>
              <m:rPr>
                <m:sty m:val="p"/>
              </m:rPr>
              <m:t>ℓ</m:t>
            </m:r>
          </m:e>
        </m:d>
        <m:r>
          <m:rPr>
            <m:sty m:val="p"/>
          </m:rPr>
          <m:t>=</m:t>
        </m:r>
        <m:r>
          <m:t>L</m:t>
        </m:r>
        <m:r>
          <m:rPr>
            <m:sty m:val="p"/>
          </m:rPr>
          <m:t>−</m:t>
        </m:r>
        <m:r>
          <m:rPr>
            <m:sty m:val="p"/>
          </m:rPr>
          <m:t>ℓ</m:t>
        </m:r>
      </m:oMath>
      <w:r>
        <w:t xml:space="preserve"> </w:t>
      </w:r>
      <w:r>
        <w:t xml:space="preserve">for the distance of layer</w:t>
      </w:r>
      <w:r>
        <w:t xml:space="preserve"> </w:t>
      </w:r>
      <m:oMath>
        <m:r>
          <m:rPr>
            <m:sty m:val="p"/>
          </m:rPr>
          <m:t>ℓ</m:t>
        </m:r>
      </m:oMath>
      <w:r>
        <w:t xml:space="preserve"> </w:t>
      </w:r>
      <w:r>
        <w:t xml:space="preserve">from the top of the encoder (so the top layer has depth 0):</w:t>
      </w:r>
    </w:p>
    <w:p>
      <w:pPr>
        <w:pStyle w:val="BodyText"/>
      </w:pPr>
      <m:oMathPara>
        <m:oMathParaPr>
          <m:jc m:val="center"/>
        </m:oMathParaPr>
        <m:oMath>
          <m:sSub>
            <m:e>
              <m:r>
                <m:t>η</m:t>
              </m:r>
            </m:e>
            <m:sub>
              <m:r>
                <m:rPr>
                  <m:sty m:val="p"/>
                </m:rPr>
                <m:t>ℓ</m:t>
              </m:r>
            </m:sub>
          </m:sSub>
          <m:r>
            <m:rPr>
              <m:sty m:val="p"/>
            </m:rPr>
            <m:t>=</m:t>
          </m:r>
          <m:sSub>
            <m:e>
              <m:r>
                <m:t>η</m:t>
              </m:r>
            </m:e>
            <m:sub>
              <m:r>
                <m:t>0</m:t>
              </m:r>
            </m:sub>
          </m:sSub>
          <m:r>
            <m:rPr>
              <m:sty m:val="p"/>
            </m:rPr>
            <m:t>⋅</m:t>
          </m:r>
          <m:sSup>
            <m:e>
              <m:r>
                <m:t>ξ</m:t>
              </m:r>
            </m:e>
            <m:sup>
              <m:r>
                <m:t> </m:t>
              </m:r>
              <m:r>
                <m:rPr>
                  <m:sty m:val="p"/>
                </m:rPr>
                <m:t>d</m:t>
              </m:r>
              <m:r>
                <m:rPr>
                  <m:sty m:val="p"/>
                </m:rPr>
                <m:t>e</m:t>
              </m:r>
              <m:r>
                <m:rPr>
                  <m:sty m:val="p"/>
                </m:rPr>
                <m:t>p</m:t>
              </m:r>
              <m:r>
                <m:rPr>
                  <m:sty m:val="p"/>
                </m:rPr>
                <m:t>t</m:t>
              </m:r>
              <m:r>
                <m:rPr>
                  <m:sty m:val="p"/>
                </m:rPr>
                <m:t>h</m:t>
              </m:r>
              <m:d>
                <m:dPr>
                  <m:begChr m:val="("/>
                  <m:endChr m:val=")"/>
                  <m:sepChr m:val=""/>
                  <m:grow/>
                </m:dPr>
                <m:e>
                  <m:r>
                    <m:rPr>
                      <m:sty m:val="p"/>
                    </m:rPr>
                    <m:t>ℓ</m:t>
                  </m:r>
                </m:e>
              </m:d>
            </m:sup>
          </m:sSup>
          <m:r>
            <m:rPr>
              <m:sty m:val="p"/>
            </m:rPr>
            <m:t>.</m:t>
          </m:r>
        </m:oMath>
      </m:oMathPara>
    </w:p>
    <w:p>
      <w:pPr>
        <w:pStyle w:val="FirstParagraph"/>
      </w:pPr>
      <w:r>
        <w:t xml:space="preserve">Embeddings are treated as depth</w:t>
      </w:r>
      <w:r>
        <w:t xml:space="preserve"> </w:t>
      </w:r>
      <m:oMath>
        <m:r>
          <m:t>L</m:t>
        </m:r>
      </m:oMath>
      <w:r>
        <w:t xml:space="preserve"> </w:t>
      </w:r>
      <w:r>
        <w:t xml:space="preserve">(</w:t>
      </w:r>
      <m:oMath>
        <m:r>
          <m:rPr>
            <m:sty m:val="p"/>
          </m:rPr>
          <m:t>=</m:t>
        </m:r>
        <m:r>
          <m:t>12</m:t>
        </m:r>
      </m:oMath>
      <w:r>
        <w:t xml:space="preserve">) and receive</w:t>
      </w:r>
      <w:r>
        <w:t xml:space="preserve"> </w:t>
      </w:r>
      <m:oMath>
        <m:sSub>
          <m:e>
            <m:r>
              <m:t>η</m:t>
            </m:r>
          </m:e>
          <m:sub>
            <m:r>
              <m:rPr>
                <m:sty m:val="p"/>
              </m:rPr>
              <m:t>e</m:t>
            </m:r>
            <m:r>
              <m:rPr>
                <m:sty m:val="p"/>
              </m:rPr>
              <m:t>m</m:t>
            </m:r>
            <m:r>
              <m:rPr>
                <m:sty m:val="p"/>
              </m:rPr>
              <m:t>b</m:t>
            </m:r>
          </m:sub>
        </m:sSub>
        <m:r>
          <m:rPr>
            <m:sty m:val="p"/>
          </m:rPr>
          <m:t>=</m:t>
        </m:r>
        <m:sSub>
          <m:e>
            <m:r>
              <m:t>η</m:t>
            </m:r>
          </m:e>
          <m:sub>
            <m:r>
              <m:t>0</m:t>
            </m:r>
          </m:sub>
        </m:sSub>
        <m:r>
          <m:rPr>
            <m:sty m:val="p"/>
          </m:rPr>
          <m:t>⋅</m:t>
        </m:r>
        <m:sSup>
          <m:e>
            <m:r>
              <m:t>ξ</m:t>
            </m:r>
          </m:e>
          <m:sup>
            <m:r>
              <m:t>12</m:t>
            </m:r>
          </m:sup>
        </m:sSup>
      </m:oMath>
      <w:r>
        <w:t xml:space="preserve">. The intuition is that lower encoder layers encode more general, more transferable, and more overfit-prone-if-perturbed features, and therefore should move more slowly under the small downstream signal.</w:t>
      </w:r>
    </w:p>
    <w:bookmarkEnd w:id="52"/>
    <w:bookmarkStart w:id="53" w:name="dropout-with-a-tapered-schedule"/>
    <w:p>
      <w:pPr>
        <w:pStyle w:val="Heading3"/>
      </w:pPr>
      <w:r>
        <w:t xml:space="preserve">3.5.2 Dropout with a tapered schedule</w:t>
      </w:r>
    </w:p>
    <w:p>
      <w:pPr>
        <w:pStyle w:val="FirstParagraph"/>
      </w:pPr>
      <w:r>
        <w:t xml:space="preserve">Dropout is applied throughout the network: at every projection stage (Equation 8) and at every classifier hidden layer (Section 3.3.8). Within the projection heads, the first stage receives dropout</w:t>
      </w:r>
      <w:r>
        <w:t xml:space="preserve"> </w:t>
      </w:r>
      <m:oMath>
        <m:r>
          <m:t>p</m:t>
        </m:r>
        <m:r>
          <m:rPr>
            <m:sty m:val="p"/>
          </m:rPr>
          <m:t>/</m:t>
        </m:r>
        <m:r>
          <m:t>2</m:t>
        </m:r>
      </m:oMath>
      <w:r>
        <w:t xml:space="preserve"> </w:t>
      </w:r>
      <w:r>
        <w:t xml:space="preserve">and the second stage receives dropout</w:t>
      </w:r>
      <w:r>
        <w:t xml:space="preserve"> </w:t>
      </w:r>
      <m:oMath>
        <m:r>
          <m:t>p</m:t>
        </m:r>
      </m:oMath>
      <w:r>
        <w:t xml:space="preserve">; within the classifier, all hidden layers except the final one receive dropout</w:t>
      </w:r>
      <w:r>
        <w:t xml:space="preserve"> </w:t>
      </w:r>
      <m:oMath>
        <m:r>
          <m:t>p</m:t>
        </m:r>
      </m:oMath>
      <w:r>
        <w:t xml:space="preserve">, with the final hidden layer reduced to</w:t>
      </w:r>
      <w:r>
        <w:t xml:space="preserve"> </w:t>
      </w:r>
      <m:oMath>
        <m:r>
          <m:t>p</m:t>
        </m:r>
        <m:r>
          <m:rPr>
            <m:sty m:val="p"/>
          </m:rPr>
          <m:t>/</m:t>
        </m:r>
        <m:r>
          <m:t>2</m:t>
        </m:r>
      </m:oMath>
      <w:r>
        <w:t xml:space="preserve">. The tapering rationale is symmetric: at the input side, dropping half the initial projection risks starving the downstream layers before they are stabilised by LayerNorm; at the output side, aggressive dropout immediately before the logit degrades gradient signal to the classifier. The rate</w:t>
      </w:r>
      <w:r>
        <w:t xml:space="preserve"> </w:t>
      </w:r>
      <m:oMath>
        <m:r>
          <m:t>p</m:t>
        </m:r>
      </m:oMath>
      <w:r>
        <w:t xml:space="preserve"> </w:t>
      </w:r>
      <w:r>
        <w:t xml:space="preserve">is selected by the hyperparameter search (Section 3.6).</w:t>
      </w:r>
    </w:p>
    <w:bookmarkEnd w:id="53"/>
    <w:bookmarkStart w:id="54" w:name="Xe229009e1722f2c2db15468cb616c9f0b241a03"/>
    <w:p>
      <w:pPr>
        <w:pStyle w:val="Heading3"/>
      </w:pPr>
      <w:r>
        <w:t xml:space="preserve">3.5.3 Weight decay with no-decay parameter groups</w:t>
      </w:r>
    </w:p>
    <w:p>
      <w:pPr>
        <w:pStyle w:val="FirstParagraph"/>
      </w:pPr>
      <w:r>
        <w:t xml:space="preserve">AdamW weight decay is applied at rate</w:t>
      </w:r>
      <w:r>
        <w:t xml:space="preserve"> </w:t>
      </w:r>
      <m:oMath>
        <m:r>
          <m:t>λ</m:t>
        </m:r>
      </m:oMath>
      <w:r>
        <w:t xml:space="preserve"> </w:t>
      </w:r>
      <w:r>
        <w:t xml:space="preserve">(selected by HPO) to weight matrices only, and set to zero for bias vectors and LayerNorm parameters. This split respects the standard advice that decaying LayerNorm’s scale and shift parameters is a form of implicit downscaling that harms calibration, and that penalising bias magnitudes has no principled regularisation interpretation.</w:t>
      </w:r>
    </w:p>
    <w:bookmarkEnd w:id="54"/>
    <w:bookmarkStart w:id="55" w:name="gradient-clipping"/>
    <w:p>
      <w:pPr>
        <w:pStyle w:val="Heading3"/>
      </w:pPr>
      <w:r>
        <w:t xml:space="preserve">3.5.4 Gradient clipping</w:t>
      </w:r>
    </w:p>
    <w:p>
      <w:pPr>
        <w:pStyle w:val="FirstParagraph"/>
      </w:pPr>
      <w:r>
        <w:t xml:space="preserve">At every optimiser step (i.e., after every gradient-accumulation window), the L2-norm of all model gradients is clipped to a maximum of 1.0 (</w:t>
      </w:r>
      <w:r>
        <w:rPr>
          <w:rStyle w:val="VerbatimChar"/>
        </w:rPr>
        <w:t xml:space="preserve">torch.nn.utils.clip_grad_norm_</w:t>
      </w:r>
      <w:r>
        <w:t xml:space="preserve">,</w:t>
      </w:r>
      <w:r>
        <w:t xml:space="preserve"> </w:t>
      </w:r>
      <w:r>
        <w:rPr>
          <w:rStyle w:val="VerbatimChar"/>
        </w:rPr>
        <w:t xml:space="preserve">max_norm = 1.0</w:t>
      </w:r>
      <w:r>
        <w:t xml:space="preserve">). This is a standard safeguard against gradient spikes that appear intermittently under mixed-precision training with focal loss on hard-boundary examples.</w:t>
      </w:r>
    </w:p>
    <w:bookmarkEnd w:id="55"/>
    <w:bookmarkStart w:id="56" w:name="on-the-fly-smiles-augmentation"/>
    <w:p>
      <w:pPr>
        <w:pStyle w:val="Heading3"/>
      </w:pPr>
      <w:r>
        <w:t xml:space="preserve">3.5.5 On-the-fly SMILES augmentation</w:t>
      </w:r>
    </w:p>
    <w:p>
      <w:pPr>
        <w:pStyle w:val="FirstParagraph"/>
      </w:pPr>
      <w:r>
        <w:t xml:space="preserve">At every training-set sample fetch, with probability 0.5, the canonical SMILES</w:t>
      </w:r>
      <w:r>
        <w:t xml:space="preserve"> </w:t>
      </w:r>
      <m:oMath>
        <m:r>
          <m:t>s</m:t>
        </m:r>
        <m:d>
          <m:dPr>
            <m:begChr m:val="("/>
            <m:endChr m:val=")"/>
            <m:sepChr m:val=""/>
            <m:grow/>
          </m:dPr>
          <m:e>
            <m:r>
              <m:t>m</m:t>
            </m:r>
          </m:e>
        </m:d>
      </m:oMath>
      <w:r>
        <w:t xml:space="preserve"> </w:t>
      </w:r>
      <w:r>
        <w:t xml:space="preserve">is replaced by a randomised non-canonical SMILES string generated by RDKit’s</w:t>
      </w:r>
      <w:r>
        <w:t xml:space="preserve"> </w:t>
      </w:r>
      <w:r>
        <w:rPr>
          <w:rStyle w:val="VerbatimChar"/>
        </w:rPr>
        <w:t xml:space="preserve">Chem.MolToSmiles(mol, doRandom=True, canonical=False)</w:t>
      </w:r>
      <w:r>
        <w:t xml:space="preserve">. The resulting string represents the same molecule but starts atom-writing from a different position and traverses branches in a different order, producing a token sequence that is syntactically distinct from the canonical form but semantically identical. This is a chemistry-specific data augmentation exploiting the non-uniqueness of SMILES notation, and it substantially expands the effective sequence-training corpus without changing the underlying molecular set. The augmented string is re-tokenised on the fly.</w:t>
      </w:r>
    </w:p>
    <w:bookmarkEnd w:id="56"/>
    <w:bookmarkStart w:id="57" w:name="early-stopping"/>
    <w:p>
      <w:pPr>
        <w:pStyle w:val="Heading3"/>
      </w:pPr>
      <w:r>
        <w:t xml:space="preserve">3.5.6 Early stopping</w:t>
      </w:r>
    </w:p>
    <w:p>
      <w:pPr>
        <w:pStyle w:val="FirstParagraph"/>
      </w:pPr>
      <w:r>
        <w:t xml:space="preserve">Training is monitored on the held-out (fold) validation AUROC. If the validation AUROC fails to improve on its running best for</w:t>
      </w:r>
      <w:r>
        <w:t xml:space="preserve"> </w:t>
      </w:r>
      <m:oMath>
        <m:r>
          <m:t>P</m:t>
        </m:r>
        <m:r>
          <m:rPr>
            <m:sty m:val="p"/>
          </m:rPr>
          <m:t>=</m:t>
        </m:r>
        <m:r>
          <m:t>12</m:t>
        </m:r>
      </m:oMath>
      <w:r>
        <w:t xml:space="preserve"> </w:t>
      </w:r>
      <w:r>
        <w:t xml:space="preserve">consecutive epochs, training terminates. Early stopping is applied identically in single-split training (patience 12 out of 60 epochs) and in every fold of the 5-fold cross-validation (patience 12 out of 50 epochs). Empirically, no fold in the reported CV run required more than 36 epochs to trigger early stopping.</w:t>
      </w:r>
    </w:p>
    <w:bookmarkEnd w:id="57"/>
    <w:bookmarkStart w:id="58" w:name="k-fold-cross-validation-with-ensembling"/>
    <w:p>
      <w:pPr>
        <w:pStyle w:val="Heading3"/>
      </w:pPr>
      <w:r>
        <w:t xml:space="preserve">3.5.7 K-fold cross-validation with ensembling</w:t>
      </w:r>
    </w:p>
    <w:p>
      <w:pPr>
        <w:pStyle w:val="FirstParagraph"/>
      </w:pPr>
      <w:r>
        <w:t xml:space="preserve">Five stratified folds are trained, each producing an independent model checkpoint (selected by best validation AUROC on that fold’s held-out partition). This yields simultaneously (i) five noise-different point estimates of generalisation from which we compute mean, standard deviation, and 95% confidence intervals for every reported metric, (ii) an unbiased out-of-fold prediction on every dev-set molecule (Section 3.4.4), and (iii) a five-model ensemble at test time. The test-set prediction for molecule</w:t>
      </w:r>
      <w:r>
        <w:t xml:space="preserve"> </w:t>
      </w:r>
      <m:oMath>
        <m:r>
          <m:t>m</m:t>
        </m:r>
      </m:oMath>
      <w:r>
        <w:t xml:space="preserve"> </w:t>
      </w:r>
      <w:r>
        <w:t xml:space="preserve">is:</w:t>
      </w:r>
    </w:p>
    <w:p>
      <w:pPr>
        <w:pStyle w:val="BodyText"/>
      </w:pPr>
      <m:oMathPara>
        <m:oMathParaPr>
          <m:jc m:val="center"/>
        </m:oMathParaPr>
        <m:oMath>
          <m:sSub>
            <m:e>
              <m:acc>
                <m:accPr>
                  <m:chr m:val="̂"/>
                </m:accPr>
                <m:e>
                  <m:r>
                    <m:t>p</m:t>
                  </m:r>
                </m:e>
              </m:acc>
            </m:e>
            <m:sub>
              <m:r>
                <m:rPr>
                  <m:sty m:val="p"/>
                </m:rPr>
                <m:t>e</m:t>
              </m:r>
              <m:r>
                <m:rPr>
                  <m:sty m:val="p"/>
                </m:rPr>
                <m:t>n</m:t>
              </m:r>
              <m:r>
                <m:rPr>
                  <m:sty m:val="p"/>
                </m:rPr>
                <m:t>s</m:t>
              </m:r>
            </m:sub>
          </m:sSub>
          <m:d>
            <m:dPr>
              <m:begChr m:val="("/>
              <m:endChr m:val=")"/>
              <m:sepChr m:val=""/>
              <m:grow/>
            </m:dPr>
            <m:e>
              <m:r>
                <m:t>m</m:t>
              </m:r>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σ</m:t>
              </m:r>
            </m:e>
          </m:nary>
          <m:r>
            <m:t>​</m:t>
          </m:r>
          <m:d>
            <m:dPr>
              <m:begChr m:val="("/>
              <m:endChr m:val=")"/>
              <m:sepChr m:val=""/>
              <m:grow/>
            </m:dPr>
            <m:e>
              <m:sSub>
                <m:e>
                  <m:r>
                    <m:t>z</m:t>
                  </m:r>
                </m:e>
                <m:sub>
                  <m:r>
                    <m:t>k</m:t>
                  </m:r>
                </m:sub>
              </m:sSub>
              <m:d>
                <m:dPr>
                  <m:begChr m:val="("/>
                  <m:endChr m:val=")"/>
                  <m:sepChr m:val=""/>
                  <m:grow/>
                </m:dPr>
                <m:e>
                  <m:r>
                    <m:t>m</m:t>
                  </m:r>
                </m:e>
              </m:d>
            </m:e>
          </m:d>
          <m:r>
            <m:rPr>
              <m:sty m:val="p"/>
            </m:rPr>
            <m:t>,</m:t>
          </m:r>
        </m:oMath>
      </m:oMathPara>
    </w:p>
    <w:p>
      <w:pPr>
        <w:pStyle w:val="FirstParagraph"/>
      </w:pPr>
      <w:r>
        <w:t xml:space="preserve">where</w:t>
      </w:r>
      <w:r>
        <w:t xml:space="preserve"> </w:t>
      </w:r>
      <m:oMath>
        <m:sSub>
          <m:e>
            <m:r>
              <m:t>z</m:t>
            </m:r>
          </m:e>
          <m:sub>
            <m:r>
              <m:t>k</m:t>
            </m:r>
          </m:sub>
        </m:sSub>
      </m:oMath>
      <w:r>
        <w:t xml:space="preserve"> </w:t>
      </w:r>
      <w:r>
        <w:t xml:space="preserve">is the logit produced by fold-</w:t>
      </w:r>
      <m:oMath>
        <m:r>
          <m:t>k</m:t>
        </m:r>
      </m:oMath>
      <w:r>
        <w:t xml:space="preserve">’s model. Averaging fold predictions reduces variance of the point estimate at negligible additional inference cost (no test-time augmentation is used), and typically produces a small improvement on the ROC-AUC of any single fold’s model — as observed in the reported results (Section 4.4).</w:t>
      </w:r>
    </w:p>
    <w:bookmarkEnd w:id="58"/>
    <w:bookmarkStart w:id="59" w:name="held-out-test-set"/>
    <w:p>
      <w:pPr>
        <w:pStyle w:val="Heading3"/>
      </w:pPr>
      <w:r>
        <w:t xml:space="preserve">3.5.8 Held-out test set</w:t>
      </w:r>
    </w:p>
    <w:p>
      <w:pPr>
        <w:pStyle w:val="FirstParagraph"/>
      </w:pPr>
      <w:r>
        <w:t xml:space="preserve">The 825-molecule test partition is never observed during hyperparameter search, model training, validation-metric monitoring, checkpoint selection, threshold selection, or any other aspect of model development. It is used exactly once, after all K-fold models and the OOF-based threshold have been finalised, to produce the numbers reported in Section 4.4. We emphasise this explicitly because the sole assurance that reported test-set performance is not the product of implicit test-set adaptation is that no gradient, no metric, and no selection decision ever conditioned on it.</w:t>
      </w:r>
    </w:p>
    <w:bookmarkEnd w:id="59"/>
    <w:bookmarkEnd w:id="60"/>
    <w:bookmarkStart w:id="64" w:name="hyperparameter-optimization"/>
    <w:p>
      <w:pPr>
        <w:pStyle w:val="Heading2"/>
      </w:pPr>
      <w:r>
        <w:t xml:space="preserve">3.6 Hyperparameter Optimization</w:t>
      </w:r>
    </w:p>
    <w:p>
      <w:pPr>
        <w:pStyle w:val="FirstParagraph"/>
      </w:pPr>
      <w:r>
        <w:t xml:space="preserve">Hyperparameters were tuned with Optuna (Akiba et al., 2019). We used a TPE (Tree-structured Parzen Estimator) sampler (</w:t>
      </w:r>
      <w:r>
        <w:rPr>
          <w:rStyle w:val="VerbatimChar"/>
        </w:rPr>
        <w:t xml:space="preserve">seed = 42</w:t>
      </w:r>
      <w:r>
        <w:t xml:space="preserve">) coupled with a Hyperband pruner (</w:t>
      </w:r>
      <w:r>
        <w:rPr>
          <w:rStyle w:val="VerbatimChar"/>
        </w:rPr>
        <w:t xml:space="preserve">min_resource = 5</w:t>
      </w:r>
      <w:r>
        <w:t xml:space="preserve">,</w:t>
      </w:r>
      <w:r>
        <w:t xml:space="preserve"> </w:t>
      </w:r>
      <w:r>
        <w:rPr>
          <w:rStyle w:val="VerbatimChar"/>
        </w:rPr>
        <w:t xml:space="preserve">max_resource = 25</w:t>
      </w:r>
      <w:r>
        <w:t xml:space="preserve">,</w:t>
      </w:r>
      <w:r>
        <w:t xml:space="preserve"> </w:t>
      </w:r>
      <w:r>
        <w:rPr>
          <w:rStyle w:val="VerbatimChar"/>
        </w:rPr>
        <w:t xml:space="preserve">reduction_factor = 3</w:t>
      </w:r>
      <w:r>
        <w:t xml:space="preserve">), which jointly implement a Bayesian search over the joint hyperparameter space with early termination of unpromising configurations. The optimisation budget was 40 trials with a wall-clock timeout of 4 hours. For computational efficiency, each trial was evaluated on a 50%-random subsample of the training partition (</w:t>
      </w:r>
      <w:r>
        <w:rPr>
          <w:rStyle w:val="VerbatimChar"/>
        </w:rPr>
        <w:t xml:space="preserve">train_df.sample(frac=0.5, random_state=42)</w:t>
      </w:r>
      <w:r>
        <w:t xml:space="preserve">) while the full validation partition was used to score each trial — a deliberate trade-off between per-trial fidelity and the number of hyperparameter configurations that could be evaluated within the budget.</w:t>
      </w:r>
    </w:p>
    <w:bookmarkStart w:id="61" w:name="objective"/>
    <w:p>
      <w:pPr>
        <w:pStyle w:val="Heading3"/>
      </w:pPr>
      <w:r>
        <w:t xml:space="preserve">3.6.1 Objective</w:t>
      </w:r>
    </w:p>
    <w:p>
      <w:pPr>
        <w:pStyle w:val="FirstParagraph"/>
      </w:pPr>
      <w:r>
        <w:t xml:space="preserve">The primary optimisation objective was ROC-AUC on the validation partition (best over all epochs within a trial, subject to the trial’s own 5-epoch early stopping). ROC-AUC was chosen deliberately over accuracy or F1 because it is (i) threshold-independent — appropriate when the final operating threshold is selected separately from the trained model (Section 3.4.4), and (ii) more robust to class imbalance than accuracy, though we note that for very small minority classes AUPRC would be preferred; ROC-AUC was sufficient at the 79/21 imbalance ratio present here.</w:t>
      </w:r>
    </w:p>
    <w:bookmarkEnd w:id="61"/>
    <w:bookmarkStart w:id="62" w:name="search-space"/>
    <w:p>
      <w:pPr>
        <w:pStyle w:val="Heading3"/>
      </w:pPr>
      <w:r>
        <w:t xml:space="preserve">3.6.2 Search space</w:t>
      </w:r>
    </w:p>
    <w:p>
      <w:pPr>
        <w:pStyle w:val="FirstParagraph"/>
      </w:pPr>
      <w:r>
        <w:rPr>
          <w:bCs/>
          <w:b/>
        </w:rPr>
        <w:t xml:space="preserve">Table 8.</w:t>
      </w:r>
      <w:r>
        <w:t xml:space="preserve"> </w:t>
      </w:r>
      <w:r>
        <w:rPr>
          <w:iCs/>
          <w:i/>
        </w:rPr>
        <w:t xml:space="preserve">Optuna hyperparameter search space. Distribution codes:</w:t>
      </w:r>
      <w:r>
        <w:rPr>
          <w:iCs/>
          <w:i/>
        </w:rPr>
        <w:t xml:space="preserve"> </w:t>
      </w:r>
      <w:r>
        <w:rPr>
          <w:rStyle w:val="VerbatimChar"/>
          <w:iCs/>
          <w:i/>
        </w:rPr>
        <w:t xml:space="preserve">Cat</w:t>
      </w:r>
      <w:r>
        <w:rPr>
          <w:iCs/>
          <w:i/>
        </w:rPr>
        <w:t xml:space="preserve"> </w:t>
      </w:r>
      <w:r>
        <w:rPr>
          <w:iCs/>
          <w:i/>
        </w:rPr>
        <w:t xml:space="preserve">= categorical,</w:t>
      </w:r>
      <w:r>
        <w:rPr>
          <w:iCs/>
          <w:i/>
        </w:rPr>
        <w:t xml:space="preserve"> </w:t>
      </w:r>
      <w:r>
        <w:rPr>
          <w:rStyle w:val="VerbatimChar"/>
          <w:iCs/>
          <w:i/>
        </w:rPr>
        <w:t xml:space="preserve">Int</w:t>
      </w:r>
      <w:r>
        <w:rPr>
          <w:iCs/>
          <w:i/>
        </w:rPr>
        <w:t xml:space="preserve"> </w:t>
      </w:r>
      <w:r>
        <w:rPr>
          <w:iCs/>
          <w:i/>
        </w:rPr>
        <w:t xml:space="preserve">= integer uniform,</w:t>
      </w:r>
      <w:r>
        <w:rPr>
          <w:iCs/>
          <w:i/>
        </w:rPr>
        <w:t xml:space="preserve"> </w:t>
      </w:r>
      <w:r>
        <w:rPr>
          <w:rStyle w:val="VerbatimChar"/>
          <w:iCs/>
          <w:i/>
        </w:rPr>
        <w:t xml:space="preserve">Float</w:t>
      </w:r>
      <w:r>
        <w:rPr>
          <w:iCs/>
          <w:i/>
        </w:rPr>
        <w:t xml:space="preserve"> </w:t>
      </w:r>
      <w:r>
        <w:rPr>
          <w:iCs/>
          <w:i/>
        </w:rPr>
        <w:t xml:space="preserve">= float uniform,</w:t>
      </w:r>
      <w:r>
        <w:rPr>
          <w:iCs/>
          <w:i/>
        </w:rPr>
        <w:t xml:space="preserve"> </w:t>
      </w:r>
      <w:r>
        <w:rPr>
          <w:rStyle w:val="VerbatimChar"/>
          <w:iCs/>
          <w:i/>
        </w:rPr>
        <w:t xml:space="preserve">Float(log)</w:t>
      </w:r>
      <w:r>
        <w:rPr>
          <w:iCs/>
          <w:i/>
        </w:rPr>
        <w:t xml:space="preserve"> </w:t>
      </w:r>
      <w:r>
        <w:rPr>
          <w:iCs/>
          <w:i/>
        </w:rPr>
        <w:t xml:space="preserve">= float uniform on the log scale.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Hyperparameter</w:t>
            </w:r>
          </w:p>
        </w:tc>
        <w:tc>
          <w:tcPr/>
          <w:p>
            <w:pPr>
              <w:pStyle w:val="Compact"/>
              <w:jc w:val="left"/>
            </w:pPr>
            <w:r>
              <w:t xml:space="preserve">Distribution</w:t>
            </w:r>
          </w:p>
        </w:tc>
        <w:tc>
          <w:tcPr/>
          <w:p>
            <w:pPr>
              <w:pStyle w:val="Compact"/>
              <w:jc w:val="left"/>
            </w:pPr>
            <w:r>
              <w:t xml:space="preserve">Values / Range</w:t>
            </w:r>
          </w:p>
        </w:tc>
      </w:tr>
      <w:tr>
        <w:tc>
          <w:tcPr/>
          <w:p>
            <w:pPr>
              <w:pStyle w:val="Compact"/>
              <w:jc w:val="left"/>
            </w:pPr>
            <w:r>
              <w:rPr>
                <w:rStyle w:val="VerbatimChar"/>
              </w:rPr>
              <w:t xml:space="preserve">num_heads</w:t>
            </w:r>
          </w:p>
        </w:tc>
        <w:tc>
          <w:tcPr/>
          <w:p>
            <w:pPr>
              <w:pStyle w:val="Compact"/>
              <w:jc w:val="left"/>
            </w:pPr>
            <w:r>
              <w:t xml:space="preserve">Cat</w:t>
            </w:r>
          </w:p>
        </w:tc>
        <w:tc>
          <w:tcPr/>
          <w:p>
            <w:pPr>
              <w:pStyle w:val="Compact"/>
              <w:jc w:val="left"/>
            </w:pPr>
            <w:r>
              <w:t xml:space="preserve">{4, 8}</w:t>
            </w:r>
          </w:p>
        </w:tc>
      </w:tr>
      <w:tr>
        <w:tc>
          <w:tcPr/>
          <w:p>
            <w:pPr>
              <w:pStyle w:val="Compact"/>
              <w:jc w:val="left"/>
            </w:pPr>
            <w:r>
              <w:rPr>
                <w:rStyle w:val="VerbatimChar"/>
              </w:rPr>
              <w:t xml:space="preserve">hidden_dim</w:t>
            </w:r>
          </w:p>
        </w:tc>
        <w:tc>
          <w:tcPr/>
          <w:p>
            <w:pPr>
              <w:pStyle w:val="Compact"/>
              <w:jc w:val="left"/>
            </w:pPr>
            <w:r>
              <w:t xml:space="preserve">Cat</w:t>
            </w:r>
          </w:p>
        </w:tc>
        <w:tc>
          <w:tcPr/>
          <w:p>
            <w:pPr>
              <w:pStyle w:val="Compact"/>
              <w:jc w:val="left"/>
            </w:pPr>
            <w:r>
              <w:t xml:space="preserve">{256, 512}</w:t>
            </w:r>
          </w:p>
        </w:tc>
      </w:tr>
      <w:tr>
        <w:tc>
          <w:tcPr/>
          <w:p>
            <w:pPr>
              <w:pStyle w:val="Compact"/>
              <w:jc w:val="left"/>
            </w:pPr>
            <w:r>
              <w:rPr>
                <w:rStyle w:val="VerbatimChar"/>
              </w:rPr>
              <w:t xml:space="preserve">dropout</w:t>
            </w:r>
          </w:p>
        </w:tc>
        <w:tc>
          <w:tcPr/>
          <w:p>
            <w:pPr>
              <w:pStyle w:val="Compact"/>
              <w:jc w:val="left"/>
            </w:pPr>
            <w:r>
              <w:t xml:space="preserve">Float</w:t>
            </w:r>
          </w:p>
        </w:tc>
        <w:tc>
          <w:tcPr/>
          <w:p>
            <w:pPr>
              <w:pStyle w:val="Compact"/>
              <w:jc w:val="left"/>
            </w:pPr>
            <w:r>
              <w:t xml:space="preserve">[0.1, 0.4], step 0.1</w:t>
            </w:r>
          </w:p>
        </w:tc>
      </w:tr>
      <w:tr>
        <w:tc>
          <w:tcPr/>
          <w:p>
            <w:pPr>
              <w:pStyle w:val="Compact"/>
              <w:jc w:val="left"/>
            </w:pPr>
            <w:r>
              <w:rPr>
                <w:rStyle w:val="VerbatimChar"/>
              </w:rPr>
              <w:t xml:space="preserve">num_classifier_layers</w:t>
            </w:r>
          </w:p>
        </w:tc>
        <w:tc>
          <w:tcPr/>
          <w:p>
            <w:pPr>
              <w:pStyle w:val="Compact"/>
              <w:jc w:val="left"/>
            </w:pPr>
            <w:r>
              <w:t xml:space="preserve">Int</w:t>
            </w:r>
          </w:p>
        </w:tc>
        <w:tc>
          <w:tcPr/>
          <w:p>
            <w:pPr>
              <w:pStyle w:val="Compact"/>
              <w:jc w:val="left"/>
            </w:pPr>
            <w:r>
              <w:t xml:space="preserve">[2, 4]</w:t>
            </w:r>
          </w:p>
        </w:tc>
      </w:tr>
      <w:tr>
        <w:tc>
          <w:tcPr/>
          <w:p>
            <w:pPr>
              <w:pStyle w:val="Compact"/>
              <w:jc w:val="left"/>
            </w:pPr>
            <w:r>
              <w:rPr>
                <w:rStyle w:val="VerbatimChar"/>
              </w:rPr>
              <w:t xml:space="preserve">n_cross_layers</w:t>
            </w:r>
          </w:p>
        </w:tc>
        <w:tc>
          <w:tcPr/>
          <w:p>
            <w:pPr>
              <w:pStyle w:val="Compact"/>
              <w:jc w:val="left"/>
            </w:pPr>
            <w:r>
              <w:t xml:space="preserve">Int</w:t>
            </w:r>
          </w:p>
        </w:tc>
        <w:tc>
          <w:tcPr/>
          <w:p>
            <w:pPr>
              <w:pStyle w:val="Compact"/>
              <w:jc w:val="left"/>
            </w:pPr>
            <w:r>
              <w:t xml:space="preserve">[2, 3]</w:t>
            </w:r>
          </w:p>
        </w:tc>
      </w:tr>
      <w:tr>
        <w:tc>
          <w:tcPr/>
          <w:p>
            <w:pPr>
              <w:pStyle w:val="Compact"/>
              <w:jc w:val="left"/>
            </w:pPr>
            <w:r>
              <w:rPr>
                <w:rStyle w:val="VerbatimChar"/>
              </w:rPr>
              <w:t xml:space="preserve">batch_size</w:t>
            </w:r>
          </w:p>
        </w:tc>
        <w:tc>
          <w:tcPr/>
          <w:p>
            <w:pPr>
              <w:pStyle w:val="Compact"/>
              <w:jc w:val="left"/>
            </w:pPr>
            <w:r>
              <w:t xml:space="preserve">Cat</w:t>
            </w:r>
          </w:p>
        </w:tc>
        <w:tc>
          <w:tcPr/>
          <w:p>
            <w:pPr>
              <w:pStyle w:val="Compact"/>
              <w:jc w:val="left"/>
            </w:pPr>
            <w:r>
              <w:t xml:space="preserve">{32, 64}</w:t>
            </w:r>
          </w:p>
        </w:tc>
      </w:tr>
      <w:tr>
        <w:tc>
          <w:tcPr/>
          <w:p>
            <w:pPr>
              <w:pStyle w:val="Compact"/>
              <w:jc w:val="left"/>
            </w:pPr>
            <w:r>
              <w:rPr>
                <w:rStyle w:val="VerbatimChar"/>
              </w:rPr>
              <w:t xml:space="preserve">learning_rate</w:t>
            </w:r>
          </w:p>
        </w:tc>
        <w:tc>
          <w:tcPr/>
          <w:p>
            <w:pPr>
              <w:pStyle w:val="Compact"/>
              <w:jc w:val="left"/>
            </w:pPr>
            <w:r>
              <w:t xml:space="preserve">Float(log)</w:t>
            </w:r>
          </w:p>
        </w:tc>
        <w:tc>
          <w:tcPr/>
          <w:p>
            <w:pPr>
              <w:pStyle w:val="Compact"/>
              <w:jc w:val="left"/>
            </w:pPr>
            <w:r>
              <w:t xml:space="preserve">[1 × 10⁻⁶, 2 × 10⁻⁵]</w:t>
            </w:r>
          </w:p>
        </w:tc>
      </w:tr>
      <w:tr>
        <w:tc>
          <w:tcPr/>
          <w:p>
            <w:pPr>
              <w:pStyle w:val="Compact"/>
              <w:jc w:val="left"/>
            </w:pPr>
            <w:r>
              <w:rPr>
                <w:rStyle w:val="VerbatimChar"/>
              </w:rPr>
              <w:t xml:space="preserve">weight_decay</w:t>
            </w:r>
          </w:p>
        </w:tc>
        <w:tc>
          <w:tcPr/>
          <w:p>
            <w:pPr>
              <w:pStyle w:val="Compact"/>
              <w:jc w:val="left"/>
            </w:pPr>
            <w:r>
              <w:t xml:space="preserve">Float(log)</w:t>
            </w:r>
          </w:p>
        </w:tc>
        <w:tc>
          <w:tcPr/>
          <w:p>
            <w:pPr>
              <w:pStyle w:val="Compact"/>
              <w:jc w:val="left"/>
            </w:pPr>
            <w:r>
              <w:t xml:space="preserve">[1 × 10⁻⁵, 1 × 10⁻³]</w:t>
            </w:r>
          </w:p>
        </w:tc>
      </w:tr>
    </w:tbl>
    <w:bookmarkEnd w:id="62"/>
    <w:bookmarkStart w:id="63" w:name="deliberately-fixed-hyperparameters"/>
    <w:p>
      <w:pPr>
        <w:pStyle w:val="Heading3"/>
      </w:pPr>
      <w:r>
        <w:t xml:space="preserve">3.6.3 Deliberately fixed hyperparameters</w:t>
      </w:r>
    </w:p>
    <w:p>
      <w:pPr>
        <w:pStyle w:val="FirstParagraph"/>
      </w:pPr>
      <w:r>
        <w:t xml:space="preserve">Four hyperparameters that a less-considered search would have included in the Optuna space were fixed by design, and this choice is itself methodological:</w:t>
      </w:r>
    </w:p>
    <w:p>
      <w:pPr>
        <w:numPr>
          <w:ilvl w:val="0"/>
          <w:numId w:val="1002"/>
        </w:numPr>
        <w:pStyle w:val="Compact"/>
      </w:pPr>
      <w:r>
        <w:rPr>
          <w:rStyle w:val="VerbatimChar"/>
        </w:rPr>
        <w:t xml:space="preserve">focal_alpha = 0.50</w:t>
      </w:r>
      <w:r>
        <w:t xml:space="preserve"> </w:t>
      </w:r>
      <w:r>
        <w:t xml:space="preserve">(neutral). As justified in Section 3.4.3, the WeightedRandomSampler already provides class balance at the batch level; the fixed neutral</w:t>
      </w:r>
      <w:r>
        <w:t xml:space="preserve"> </w:t>
      </w:r>
      <m:oMath>
        <m:r>
          <m:t>α</m:t>
        </m:r>
      </m:oMath>
      <w:r>
        <w:t xml:space="preserve"> </w:t>
      </w:r>
      <w:r>
        <w:t xml:space="preserve">prevents double-compensation.</w:t>
      </w:r>
    </w:p>
    <w:p>
      <w:pPr>
        <w:numPr>
          <w:ilvl w:val="0"/>
          <w:numId w:val="1002"/>
        </w:numPr>
        <w:pStyle w:val="Compact"/>
      </w:pPr>
      <w:r>
        <w:rPr>
          <w:rStyle w:val="VerbatimChar"/>
        </w:rPr>
        <w:t xml:space="preserve">focal_gamma = 2.0</w:t>
      </w:r>
      <w:r>
        <w:t xml:space="preserve">. This is the empirically-standard focal exponent (Lin et al., 2017); pilot exploration during earlier internal-variant development indicated that its influence at the present dataset scale was smaller than a search over it would have cost in trial budget.</w:t>
      </w:r>
    </w:p>
    <w:p>
      <w:pPr>
        <w:numPr>
          <w:ilvl w:val="0"/>
          <w:numId w:val="1002"/>
        </w:numPr>
        <w:pStyle w:val="Compact"/>
      </w:pPr>
      <w:r>
        <w:rPr>
          <w:rStyle w:val="VerbatimChar"/>
        </w:rPr>
        <w:t xml:space="preserve">n_pool_layers = 4</w:t>
      </w:r>
      <w:r>
        <w:t xml:space="preserve">. The top four encoder layers being weighted-pooled is a stable configuration across pilot runs; increasing this consumes more memory without measurably improving AUROC.</w:t>
      </w:r>
    </w:p>
    <w:p>
      <w:pPr>
        <w:numPr>
          <w:ilvl w:val="0"/>
          <w:numId w:val="1002"/>
        </w:numPr>
        <w:pStyle w:val="Compact"/>
      </w:pPr>
      <w:r>
        <w:rPr>
          <w:rStyle w:val="VerbatimChar"/>
        </w:rPr>
        <w:t xml:space="preserve">freeze_bottom_n = 4</w:t>
      </w:r>
      <w:r>
        <w:t xml:space="preserve">. Freezing the bottom four encoder layers is a stable configuration that consistently outperformed either freezing all or freezing none; searching this hyperparameter would have interacted awkwardly with LLRD (since layers can be</w:t>
      </w:r>
      <w:r>
        <w:t xml:space="preserve"> </w:t>
      </w:r>
      <w:r>
        <w:t xml:space="preserve">“</w:t>
      </w:r>
      <w:r>
        <w:t xml:space="preserve">frozen</w:t>
      </w:r>
      <w:r>
        <w:t xml:space="preserve">”</w:t>
      </w:r>
      <w:r>
        <w:t xml:space="preserve"> </w:t>
      </w:r>
      <w:r>
        <w:t xml:space="preserve">either via</w:t>
      </w:r>
      <w:r>
        <w:t xml:space="preserve"> </w:t>
      </w:r>
      <w:r>
        <w:rPr>
          <w:rStyle w:val="VerbatimChar"/>
        </w:rPr>
        <w:t xml:space="preserve">requires_grad = False</w:t>
      </w:r>
      <w:r>
        <w:t xml:space="preserve"> </w:t>
      </w:r>
      <w:r>
        <w:t xml:space="preserve">or, effectively, via a very small learning rate).</w:t>
      </w:r>
    </w:p>
    <w:p>
      <w:pPr>
        <w:pStyle w:val="FirstParagraph"/>
      </w:pPr>
      <w:r>
        <w:t xml:space="preserve">Excluding these from the Optuna search concentrated the budget on hyperparameters where sensitivity was expected to be highest (learning rate, weight decay, model width, cross-modal depth, dropout, batch size, and classifier depth).</w:t>
      </w:r>
    </w:p>
    <w:bookmarkEnd w:id="63"/>
    <w:bookmarkEnd w:id="64"/>
    <w:bookmarkStart w:id="65" w:name="training-pipeline-optimization"/>
    <w:p>
      <w:pPr>
        <w:pStyle w:val="Heading2"/>
      </w:pPr>
      <w:r>
        <w:t xml:space="preserve">3.7 Training Pipeline Optimization</w:t>
      </w:r>
    </w:p>
    <w:p>
      <w:pPr>
        <w:pStyle w:val="FirstParagraph"/>
      </w:pPr>
      <w:r>
        <w:t xml:space="preserve">The training pipeline is engineered for reliable execution on a single accelerator under memory and numerical constraints.</w:t>
      </w:r>
    </w:p>
    <w:p>
      <w:pPr>
        <w:pStyle w:val="BodyText"/>
      </w:pPr>
      <w:r>
        <w:rPr>
          <w:bCs/>
          <w:b/>
        </w:rPr>
        <w:t xml:space="preserve">Mixed-precision (AMP) arithmetic.</w:t>
      </w:r>
      <w:r>
        <w:t xml:space="preserve"> </w:t>
      </w:r>
      <w:r>
        <w:t xml:space="preserve">Forward and backward passes are executed under</w:t>
      </w:r>
      <w:r>
        <w:t xml:space="preserve"> </w:t>
      </w:r>
      <w:r>
        <w:rPr>
          <w:rStyle w:val="VerbatimChar"/>
        </w:rPr>
        <w:t xml:space="preserve">torch.amp.autocast</w:t>
      </w:r>
      <w:r>
        <w:t xml:space="preserve"> </w:t>
      </w:r>
      <w:r>
        <w:t xml:space="preserve">with dtype selected dynamically:</w:t>
      </w:r>
      <w:r>
        <w:t xml:space="preserve"> </w:t>
      </w:r>
      <w:r>
        <w:rPr>
          <w:rStyle w:val="VerbatimChar"/>
        </w:rPr>
        <w:t xml:space="preserve">bfloat16</w:t>
      </w:r>
      <w:r>
        <w:t xml:space="preserve"> </w:t>
      </w:r>
      <w:r>
        <w:t xml:space="preserve">when the accelerator’s ISA supports it (</w:t>
      </w:r>
      <w:r>
        <w:rPr>
          <w:rStyle w:val="VerbatimChar"/>
        </w:rPr>
        <w:t xml:space="preserve">torch.cuda.is_bf16_supported()</w:t>
      </w:r>
      <w:r>
        <w:t xml:space="preserve">), otherwise</w:t>
      </w:r>
      <w:r>
        <w:t xml:space="preserve"> </w:t>
      </w:r>
      <w:r>
        <w:rPr>
          <w:rStyle w:val="VerbatimChar"/>
        </w:rPr>
        <w:t xml:space="preserve">float16</w:t>
      </w:r>
      <w:r>
        <w:t xml:space="preserve"> </w:t>
      </w:r>
      <w:r>
        <w:t xml:space="preserve">with a</w:t>
      </w:r>
      <w:r>
        <w:t xml:space="preserve"> </w:t>
      </w:r>
      <w:r>
        <w:rPr>
          <w:rStyle w:val="VerbatimChar"/>
        </w:rPr>
        <w:t xml:space="preserve">GradScaler</w:t>
      </w:r>
      <w:r>
        <w:t xml:space="preserve"> </w:t>
      </w:r>
      <w:r>
        <w:t xml:space="preserve">to guard against underflow. The</w:t>
      </w:r>
      <w:r>
        <w:t xml:space="preserve"> </w:t>
      </w:r>
      <w:r>
        <w:rPr>
          <w:rStyle w:val="VerbatimChar"/>
        </w:rPr>
        <w:t xml:space="preserve">bfloat16</w:t>
      </w:r>
      <w:r>
        <w:t xml:space="preserve"> </w:t>
      </w:r>
      <w:r>
        <w:t xml:space="preserve">path avoids the numerical-underflow failures common to</w:t>
      </w:r>
      <w:r>
        <w:t xml:space="preserve"> </w:t>
      </w:r>
      <w:r>
        <w:rPr>
          <w:rStyle w:val="VerbatimChar"/>
        </w:rPr>
        <w:t xml:space="preserve">float16</w:t>
      </w:r>
      <w:r>
        <w:t xml:space="preserve"> </w:t>
      </w:r>
      <w:r>
        <w:t xml:space="preserve">on transformer forward passes with focal loss, while the</w:t>
      </w:r>
      <w:r>
        <w:t xml:space="preserve"> </w:t>
      </w:r>
      <w:r>
        <w:rPr>
          <w:rStyle w:val="VerbatimChar"/>
        </w:rPr>
        <w:t xml:space="preserve">float16</w:t>
      </w:r>
      <w:r>
        <w:t xml:space="preserve"> </w:t>
      </w:r>
      <w:r>
        <w:t xml:space="preserve">path retains a fallback for hardware without bfloat16 support.</w:t>
      </w:r>
    </w:p>
    <w:p>
      <w:pPr>
        <w:pStyle w:val="BodyText"/>
      </w:pPr>
      <w:r>
        <w:rPr>
          <w:bCs/>
          <w:b/>
        </w:rPr>
        <w:t xml:space="preserve">Gradient accumulation.</w:t>
      </w:r>
      <w:r>
        <w:t xml:space="preserve"> </w:t>
      </w:r>
      <w:r>
        <w:t xml:space="preserve">With HPO-selected batch sizes of 32 or 64, gradient accumulation over 2 forward/backward passes yields an effective batch size of 64 or 128 while keeping peak activation memory within the accelerator’s budget. The optimiser step, learning-rate scheduler step, and gradient clipping are performed once per accumulation window.</w:t>
      </w:r>
    </w:p>
    <w:p>
      <w:pPr>
        <w:pStyle w:val="BodyText"/>
      </w:pPr>
      <w:r>
        <w:rPr>
          <w:bCs/>
          <w:b/>
        </w:rPr>
        <w:t xml:space="preserve">Warmup–cosine learning-rate schedule.</w:t>
      </w:r>
      <w:r>
        <w:t xml:space="preserve"> </w:t>
      </w:r>
      <w:r>
        <w:t xml:space="preserve">Let</w:t>
      </w:r>
      <w:r>
        <w:t xml:space="preserve"> </w:t>
      </w:r>
      <m:oMath>
        <m:r>
          <m:t>T</m:t>
        </m:r>
      </m:oMath>
      <w:r>
        <w:t xml:space="preserve"> </w:t>
      </w:r>
      <w:r>
        <w:t xml:space="preserve">denote the total number of optimiser steps (</w:t>
      </w:r>
      <m:oMath>
        <m:r>
          <m:rPr>
            <m:sty m:val="p"/>
          </m:rPr>
          <m:t>=</m:t>
        </m:r>
      </m:oMath>
      <w:r>
        <w:t xml:space="preserve"> </w:t>
      </w:r>
      <w:r>
        <w:t xml:space="preserve">number of accumulation windows</w:t>
      </w:r>
      <w:r>
        <w:t xml:space="preserve"> </w:t>
      </w:r>
      <m:oMath>
        <m:r>
          <m:rPr>
            <m:sty m:val="p"/>
          </m:rPr>
          <m:t>×</m:t>
        </m:r>
      </m:oMath>
      <w:r>
        <w:t xml:space="preserve"> </w:t>
      </w:r>
      <w:r>
        <w:t xml:space="preserve">epoch count) and</w:t>
      </w:r>
      <w:r>
        <w:t xml:space="preserve"> </w:t>
      </w:r>
      <m:oMath>
        <m:sSub>
          <m:e>
            <m:r>
              <m:t>T</m:t>
            </m:r>
          </m:e>
          <m:sub>
            <m:r>
              <m:t>w</m:t>
            </m:r>
          </m:sub>
        </m:sSub>
        <m:r>
          <m:rPr>
            <m:sty m:val="p"/>
          </m:rPr>
          <m:t>=</m:t>
        </m:r>
        <m:r>
          <m:rPr>
            <m:sty m:val="p"/>
          </m:rPr>
          <m:t>⌈</m:t>
        </m:r>
        <m:r>
          <m:t>0.10</m:t>
        </m:r>
        <m:r>
          <m:t>T</m:t>
        </m:r>
        <m:r>
          <m:rPr>
            <m:sty m:val="p"/>
          </m:rPr>
          <m:t>⌉</m:t>
        </m:r>
      </m:oMath>
      <w:r>
        <w:t xml:space="preserve"> </w:t>
      </w:r>
      <w:r>
        <w:t xml:space="preserve">the warmup length. The learning-rate scaling factor at step</w:t>
      </w:r>
      <w:r>
        <w:t xml:space="preserve"> </w:t>
      </w:r>
      <m:oMath>
        <m:r>
          <m:t>t</m:t>
        </m:r>
      </m:oMath>
      <w:r>
        <w:t xml:space="preserve"> </w:t>
      </w:r>
      <w:r>
        <w:t xml:space="preserve">is:</w:t>
      </w:r>
    </w:p>
    <w:p>
      <w:pPr>
        <w:pStyle w:val="BodyText"/>
      </w:pPr>
      <m:oMathPara>
        <m:oMathParaPr>
          <m:jc m:val="center"/>
        </m:oMathParaPr>
        <m:oMath>
          <m:f>
            <m:fPr>
              <m:type m:val="bar"/>
            </m:fPr>
            <m:num>
              <m:r>
                <m:t>η</m:t>
              </m:r>
              <m:d>
                <m:dPr>
                  <m:begChr m:val="("/>
                  <m:endChr m:val=")"/>
                  <m:sepChr m:val=""/>
                  <m:grow/>
                </m:dPr>
                <m:e>
                  <m:r>
                    <m:t>t</m:t>
                  </m:r>
                </m:e>
              </m:d>
            </m:num>
            <m:den>
              <m:sSub>
                <m:e>
                  <m:r>
                    <m:t>η</m:t>
                  </m:r>
                </m:e>
                <m:sub>
                  <m:r>
                    <m:t>0</m:t>
                  </m:r>
                </m:sub>
              </m:sSub>
            </m:den>
          </m:f>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t</m:t>
                        </m:r>
                      </m:num>
                      <m:den>
                        <m:sSub>
                          <m:e>
                            <m:r>
                              <m:t>T</m:t>
                            </m:r>
                          </m:e>
                          <m:sub>
                            <m:r>
                              <m:t>w</m:t>
                            </m:r>
                          </m:sub>
                        </m:sSub>
                      </m:den>
                    </m:f>
                  </m:e>
                  <m:e>
                    <m:r>
                      <m:rPr>
                        <m:nor/>
                        <m:sty m:val="p"/>
                      </m:rPr>
                      <m:t>if </m:t>
                    </m:r>
                    <m:r>
                      <m:t>t</m:t>
                    </m:r>
                    <m:r>
                      <m:rPr>
                        <m:sty m:val="p"/>
                      </m:rPr>
                      <m:t>&lt;</m:t>
                    </m:r>
                    <m:sSub>
                      <m:e>
                        <m:r>
                          <m:t>T</m:t>
                        </m:r>
                      </m:e>
                      <m:sub>
                        <m:r>
                          <m:t>w</m:t>
                        </m:r>
                      </m:sub>
                    </m:sSub>
                    <m:r>
                      <m:rPr>
                        <m:sty m:val="p"/>
                      </m:rPr>
                      <m:t>,</m:t>
                    </m:r>
                  </m:e>
                </m:mr>
                <m:mr>
                  <m:e>
                    <m:r>
                      <m:rPr>
                        <m:sty m:val="p"/>
                      </m:rPr>
                      <m:t>max</m:t>
                    </m:r>
                    <m:r>
                      <m:t>​</m:t>
                    </m:r>
                    <m:d>
                      <m:dPr>
                        <m:begChr m:val="("/>
                        <m:endChr m:val=")"/>
                        <m:sepChr m:val=""/>
                        <m:grow/>
                      </m:dPr>
                      <m:e>
                        <m:sSup>
                          <m:e>
                            <m:r>
                              <m:t>10</m:t>
                            </m:r>
                          </m:e>
                          <m:sup>
                            <m:r>
                              <m:rPr>
                                <m:sty m:val="p"/>
                              </m:rPr>
                              <m:t>−</m:t>
                            </m:r>
                            <m:r>
                              <m:t>7</m:t>
                            </m:r>
                          </m:sup>
                        </m:sSup>
                        <m:r>
                          <m:rPr>
                            <m:sty m:val="p"/>
                          </m:rPr>
                          <m:t>,</m:t>
                        </m:r>
                        <m:r>
                          <m:t> </m:t>
                        </m:r>
                        <m:f>
                          <m:fPr>
                            <m:type m:val="lin"/>
                          </m:fPr>
                          <m:num>
                            <m:r>
                              <m:t>1</m:t>
                            </m:r>
                          </m:num>
                          <m:den>
                            <m:r>
                              <m:t>2</m:t>
                            </m:r>
                          </m:den>
                        </m:f>
                        <m:d>
                          <m:dPr>
                            <m:begChr m:val="("/>
                            <m:endChr m:val=")"/>
                            <m:sepChr m:val=""/>
                            <m:grow/>
                          </m:dPr>
                          <m:e>
                            <m:r>
                              <m:t>1</m:t>
                            </m:r>
                            <m:r>
                              <m:rPr>
                                <m:sty m:val="p"/>
                              </m:rPr>
                              <m:t>+</m:t>
                            </m:r>
                            <m:r>
                              <m:rPr>
                                <m:sty m:val="p"/>
                              </m:rPr>
                              <m:t>cos</m:t>
                            </m:r>
                            <m:d>
                              <m:dPr>
                                <m:begChr m:val="("/>
                                <m:endChr m:val=")"/>
                                <m:sepChr m:val=""/>
                                <m:grow/>
                              </m:dPr>
                              <m:e>
                                <m:r>
                                  <m:t>π</m:t>
                                </m:r>
                                <m:r>
                                  <m:rPr>
                                    <m:sty m:val="p"/>
                                  </m:rPr>
                                  <m:t>⋅</m:t>
                                </m:r>
                                <m:f>
                                  <m:fPr>
                                    <m:type m:val="lin"/>
                                  </m:fPr>
                                  <m:num>
                                    <m:r>
                                      <m:t>t</m:t>
                                    </m:r>
                                    <m:r>
                                      <m:rPr>
                                        <m:sty m:val="p"/>
                                      </m:rPr>
                                      <m:t>−</m:t>
                                    </m:r>
                                    <m:sSub>
                                      <m:e>
                                        <m:r>
                                          <m:t>T</m:t>
                                        </m:r>
                                      </m:e>
                                      <m:sub>
                                        <m:r>
                                          <m:t>w</m:t>
                                        </m:r>
                                      </m:sub>
                                    </m:sSub>
                                  </m:num>
                                  <m:den>
                                    <m:r>
                                      <m:t>T</m:t>
                                    </m:r>
                                    <m:r>
                                      <m:rPr>
                                        <m:sty m:val="p"/>
                                      </m:rPr>
                                      <m:t>−</m:t>
                                    </m:r>
                                    <m:sSub>
                                      <m:e>
                                        <m:r>
                                          <m:t>T</m:t>
                                        </m:r>
                                      </m:e>
                                      <m:sub>
                                        <m:r>
                                          <m:t>w</m:t>
                                        </m:r>
                                      </m:sub>
                                    </m:sSub>
                                  </m:den>
                                </m:f>
                              </m:e>
                            </m:d>
                          </m:e>
                        </m:d>
                      </m:e>
                    </m:d>
                  </m:e>
                  <m:e>
                    <m:r>
                      <m:rPr>
                        <m:nor/>
                        <m:sty m:val="p"/>
                      </m:rPr>
                      <m:t>if </m:t>
                    </m:r>
                    <m:r>
                      <m:t>t</m:t>
                    </m:r>
                    <m:r>
                      <m:rPr>
                        <m:sty m:val="p"/>
                      </m:rPr>
                      <m:t>≥</m:t>
                    </m:r>
                    <m:sSub>
                      <m:e>
                        <m:r>
                          <m:t>T</m:t>
                        </m:r>
                      </m:e>
                      <m:sub>
                        <m:r>
                          <m:t>w</m:t>
                        </m:r>
                      </m:sub>
                    </m:sSub>
                    <m:r>
                      <m:rPr>
                        <m:sty m:val="p"/>
                      </m:rPr>
                      <m:t>.</m:t>
                    </m:r>
                  </m:e>
                </m:mr>
              </m:m>
            </m:e>
          </m:d>
        </m:oMath>
      </m:oMathPara>
    </w:p>
    <w:p>
      <w:pPr>
        <w:pStyle w:val="FirstParagraph"/>
      </w:pPr>
      <w:r>
        <w:t xml:space="preserve">The 10% linear warmup avoids the large-early-step gradients that destabilise LayerNorm parameters and mixed-precision arithmetic in the first few hundred steps; the cosine decay to a small non-zero floor produces the smooth, monotonically decreasing schedule that is standard for fine-tuning pretrained transformers.</w:t>
      </w:r>
    </w:p>
    <w:p>
      <w:pPr>
        <w:pStyle w:val="BodyText"/>
      </w:pPr>
      <w:r>
        <w:rPr>
          <w:bCs/>
          <w:b/>
        </w:rPr>
        <w:t xml:space="preserve">Robustness engineering.</w:t>
      </w:r>
      <w:r>
        <w:t xml:space="preserve"> </w:t>
      </w:r>
      <w:r>
        <w:t xml:space="preserve">Each training step is wrapped in a</w:t>
      </w:r>
      <w:r>
        <w:t xml:space="preserve"> </w:t>
      </w:r>
      <w:r>
        <w:rPr>
          <w:rStyle w:val="VerbatimChar"/>
        </w:rPr>
        <w:t xml:space="preserve">RuntimeError</w:t>
      </w:r>
      <w:r>
        <w:t xml:space="preserve"> </w:t>
      </w:r>
      <w:r>
        <w:t xml:space="preserve">handler that catches CUDA out-of-memory errors, clears the CUDA cache, and skips the offending batch rather than aborting the run. Focal-loss values are checked for non-finiteness at every step; a non-finite loss causes that batch to be skipped and the optimiser state to be zeroed. These are small pieces of engineering that make the difference between a training run that completes and one that fails on a single anomalous batch after several hours.</w:t>
      </w:r>
    </w:p>
    <w:p>
      <w:pPr>
        <w:pStyle w:val="BodyText"/>
      </w:pPr>
      <w:r>
        <w:rPr>
          <w:bCs/>
          <w:b/>
        </w:rPr>
        <w:t xml:space="preserve">Test-time ensembling.</w:t>
      </w:r>
      <w:r>
        <w:t xml:space="preserve"> </w:t>
      </w:r>
      <w:r>
        <w:t xml:space="preserve">As detailed in Section 3.5.7, test-time predictions are the arithmetic mean of the five K-fold model outputs at their (fold-specific) checkpoints. No test-time SMILES augmentation is applied — the ensemble is derived purely from architectural variance across folds, not from within-model input perturbation.</w:t>
      </w:r>
    </w:p>
    <w:bookmarkEnd w:id="65"/>
    <w:bookmarkStart w:id="66" w:name="X80eecdf771c8e0656f757e3224059f5d17ed5b1"/>
    <w:p>
      <w:pPr>
        <w:pStyle w:val="Heading2"/>
      </w:pPr>
      <w:r>
        <w:t xml:space="preserve">3.8 Architectural Refinements from Earlier Internal Iterations</w:t>
      </w:r>
    </w:p>
    <w:p>
      <w:pPr>
        <w:pStyle w:val="FirstParagraph"/>
      </w:pPr>
      <w:r>
        <w:t xml:space="preserve">FMM’s architecture, as documented in Section 3.3, incorporates several design decisions that are the product of empirical refinements made across two earlier internal variants. Because these refinements are documented within the model’s source and are readily interpretable as ablation-informed corrections rather than incidental style choices, we list them explicitly here as design contributions of the present work.</w:t>
      </w:r>
    </w:p>
    <w:p>
      <w:pPr>
        <w:numPr>
          <w:ilvl w:val="0"/>
          <w:numId w:val="1003"/>
        </w:numPr>
        <w:pStyle w:val="Compact"/>
      </w:pPr>
      <w:r>
        <w:rPr>
          <w:bCs/>
          <w:b/>
        </w:rPr>
        <w:t xml:space="preserve">Modality type embeddings with Xavier-uniform initialisation.</w:t>
      </w:r>
      <w:r>
        <w:t xml:space="preserve"> </w:t>
      </w:r>
      <w:r>
        <w:t xml:space="preserve">Earlier internal variants had no explicit modality identity: the four tokens fed to the cross-modal transformer were distinguishable only by their stacked position, which self-attention is not invariant to but which does not carry a strong semantic signal. Adding a learnable 4-vector type-embedding table</w:t>
      </w:r>
      <w:r>
        <w:t xml:space="preserve"> </w:t>
      </w:r>
      <m:oMath>
        <m:sSub>
          <m:e>
            <m:r>
              <m:t>E</m:t>
            </m:r>
          </m:e>
          <m:sub>
            <m:r>
              <m:rPr>
                <m:sty m:val="p"/>
              </m:rPr>
              <m:t>t</m:t>
            </m:r>
            <m:r>
              <m:rPr>
                <m:sty m:val="p"/>
              </m:rPr>
              <m:t>y</m:t>
            </m:r>
            <m:r>
              <m:rPr>
                <m:sty m:val="p"/>
              </m:rPr>
              <m:t>p</m:t>
            </m:r>
            <m:r>
              <m:rPr>
                <m:sty m:val="p"/>
              </m:rPr>
              <m:t>e</m:t>
            </m:r>
          </m:sub>
        </m:sSub>
        <m:r>
          <m:rPr>
            <m:sty m:val="p"/>
          </m:rPr>
          <m:t>∈</m:t>
        </m:r>
        <m:sSup>
          <m:e>
            <m:r>
              <m:rPr>
                <m:sty m:val="p"/>
                <m:scr m:val="double-struck"/>
              </m:rPr>
              <m:t>R</m:t>
            </m:r>
          </m:e>
          <m:sup>
            <m:r>
              <m:t>4</m:t>
            </m:r>
            <m:r>
              <m:rPr>
                <m:sty m:val="p"/>
              </m:rPr>
              <m:t>×</m:t>
            </m:r>
            <m:r>
              <m:t>D</m:t>
            </m:r>
          </m:sup>
        </m:sSup>
      </m:oMath>
      <w:r>
        <w:t xml:space="preserve"> </w:t>
      </w:r>
      <w:r>
        <w:t xml:space="preserve">(Equation 10) fixes this. The Xavier-uniform initialisation is deliberate: the projected modality tokens have unit variance after LayerNorm, and Xavier-uniform initialisation of</w:t>
      </w:r>
      <w:r>
        <w:t xml:space="preserve"> </w:t>
      </w:r>
      <m:oMath>
        <m:sSub>
          <m:e>
            <m:r>
              <m:t>E</m:t>
            </m:r>
          </m:e>
          <m:sub>
            <m:r>
              <m:rPr>
                <m:sty m:val="p"/>
              </m:rPr>
              <m:t>t</m:t>
            </m:r>
            <m:r>
              <m:rPr>
                <m:sty m:val="p"/>
              </m:rPr>
              <m:t>y</m:t>
            </m:r>
            <m:r>
              <m:rPr>
                <m:sty m:val="p"/>
              </m:rPr>
              <m:t>p</m:t>
            </m:r>
            <m:r>
              <m:rPr>
                <m:sty m:val="p"/>
              </m:rPr>
              <m:t>e</m:t>
            </m:r>
          </m:sub>
        </m:sSub>
      </m:oMath>
      <w:r>
        <w:t xml:space="preserve"> </w:t>
      </w:r>
      <w:r>
        <w:t xml:space="preserve">produces values at approximately the same scale, so the type embedding neither overwhelms nor is overwhelmed by the modality content at initialisation.</w:t>
      </w:r>
    </w:p>
    <w:p>
      <w:pPr>
        <w:numPr>
          <w:ilvl w:val="0"/>
          <w:numId w:val="1003"/>
        </w:numPr>
        <w:pStyle w:val="Compact"/>
      </w:pPr>
      <w:r>
        <w:rPr>
          <w:bCs/>
          <w:b/>
        </w:rPr>
        <w:t xml:space="preserve">GELU → LayerNorm projection ordering.</w:t>
      </w:r>
      <w:r>
        <w:t xml:space="preserve"> </w:t>
      </w:r>
      <w:r>
        <w:t xml:space="preserve">Placing LayerNorm as the</w:t>
      </w:r>
      <w:r>
        <w:t xml:space="preserve"> </w:t>
      </w:r>
      <w:r>
        <w:rPr>
          <w:iCs/>
          <w:i/>
        </w:rPr>
        <w:t xml:space="preserve">last</w:t>
      </w:r>
      <w:r>
        <w:t xml:space="preserve"> </w:t>
      </w:r>
      <w:r>
        <w:t xml:space="preserve">operation of each projection stage — rather than the more common LayerNorm-first ordering — guarantees that the projected modality tokens enter the cross-modal transformer at unit variance. This is what allows the type-embedding addition to be scale-consistent across all four modalities without a per-modality scaling constant.</w:t>
      </w:r>
    </w:p>
    <w:p>
      <w:pPr>
        <w:numPr>
          <w:ilvl w:val="0"/>
          <w:numId w:val="1003"/>
        </w:numPr>
        <w:pStyle w:val="Compact"/>
      </w:pPr>
      <w:r>
        <w:rPr>
          <w:bCs/>
          <w:b/>
        </w:rPr>
        <w:t xml:space="preserve">LayerNorm before the sigmoid gate.</w:t>
      </w:r>
      <w:r>
        <w:t xml:space="preserve"> </w:t>
      </w:r>
      <w:r>
        <w:t xml:space="preserve">The gate in Equation 13 places LayerNorm inside the sigmoid rather than after it. An earlier internal variant used the opposite ordering and exhibited sigmoid saturation on some folds, effectively silencing the gate.</w:t>
      </w:r>
    </w:p>
    <w:p>
      <w:pPr>
        <w:numPr>
          <w:ilvl w:val="0"/>
          <w:numId w:val="1003"/>
        </w:numPr>
        <w:pStyle w:val="Compact"/>
      </w:pPr>
      <w:r>
        <w:rPr>
          <w:bCs/>
          <w:b/>
        </w:rPr>
        <w:t xml:space="preserve">Per-modality, per-dimension gating.</w:t>
      </w:r>
      <w:r>
        <w:t xml:space="preserve"> </w:t>
      </w:r>
      <w:r>
        <w:t xml:space="preserve">The gate is applied per modality (</w:t>
      </w:r>
      <m:oMath>
        <m:r>
          <m:t>4</m:t>
        </m:r>
        <m:r>
          <m:rPr>
            <m:sty m:val="p"/>
          </m:rPr>
          <m:t>×</m:t>
        </m:r>
        <m:r>
          <m:t>D</m:t>
        </m:r>
        <m:r>
          <m:rPr>
            <m:sty m:val="p"/>
          </m:rPr>
          <m:t>→</m:t>
        </m:r>
        <m:r>
          <m:t>4</m:t>
        </m:r>
        <m:r>
          <m:rPr>
            <m:sty m:val="p"/>
          </m:rPr>
          <m:t>×</m:t>
        </m:r>
        <m:r>
          <m:t>D</m:t>
        </m:r>
      </m:oMath>
      <w:r>
        <w:t xml:space="preserve">), not globally over the flattened concatenation (</w:t>
      </w:r>
      <m:oMath>
        <m:r>
          <m:t>4</m:t>
        </m:r>
        <m:r>
          <m:t>D</m:t>
        </m:r>
        <m:r>
          <m:rPr>
            <m:sty m:val="p"/>
          </m:rPr>
          <m:t>→</m:t>
        </m:r>
        <m:r>
          <m:t>D</m:t>
        </m:r>
      </m:oMath>
      <w:r>
        <w:t xml:space="preserve">). This trades an insignificant amount of modelling flexibility for a substantial reduction in gate parameter count and, empirically, more stable training on the small dataset.</w:t>
      </w:r>
    </w:p>
    <w:p>
      <w:pPr>
        <w:numPr>
          <w:ilvl w:val="0"/>
          <w:numId w:val="1003"/>
        </w:numPr>
        <w:pStyle w:val="Compact"/>
      </w:pPr>
      <w:r>
        <w:rPr>
          <w:bCs/>
          <w:b/>
        </w:rPr>
        <w:t xml:space="preserve">Masked mean pooling.</w:t>
      </w:r>
      <w:r>
        <w:t xml:space="preserve"> </w:t>
      </w:r>
      <w:r>
        <w:t xml:space="preserve">The masked mean of Equation 4 correctly excludes padding tokens from the mean, which a bare</w:t>
      </w:r>
      <w:r>
        <w:t xml:space="preserve"> </w:t>
      </w:r>
      <w:r>
        <w:rPr>
          <w:rStyle w:val="VerbatimChar"/>
        </w:rPr>
        <w:t xml:space="preserve">hidden.mean(dim=1)</w:t>
      </w:r>
      <w:r>
        <w:t xml:space="preserve"> </w:t>
      </w:r>
      <w:r>
        <w:t xml:space="preserve">does not; this fix is minor in aggregate metric terms but qualitatively important, particularly for long-tail short SMILES sequences where padding dominates.</w:t>
      </w:r>
    </w:p>
    <w:bookmarkEnd w:id="66"/>
    <w:bookmarkEnd w:id="67"/>
    <w:bookmarkStart w:id="80" w:name="results-and-analysis"/>
    <w:p>
      <w:pPr>
        <w:pStyle w:val="Heading1"/>
      </w:pPr>
      <w:r>
        <w:t xml:space="preserve">4. Results and Analysis</w:t>
      </w:r>
    </w:p>
    <w:bookmarkStart w:id="68" w:name="experimental-setup"/>
    <w:p>
      <w:pPr>
        <w:pStyle w:val="Heading2"/>
      </w:pPr>
      <w:r>
        <w:t xml:space="preserve">4.1 Experimental Setup</w:t>
      </w:r>
    </w:p>
    <w:p>
      <w:pPr>
        <w:pStyle w:val="FirstParagraph"/>
      </w:pPr>
      <w:r>
        <w:t xml:space="preserve">All numbers reported below are drawn directly from the training and evaluation logs of the released model configuration. The dataset partition follows the protocol described in Sections 2.6 and 3.4.1: a stratified 15% test partition of 825 molecules (653 Active, 172 Inactive; 79.2% majority) is held out and never observed during model development. The remaining 4,669-molecule development partition (3,673 Active, 996 Inactive; 78.7% majority) is split into 5 stratified folds (</w:t>
      </w:r>
      <w:r>
        <w:rPr>
          <w:rStyle w:val="VerbatimChar"/>
        </w:rPr>
        <w:t xml:space="preserve">StratifiedKFold(n_splits=5, shuffle=True, random_state=42)</w:t>
      </w:r>
      <w:r>
        <w:t xml:space="preserve">), giving per-fold training partitions of 3,735 or 3,736 molecules and out-of-fold validation partitions of 933 or 934 molecules. Each fold is trained for up to 50 epochs (early stopping patience 12 on validation AUROC), initialising from the same hyperparameter configuration returned by the Optuna search (Section 3.6). Every fold uses WeightedRandomSampler, focal loss (</w:t>
      </w:r>
      <m:oMath>
        <m:r>
          <m:t>α</m:t>
        </m:r>
        <m:r>
          <m:rPr>
            <m:sty m:val="p"/>
          </m:rPr>
          <m:t>=</m:t>
        </m:r>
        <m:r>
          <m:t>0.50</m:t>
        </m:r>
      </m:oMath>
      <w:r>
        <w:t xml:space="preserve">,</w:t>
      </w:r>
      <w:r>
        <w:t xml:space="preserve"> </w:t>
      </w:r>
      <m:oMath>
        <m:r>
          <m:t>γ</m:t>
        </m:r>
        <m:r>
          <m:rPr>
            <m:sty m:val="p"/>
          </m:rPr>
          <m:t>=</m:t>
        </m:r>
        <m:r>
          <m:t>2.0</m:t>
        </m:r>
      </m:oMath>
      <w:r>
        <w:t xml:space="preserve">,</w:t>
      </w:r>
      <w:r>
        <w:t xml:space="preserve"> </w:t>
      </w:r>
      <m:oMath>
        <m:r>
          <m:t>ε</m:t>
        </m:r>
        <m:r>
          <m:rPr>
            <m:sty m:val="p"/>
          </m:rPr>
          <m:t>=</m:t>
        </m:r>
        <m:r>
          <m:t>0.05</m:t>
        </m:r>
      </m:oMath>
      <w:r>
        <w:t xml:space="preserve">), LLRD-modulated AdamW with warmup–cosine schedule, gradient accumulation of 2, mixed precision, and gradient clipping at max-norm 1.0, exactly as described in Section 3. The five fold checkpoints (each selected by best fold-validation AUROC on its own held-out partition) constitute the final ensemble.</w:t>
      </w:r>
    </w:p>
    <w:bookmarkEnd w:id="68"/>
    <w:bookmarkStart w:id="71" w:name="cross-validation-performance"/>
    <w:p>
      <w:pPr>
        <w:pStyle w:val="Heading2"/>
      </w:pPr>
      <w:r>
        <w:t xml:space="preserve">4.2 Cross-Validation Performance</w:t>
      </w:r>
    </w:p>
    <w:bookmarkStart w:id="69" w:name="per-fold-auroc-and-convergence"/>
    <w:p>
      <w:pPr>
        <w:pStyle w:val="Heading3"/>
      </w:pPr>
      <w:r>
        <w:t xml:space="preserve">4.2.1 Per-fold AUROC and convergence</w:t>
      </w:r>
    </w:p>
    <w:p>
      <w:pPr>
        <w:pStyle w:val="FirstParagraph"/>
      </w:pPr>
      <w:r>
        <w:t xml:space="preserve">Table 9 summarises per-fold convergence and best fold-validation AUROC. All five folds converged well before the 50-epoch budget: the earliest fold triggered early stopping at epoch 24 and the latest at epoch 36, indicating consistent early convergence of the fine-tuned model on the multimodal signal.</w:t>
      </w:r>
    </w:p>
    <w:p>
      <w:pPr>
        <w:pStyle w:val="BodyText"/>
      </w:pPr>
      <w:r>
        <w:rPr>
          <w:bCs/>
          <w:b/>
        </w:rPr>
        <w:t xml:space="preserve">Table 9.</w:t>
      </w:r>
      <w:r>
        <w:t xml:space="preserve"> </w:t>
      </w:r>
      <w:r>
        <w:rPr>
          <w:iCs/>
          <w:i/>
        </w:rPr>
        <w:t xml:space="preserve">Per-fold cross-validation results.</w:t>
      </w:r>
      <w:r>
        <w:rPr>
          <w:iCs/>
          <w:i/>
        </w:rPr>
        <w:t xml:space="preserve"> </w:t>
      </w:r>
      <w:r>
        <w:rPr>
          <w:iCs/>
          <w:i/>
        </w:rPr>
        <w:t xml:space="preserve">“</w:t>
      </w:r>
      <w:r>
        <w:rPr>
          <w:iCs/>
          <w:i/>
        </w:rPr>
        <w:t xml:space="preserve">Stop epoch</w:t>
      </w:r>
      <w:r>
        <w:rPr>
          <w:iCs/>
          <w:i/>
        </w:rPr>
        <w:t xml:space="preserve">”</w:t>
      </w:r>
      <w:r>
        <w:rPr>
          <w:iCs/>
          <w:i/>
        </w:rPr>
        <w:t xml:space="preserve"> </w:t>
      </w:r>
      <w:r>
        <w:rPr>
          <w:iCs/>
          <w:i/>
        </w:rPr>
        <w:t xml:space="preserve">is the epoch at which early stopping fired (patience = 12 on validation AUROC).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Fold</w:t>
            </w:r>
          </w:p>
        </w:tc>
        <w:tc>
          <w:tcPr/>
          <w:p>
            <w:pPr>
              <w:pStyle w:val="Compact"/>
              <w:jc w:val="center"/>
            </w:pPr>
            <w:r>
              <w:t xml:space="preserve">Train / val split</w:t>
            </w:r>
          </w:p>
        </w:tc>
        <w:tc>
          <w:tcPr/>
          <w:p>
            <w:pPr>
              <w:pStyle w:val="Compact"/>
              <w:jc w:val="center"/>
            </w:pPr>
            <w:r>
              <w:t xml:space="preserve">Best fold-val AUROC</w:t>
            </w:r>
          </w:p>
        </w:tc>
        <w:tc>
          <w:tcPr/>
          <w:p>
            <w:pPr>
              <w:pStyle w:val="Compact"/>
              <w:jc w:val="center"/>
            </w:pPr>
            <w:r>
              <w:t xml:space="preserve">Stop epoch</w:t>
            </w:r>
          </w:p>
        </w:tc>
      </w:tr>
      <w:tr>
        <w:tc>
          <w:tcPr/>
          <w:p>
            <w:pPr>
              <w:pStyle w:val="Compact"/>
              <w:jc w:val="center"/>
            </w:pPr>
            <w:r>
              <w:t xml:space="preserve">1</w:t>
            </w:r>
          </w:p>
        </w:tc>
        <w:tc>
          <w:tcPr/>
          <w:p>
            <w:pPr>
              <w:pStyle w:val="Compact"/>
              <w:jc w:val="center"/>
            </w:pPr>
            <w:r>
              <w:t xml:space="preserve">3,735 / 934</w:t>
            </w:r>
          </w:p>
        </w:tc>
        <w:tc>
          <w:tcPr/>
          <w:p>
            <w:pPr>
              <w:pStyle w:val="Compact"/>
              <w:jc w:val="center"/>
            </w:pPr>
            <w:r>
              <w:t xml:space="preserve">0.9427</w:t>
            </w:r>
          </w:p>
        </w:tc>
        <w:tc>
          <w:tcPr/>
          <w:p>
            <w:pPr>
              <w:pStyle w:val="Compact"/>
              <w:jc w:val="center"/>
            </w:pPr>
            <w:r>
              <w:t xml:space="preserve">24</w:t>
            </w:r>
          </w:p>
        </w:tc>
      </w:tr>
      <w:tr>
        <w:tc>
          <w:tcPr/>
          <w:p>
            <w:pPr>
              <w:pStyle w:val="Compact"/>
              <w:jc w:val="center"/>
            </w:pPr>
            <w:r>
              <w:t xml:space="preserve">2</w:t>
            </w:r>
          </w:p>
        </w:tc>
        <w:tc>
          <w:tcPr/>
          <w:p>
            <w:pPr>
              <w:pStyle w:val="Compact"/>
              <w:jc w:val="center"/>
            </w:pPr>
            <w:r>
              <w:t xml:space="preserve">3,735 / 934</w:t>
            </w:r>
          </w:p>
        </w:tc>
        <w:tc>
          <w:tcPr/>
          <w:p>
            <w:pPr>
              <w:pStyle w:val="Compact"/>
              <w:jc w:val="center"/>
            </w:pPr>
            <w:r>
              <w:t xml:space="preserve">0.9620</w:t>
            </w:r>
          </w:p>
        </w:tc>
        <w:tc>
          <w:tcPr/>
          <w:p>
            <w:pPr>
              <w:pStyle w:val="Compact"/>
              <w:jc w:val="center"/>
            </w:pPr>
            <w:r>
              <w:t xml:space="preserve">36</w:t>
            </w:r>
          </w:p>
        </w:tc>
      </w:tr>
      <w:tr>
        <w:tc>
          <w:tcPr/>
          <w:p>
            <w:pPr>
              <w:pStyle w:val="Compact"/>
              <w:jc w:val="center"/>
            </w:pPr>
            <w:r>
              <w:t xml:space="preserve">3</w:t>
            </w:r>
          </w:p>
        </w:tc>
        <w:tc>
          <w:tcPr/>
          <w:p>
            <w:pPr>
              <w:pStyle w:val="Compact"/>
              <w:jc w:val="center"/>
            </w:pPr>
            <w:r>
              <w:t xml:space="preserve">3,735 / 934</w:t>
            </w:r>
          </w:p>
        </w:tc>
        <w:tc>
          <w:tcPr/>
          <w:p>
            <w:pPr>
              <w:pStyle w:val="Compact"/>
              <w:jc w:val="center"/>
            </w:pPr>
            <w:r>
              <w:t xml:space="preserve">0.9527</w:t>
            </w:r>
          </w:p>
        </w:tc>
        <w:tc>
          <w:tcPr/>
          <w:p>
            <w:pPr>
              <w:pStyle w:val="Compact"/>
              <w:jc w:val="center"/>
            </w:pPr>
            <w:r>
              <w:t xml:space="preserve">27</w:t>
            </w:r>
          </w:p>
        </w:tc>
      </w:tr>
      <w:tr>
        <w:tc>
          <w:tcPr/>
          <w:p>
            <w:pPr>
              <w:pStyle w:val="Compact"/>
              <w:jc w:val="center"/>
            </w:pPr>
            <w:r>
              <w:t xml:space="preserve">4</w:t>
            </w:r>
          </w:p>
        </w:tc>
        <w:tc>
          <w:tcPr/>
          <w:p>
            <w:pPr>
              <w:pStyle w:val="Compact"/>
              <w:jc w:val="center"/>
            </w:pPr>
            <w:r>
              <w:t xml:space="preserve">3,735 / 934</w:t>
            </w:r>
          </w:p>
        </w:tc>
        <w:tc>
          <w:tcPr/>
          <w:p>
            <w:pPr>
              <w:pStyle w:val="Compact"/>
              <w:jc w:val="center"/>
            </w:pPr>
            <w:r>
              <w:t xml:space="preserve">0.9648</w:t>
            </w:r>
          </w:p>
        </w:tc>
        <w:tc>
          <w:tcPr/>
          <w:p>
            <w:pPr>
              <w:pStyle w:val="Compact"/>
              <w:jc w:val="center"/>
            </w:pPr>
            <w:r>
              <w:t xml:space="preserve">33</w:t>
            </w:r>
          </w:p>
        </w:tc>
      </w:tr>
      <w:tr>
        <w:tc>
          <w:tcPr/>
          <w:p>
            <w:pPr>
              <w:pStyle w:val="Compact"/>
              <w:jc w:val="center"/>
            </w:pPr>
            <w:r>
              <w:t xml:space="preserve">5</w:t>
            </w:r>
          </w:p>
        </w:tc>
        <w:tc>
          <w:tcPr/>
          <w:p>
            <w:pPr>
              <w:pStyle w:val="Compact"/>
              <w:jc w:val="center"/>
            </w:pPr>
            <w:r>
              <w:t xml:space="preserve">3,736 / 933</w:t>
            </w:r>
          </w:p>
        </w:tc>
        <w:tc>
          <w:tcPr/>
          <w:p>
            <w:pPr>
              <w:pStyle w:val="Compact"/>
              <w:jc w:val="center"/>
            </w:pPr>
            <w:r>
              <w:t xml:space="preserve">0.9616</w:t>
            </w:r>
          </w:p>
        </w:tc>
        <w:tc>
          <w:tcPr/>
          <w:p>
            <w:pPr>
              <w:pStyle w:val="Compact"/>
              <w:jc w:val="center"/>
            </w:pPr>
            <w:r>
              <w:t xml:space="preserve">36</w:t>
            </w:r>
          </w:p>
        </w:tc>
      </w:tr>
      <w:tr>
        <w:tc>
          <w:tcPr/>
          <w:p>
            <w:pPr>
              <w:pStyle w:val="Compact"/>
              <w:jc w:val="center"/>
            </w:pPr>
            <w:r>
              <w:rPr>
                <w:bCs/>
                <w:b/>
              </w:rPr>
              <w:t xml:space="preserve">Mean ± SD</w:t>
            </w:r>
          </w:p>
        </w:tc>
        <w:tc>
          <w:tcPr/>
          <w:p>
            <w:pPr>
              <w:pStyle w:val="Compact"/>
              <w:jc w:val="center"/>
            </w:pPr>
            <w:r>
              <w:t xml:space="preserve">—</w:t>
            </w:r>
          </w:p>
        </w:tc>
        <w:tc>
          <w:tcPr/>
          <w:p>
            <w:pPr>
              <w:pStyle w:val="Compact"/>
              <w:jc w:val="center"/>
            </w:pPr>
            <w:r>
              <w:rPr>
                <w:bCs/>
                <w:b/>
              </w:rPr>
              <w:t xml:space="preserve">0.9568 ± 0.0081</w:t>
            </w:r>
          </w:p>
        </w:tc>
        <w:tc>
          <w:tcPr/>
          <w:p>
            <w:pPr>
              <w:pStyle w:val="Compact"/>
              <w:jc w:val="center"/>
            </w:pPr>
            <w:r>
              <w:t xml:space="preserve">—</w:t>
            </w:r>
          </w:p>
        </w:tc>
      </w:tr>
    </w:tbl>
    <w:p>
      <w:pPr>
        <w:pStyle w:val="BodyText"/>
      </w:pPr>
      <w:r>
        <w:t xml:space="preserve">The per-fold best AUROC values span 0.9427 to 0.9648, a range of 0.0221; the standard deviation across folds is 0.0081. Fold 1 is a mild outlier on the low side, but no fold falls dramatically below the mean. This narrow spread is the first indication of a well-controlled optimisation trajectory and is consistent with the substantial overfitting-prevention regime described in Section 3.5.</w:t>
      </w:r>
    </w:p>
    <w:bookmarkEnd w:id="69"/>
    <w:bookmarkStart w:id="70" w:name="full-13-metric-cross-validation-panel"/>
    <w:p>
      <w:pPr>
        <w:pStyle w:val="Heading3"/>
      </w:pPr>
      <w:r>
        <w:t xml:space="preserve">4.2.2 Full 13-metric cross-validation panel</w:t>
      </w:r>
    </w:p>
    <w:p>
      <w:pPr>
        <w:pStyle w:val="FirstParagraph"/>
      </w:pPr>
      <w:r>
        <w:t xml:space="preserve">Table 10 reports the full 13-metric evaluation panel across the five folds, using the OOF max-F1 threshold of 0.4301 (Section 3.4.4) as the common operating point. For each metric we report the mean, standard deviation across folds, minimum and maximum fold values, and the 95% confidence interval derived from the t-distribution with</w:t>
      </w:r>
      <w:r>
        <w:t xml:space="preserve"> </w:t>
      </w:r>
      <m:oMath>
        <m:r>
          <m:t>d</m:t>
        </m:r>
        <m:r>
          <m:t>f</m:t>
        </m:r>
        <m:r>
          <m:rPr>
            <m:sty m:val="p"/>
          </m:rPr>
          <m:t>=</m:t>
        </m:r>
        <m:r>
          <m:t>4</m:t>
        </m:r>
      </m:oMath>
      <w:r>
        <w:t xml:space="preserve">.</w:t>
      </w:r>
    </w:p>
    <w:p>
      <w:pPr>
        <w:pStyle w:val="BodyText"/>
      </w:pPr>
      <w:r>
        <w:rPr>
          <w:bCs/>
          <w:b/>
        </w:rPr>
        <w:t xml:space="preserve">Table 10.</w:t>
      </w:r>
      <w:r>
        <w:t xml:space="preserve"> </w:t>
      </w:r>
      <w:r>
        <w:rPr>
          <w:iCs/>
          <w:i/>
        </w:rPr>
        <w:t xml:space="preserve">Full 13-metric 5-fold cross-validation panel (operating threshold = 0.4301, OOF max-F1). All metrics computed per-fold on that fold’s out-of-fold predictions, then aggregated across folds. 95% CI derived from the t-distribution with df = 4.</w:t>
      </w:r>
    </w:p>
    <w:tbl>
      <w:tblPr>
        <w:tblStyle w:val="Table"/>
        <w:tblW w:type="pct" w:w="5000"/>
        <w:tblLook w:firstRow="1" w:lastRow="0" w:firstColumn="0" w:lastColumn="0" w:noHBand="0" w:noVBand="0" w:val="0020"/>
        <w:jc w:val="start"/>
      </w:tblPr>
      <w:tblGrid>
        <w:gridCol w:w="1033"/>
        <w:gridCol w:w="1721"/>
        <w:gridCol w:w="1721"/>
        <w:gridCol w:w="1721"/>
        <w:gridCol w:w="1721"/>
      </w:tblGrid>
      <w:tr>
        <w:trPr>
          <w:tblHeader w:val="true"/>
        </w:trPr>
        <w:tc>
          <w:tcPr/>
          <w:p>
            <w:pPr>
              <w:pStyle w:val="Compact"/>
              <w:jc w:val="left"/>
            </w:pPr>
            <w:r>
              <w:t xml:space="preserve">Metric</w:t>
            </w:r>
          </w:p>
        </w:tc>
        <w:tc>
          <w:tcPr/>
          <w:p>
            <w:pPr>
              <w:pStyle w:val="Compact"/>
              <w:jc w:val="center"/>
            </w:pPr>
            <w:r>
              <w:t xml:space="preserve">Mean ± SD</w:t>
            </w:r>
          </w:p>
        </w:tc>
        <w:tc>
          <w:tcPr/>
          <w:p>
            <w:pPr>
              <w:pStyle w:val="Compact"/>
              <w:jc w:val="center"/>
            </w:pPr>
            <w:r>
              <w:t xml:space="preserve">Min</w:t>
            </w:r>
          </w:p>
        </w:tc>
        <w:tc>
          <w:tcPr/>
          <w:p>
            <w:pPr>
              <w:pStyle w:val="Compact"/>
              <w:jc w:val="center"/>
            </w:pPr>
            <w:r>
              <w:t xml:space="preserve">Max</w:t>
            </w:r>
          </w:p>
        </w:tc>
        <w:tc>
          <w:tcPr/>
          <w:p>
            <w:pPr>
              <w:pStyle w:val="Compact"/>
              <w:jc w:val="center"/>
            </w:pPr>
            <w:r>
              <w:t xml:space="preserve">95% CI</w:t>
            </w:r>
          </w:p>
        </w:tc>
      </w:tr>
      <w:tr>
        <w:tc>
          <w:tcPr/>
          <w:p>
            <w:pPr>
              <w:pStyle w:val="Compact"/>
              <w:jc w:val="left"/>
            </w:pPr>
            <w:r>
              <w:t xml:space="preserve">Accuracy</w:t>
            </w:r>
          </w:p>
        </w:tc>
        <w:tc>
          <w:tcPr/>
          <w:p>
            <w:pPr>
              <w:pStyle w:val="Compact"/>
              <w:jc w:val="center"/>
            </w:pPr>
            <w:r>
              <w:t xml:space="preserve">0.9308 ± 0.0046</w:t>
            </w:r>
          </w:p>
        </w:tc>
        <w:tc>
          <w:tcPr/>
          <w:p>
            <w:pPr>
              <w:pStyle w:val="Compact"/>
              <w:jc w:val="center"/>
            </w:pPr>
            <w:r>
              <w:t xml:space="preserve">0.9229</w:t>
            </w:r>
          </w:p>
        </w:tc>
        <w:tc>
          <w:tcPr/>
          <w:p>
            <w:pPr>
              <w:pStyle w:val="Compact"/>
              <w:jc w:val="center"/>
            </w:pPr>
            <w:r>
              <w:t xml:space="preserve">0.9347</w:t>
            </w:r>
          </w:p>
        </w:tc>
        <w:tc>
          <w:tcPr/>
          <w:p>
            <w:pPr>
              <w:pStyle w:val="Compact"/>
              <w:jc w:val="center"/>
            </w:pPr>
            <w:r>
              <w:t xml:space="preserve">[0.9251, 0.9365]</w:t>
            </w:r>
          </w:p>
        </w:tc>
      </w:tr>
      <w:tr>
        <w:tc>
          <w:tcPr/>
          <w:p>
            <w:pPr>
              <w:pStyle w:val="Compact"/>
              <w:jc w:val="left"/>
            </w:pPr>
            <w:r>
              <w:t xml:space="preserve">Balanced Accuracy</w:t>
            </w:r>
          </w:p>
        </w:tc>
        <w:tc>
          <w:tcPr/>
          <w:p>
            <w:pPr>
              <w:pStyle w:val="Compact"/>
              <w:jc w:val="center"/>
            </w:pPr>
            <w:r>
              <w:t xml:space="preserve">0.8821 ± 0.0085</w:t>
            </w:r>
          </w:p>
        </w:tc>
        <w:tc>
          <w:tcPr/>
          <w:p>
            <w:pPr>
              <w:pStyle w:val="Compact"/>
              <w:jc w:val="center"/>
            </w:pPr>
            <w:r>
              <w:t xml:space="preserve">0.8722</w:t>
            </w:r>
          </w:p>
        </w:tc>
        <w:tc>
          <w:tcPr/>
          <w:p>
            <w:pPr>
              <w:pStyle w:val="Compact"/>
              <w:jc w:val="center"/>
            </w:pPr>
            <w:r>
              <w:t xml:space="preserve">0.8924</w:t>
            </w:r>
          </w:p>
        </w:tc>
        <w:tc>
          <w:tcPr/>
          <w:p>
            <w:pPr>
              <w:pStyle w:val="Compact"/>
              <w:jc w:val="center"/>
            </w:pPr>
            <w:r>
              <w:t xml:space="preserve">[0.8716, 0.8926]</w:t>
            </w:r>
          </w:p>
        </w:tc>
      </w:tr>
      <w:tr>
        <w:tc>
          <w:tcPr/>
          <w:p>
            <w:pPr>
              <w:pStyle w:val="Compact"/>
              <w:jc w:val="left"/>
            </w:pPr>
            <w:r>
              <w:t xml:space="preserve">Precision</w:t>
            </w:r>
          </w:p>
        </w:tc>
        <w:tc>
          <w:tcPr/>
          <w:p>
            <w:pPr>
              <w:pStyle w:val="Compact"/>
              <w:jc w:val="center"/>
            </w:pPr>
            <w:r>
              <w:t xml:space="preserve">0.9463 ± 0.0065</w:t>
            </w:r>
          </w:p>
        </w:tc>
        <w:tc>
          <w:tcPr/>
          <w:p>
            <w:pPr>
              <w:pStyle w:val="Compact"/>
              <w:jc w:val="center"/>
            </w:pPr>
            <w:r>
              <w:t xml:space="preserve">0.9396</w:t>
            </w:r>
          </w:p>
        </w:tc>
        <w:tc>
          <w:tcPr/>
          <w:p>
            <w:pPr>
              <w:pStyle w:val="Compact"/>
              <w:jc w:val="center"/>
            </w:pPr>
            <w:r>
              <w:t xml:space="preserve">0.9560</w:t>
            </w:r>
          </w:p>
        </w:tc>
        <w:tc>
          <w:tcPr/>
          <w:p>
            <w:pPr>
              <w:pStyle w:val="Compact"/>
              <w:jc w:val="center"/>
            </w:pPr>
            <w:r>
              <w:t xml:space="preserve">[0.9382, 0.9544]</w:t>
            </w:r>
          </w:p>
        </w:tc>
      </w:tr>
      <w:tr>
        <w:tc>
          <w:tcPr/>
          <w:p>
            <w:pPr>
              <w:pStyle w:val="Compact"/>
              <w:jc w:val="left"/>
            </w:pPr>
            <w:r>
              <w:t xml:space="preserve">Recall</w:t>
            </w:r>
          </w:p>
        </w:tc>
        <w:tc>
          <w:tcPr/>
          <w:p>
            <w:pPr>
              <w:pStyle w:val="Compact"/>
              <w:jc w:val="center"/>
            </w:pPr>
            <w:r>
              <w:t xml:space="preserve">0.9671 ± 0.0125</w:t>
            </w:r>
          </w:p>
        </w:tc>
        <w:tc>
          <w:tcPr/>
          <w:p>
            <w:pPr>
              <w:pStyle w:val="Compact"/>
              <w:jc w:val="center"/>
            </w:pPr>
            <w:r>
              <w:t xml:space="preserve">0.9456</w:t>
            </w:r>
          </w:p>
        </w:tc>
        <w:tc>
          <w:tcPr/>
          <w:p>
            <w:pPr>
              <w:pStyle w:val="Compact"/>
              <w:jc w:val="center"/>
            </w:pPr>
            <w:r>
              <w:t xml:space="preserve">0.9755</w:t>
            </w:r>
          </w:p>
        </w:tc>
        <w:tc>
          <w:tcPr/>
          <w:p>
            <w:pPr>
              <w:pStyle w:val="Compact"/>
              <w:jc w:val="center"/>
            </w:pPr>
            <w:r>
              <w:t xml:space="preserve">[0.9516, 0.9826]</w:t>
            </w:r>
          </w:p>
        </w:tc>
      </w:tr>
      <w:tr>
        <w:tc>
          <w:tcPr/>
          <w:p>
            <w:pPr>
              <w:pStyle w:val="Compact"/>
              <w:jc w:val="left"/>
            </w:pPr>
            <w:r>
              <w:t xml:space="preserve">F1</w:t>
            </w:r>
          </w:p>
        </w:tc>
        <w:tc>
          <w:tcPr/>
          <w:p>
            <w:pPr>
              <w:pStyle w:val="Compact"/>
              <w:jc w:val="center"/>
            </w:pPr>
            <w:r>
              <w:t xml:space="preserve">0.9565 ± 0.0033</w:t>
            </w:r>
          </w:p>
        </w:tc>
        <w:tc>
          <w:tcPr/>
          <w:p>
            <w:pPr>
              <w:pStyle w:val="Compact"/>
              <w:jc w:val="center"/>
            </w:pPr>
            <w:r>
              <w:t xml:space="preserve">0.9508</w:t>
            </w:r>
          </w:p>
        </w:tc>
        <w:tc>
          <w:tcPr/>
          <w:p>
            <w:pPr>
              <w:pStyle w:val="Compact"/>
              <w:jc w:val="center"/>
            </w:pPr>
            <w:r>
              <w:t xml:space="preserve">0.9590</w:t>
            </w:r>
          </w:p>
        </w:tc>
        <w:tc>
          <w:tcPr/>
          <w:p>
            <w:pPr>
              <w:pStyle w:val="Compact"/>
              <w:jc w:val="center"/>
            </w:pPr>
            <w:r>
              <w:t xml:space="preserve">[0.9524, 0.9606]</w:t>
            </w:r>
          </w:p>
        </w:tc>
      </w:tr>
      <w:tr>
        <w:tc>
          <w:tcPr/>
          <w:p>
            <w:pPr>
              <w:pStyle w:val="Compact"/>
              <w:jc w:val="left"/>
            </w:pPr>
            <w:r>
              <w:t xml:space="preserve">ROC-AUC</w:t>
            </w:r>
          </w:p>
        </w:tc>
        <w:tc>
          <w:tcPr/>
          <w:p>
            <w:pPr>
              <w:pStyle w:val="Compact"/>
              <w:jc w:val="center"/>
            </w:pPr>
            <w:r>
              <w:t xml:space="preserve">0.9570 ± 0.0091</w:t>
            </w:r>
          </w:p>
        </w:tc>
        <w:tc>
          <w:tcPr/>
          <w:p>
            <w:pPr>
              <w:pStyle w:val="Compact"/>
              <w:jc w:val="center"/>
            </w:pPr>
            <w:r>
              <w:t xml:space="preserve">0.9430</w:t>
            </w:r>
          </w:p>
        </w:tc>
        <w:tc>
          <w:tcPr/>
          <w:p>
            <w:pPr>
              <w:pStyle w:val="Compact"/>
              <w:jc w:val="center"/>
            </w:pPr>
            <w:r>
              <w:t xml:space="preserve">0.9653</w:t>
            </w:r>
          </w:p>
        </w:tc>
        <w:tc>
          <w:tcPr/>
          <w:p>
            <w:pPr>
              <w:pStyle w:val="Compact"/>
              <w:jc w:val="center"/>
            </w:pPr>
            <w:r>
              <w:t xml:space="preserve">[0.9457, 0.9683]</w:t>
            </w:r>
          </w:p>
        </w:tc>
      </w:tr>
      <w:tr>
        <w:tc>
          <w:tcPr/>
          <w:p>
            <w:pPr>
              <w:pStyle w:val="Compact"/>
              <w:jc w:val="left"/>
            </w:pPr>
            <w:r>
              <w:t xml:space="preserve">AUPRC</w:t>
            </w:r>
          </w:p>
        </w:tc>
        <w:tc>
          <w:tcPr/>
          <w:p>
            <w:pPr>
              <w:pStyle w:val="Compact"/>
              <w:jc w:val="center"/>
            </w:pPr>
            <w:r>
              <w:t xml:space="preserve">0.9851 ± 0.0041</w:t>
            </w:r>
          </w:p>
        </w:tc>
        <w:tc>
          <w:tcPr/>
          <w:p>
            <w:pPr>
              <w:pStyle w:val="Compact"/>
              <w:jc w:val="center"/>
            </w:pPr>
            <w:r>
              <w:t xml:space="preserve">0.9787</w:t>
            </w:r>
          </w:p>
        </w:tc>
        <w:tc>
          <w:tcPr/>
          <w:p>
            <w:pPr>
              <w:pStyle w:val="Compact"/>
              <w:jc w:val="center"/>
            </w:pPr>
            <w:r>
              <w:t xml:space="preserve">0.9880</w:t>
            </w:r>
          </w:p>
        </w:tc>
        <w:tc>
          <w:tcPr/>
          <w:p>
            <w:pPr>
              <w:pStyle w:val="Compact"/>
              <w:jc w:val="center"/>
            </w:pPr>
            <w:r>
              <w:t xml:space="preserve">[0.9800, 0.9901]</w:t>
            </w:r>
          </w:p>
        </w:tc>
      </w:tr>
      <w:tr>
        <w:tc>
          <w:tcPr/>
          <w:p>
            <w:pPr>
              <w:pStyle w:val="Compact"/>
              <w:jc w:val="left"/>
            </w:pPr>
            <w:r>
              <w:t xml:space="preserve">MCC</w:t>
            </w:r>
          </w:p>
        </w:tc>
        <w:tc>
          <w:tcPr/>
          <w:p>
            <w:pPr>
              <w:pStyle w:val="Compact"/>
              <w:jc w:val="center"/>
            </w:pPr>
            <w:r>
              <w:t xml:space="preserve">0.7896 ± 0.0099</w:t>
            </w:r>
          </w:p>
        </w:tc>
        <w:tc>
          <w:tcPr/>
          <w:p>
            <w:pPr>
              <w:pStyle w:val="Compact"/>
              <w:jc w:val="center"/>
            </w:pPr>
            <w:r>
              <w:t xml:space="preserve">0.7737</w:t>
            </w:r>
          </w:p>
        </w:tc>
        <w:tc>
          <w:tcPr/>
          <w:p>
            <w:pPr>
              <w:pStyle w:val="Compact"/>
              <w:jc w:val="center"/>
            </w:pPr>
            <w:r>
              <w:t xml:space="preserve">0.7998</w:t>
            </w:r>
          </w:p>
        </w:tc>
        <w:tc>
          <w:tcPr/>
          <w:p>
            <w:pPr>
              <w:pStyle w:val="Compact"/>
              <w:jc w:val="center"/>
            </w:pPr>
            <w:r>
              <w:t xml:space="preserve">[0.7773, 0.8019]</w:t>
            </w:r>
          </w:p>
        </w:tc>
      </w:tr>
      <w:tr>
        <w:tc>
          <w:tcPr/>
          <w:p>
            <w:pPr>
              <w:pStyle w:val="Compact"/>
              <w:jc w:val="left"/>
            </w:pPr>
            <w:r>
              <w:t xml:space="preserve">Sensitivity</w:t>
            </w:r>
          </w:p>
        </w:tc>
        <w:tc>
          <w:tcPr/>
          <w:p>
            <w:pPr>
              <w:pStyle w:val="Compact"/>
              <w:jc w:val="center"/>
            </w:pPr>
            <w:r>
              <w:t xml:space="preserve">0.9671 ± 0.0125</w:t>
            </w:r>
          </w:p>
        </w:tc>
        <w:tc>
          <w:tcPr/>
          <w:p>
            <w:pPr>
              <w:pStyle w:val="Compact"/>
              <w:jc w:val="center"/>
            </w:pPr>
            <w:r>
              <w:t xml:space="preserve">0.9456</w:t>
            </w:r>
          </w:p>
        </w:tc>
        <w:tc>
          <w:tcPr/>
          <w:p>
            <w:pPr>
              <w:pStyle w:val="Compact"/>
              <w:jc w:val="center"/>
            </w:pPr>
            <w:r>
              <w:t xml:space="preserve">0.9755</w:t>
            </w:r>
          </w:p>
        </w:tc>
        <w:tc>
          <w:tcPr/>
          <w:p>
            <w:pPr>
              <w:pStyle w:val="Compact"/>
              <w:jc w:val="center"/>
            </w:pPr>
            <w:r>
              <w:t xml:space="preserve">[0.9516, 0.9826]</w:t>
            </w:r>
          </w:p>
        </w:tc>
      </w:tr>
      <w:tr>
        <w:tc>
          <w:tcPr/>
          <w:p>
            <w:pPr>
              <w:pStyle w:val="Compact"/>
              <w:jc w:val="left"/>
            </w:pPr>
            <w:r>
              <w:t xml:space="preserve">Specificity</w:t>
            </w:r>
          </w:p>
        </w:tc>
        <w:tc>
          <w:tcPr/>
          <w:p>
            <w:pPr>
              <w:pStyle w:val="Compact"/>
              <w:jc w:val="center"/>
            </w:pPr>
            <w:r>
              <w:t xml:space="preserve">0.7972 ± 0.0282</w:t>
            </w:r>
          </w:p>
        </w:tc>
        <w:tc>
          <w:tcPr/>
          <w:p>
            <w:pPr>
              <w:pStyle w:val="Compact"/>
              <w:jc w:val="center"/>
            </w:pPr>
            <w:r>
              <w:t xml:space="preserve">0.7688</w:t>
            </w:r>
          </w:p>
        </w:tc>
        <w:tc>
          <w:tcPr/>
          <w:p>
            <w:pPr>
              <w:pStyle w:val="Compact"/>
              <w:jc w:val="center"/>
            </w:pPr>
            <w:r>
              <w:t xml:space="preserve">0.8392</w:t>
            </w:r>
          </w:p>
        </w:tc>
        <w:tc>
          <w:tcPr/>
          <w:p>
            <w:pPr>
              <w:pStyle w:val="Compact"/>
              <w:jc w:val="center"/>
            </w:pPr>
            <w:r>
              <w:t xml:space="preserve">[0.7622, 0.8322]</w:t>
            </w:r>
          </w:p>
        </w:tc>
      </w:tr>
      <w:tr>
        <w:tc>
          <w:tcPr/>
          <w:p>
            <w:pPr>
              <w:pStyle w:val="Compact"/>
              <w:jc w:val="left"/>
            </w:pPr>
            <w:r>
              <w:t xml:space="preserve">NPV</w:t>
            </w:r>
          </w:p>
        </w:tc>
        <w:tc>
          <w:tcPr/>
          <w:p>
            <w:pPr>
              <w:pStyle w:val="Compact"/>
              <w:jc w:val="center"/>
            </w:pPr>
            <w:r>
              <w:t xml:space="preserve">0.8701 ± 0.0368</w:t>
            </w:r>
          </w:p>
        </w:tc>
        <w:tc>
          <w:tcPr/>
          <w:p>
            <w:pPr>
              <w:pStyle w:val="Compact"/>
              <w:jc w:val="center"/>
            </w:pPr>
            <w:r>
              <w:t xml:space="preserve">0.8068</w:t>
            </w:r>
          </w:p>
        </w:tc>
        <w:tc>
          <w:tcPr/>
          <w:p>
            <w:pPr>
              <w:pStyle w:val="Compact"/>
              <w:jc w:val="center"/>
            </w:pPr>
            <w:r>
              <w:t xml:space="preserve">0.8953</w:t>
            </w:r>
          </w:p>
        </w:tc>
        <w:tc>
          <w:tcPr/>
          <w:p>
            <w:pPr>
              <w:pStyle w:val="Compact"/>
              <w:jc w:val="center"/>
            </w:pPr>
            <w:r>
              <w:t xml:space="preserve">[0.8243, 0.9158]</w:t>
            </w:r>
          </w:p>
        </w:tc>
      </w:tr>
      <w:tr>
        <w:tc>
          <w:tcPr/>
          <w:p>
            <w:pPr>
              <w:pStyle w:val="Compact"/>
              <w:jc w:val="left"/>
            </w:pPr>
            <w:r>
              <w:t xml:space="preserve">Cohen’s κ</w:t>
            </w:r>
          </w:p>
        </w:tc>
        <w:tc>
          <w:tcPr/>
          <w:p>
            <w:pPr>
              <w:pStyle w:val="Compact"/>
              <w:jc w:val="center"/>
            </w:pPr>
            <w:r>
              <w:t xml:space="preserve">0.7877 ± 0.0095</w:t>
            </w:r>
          </w:p>
        </w:tc>
        <w:tc>
          <w:tcPr/>
          <w:p>
            <w:pPr>
              <w:pStyle w:val="Compact"/>
              <w:jc w:val="center"/>
            </w:pPr>
            <w:r>
              <w:t xml:space="preserve">0.7734</w:t>
            </w:r>
          </w:p>
        </w:tc>
        <w:tc>
          <w:tcPr/>
          <w:p>
            <w:pPr>
              <w:pStyle w:val="Compact"/>
              <w:jc w:val="center"/>
            </w:pPr>
            <w:r>
              <w:t xml:space="preserve">0.7982</w:t>
            </w:r>
          </w:p>
        </w:tc>
        <w:tc>
          <w:tcPr/>
          <w:p>
            <w:pPr>
              <w:pStyle w:val="Compact"/>
              <w:jc w:val="center"/>
            </w:pPr>
            <w:r>
              <w:t xml:space="preserve">[0.7759, 0.7995]</w:t>
            </w:r>
          </w:p>
        </w:tc>
      </w:tr>
      <w:tr>
        <w:tc>
          <w:tcPr/>
          <w:p>
            <w:pPr>
              <w:pStyle w:val="Compact"/>
              <w:jc w:val="left"/>
            </w:pPr>
            <w:r>
              <w:t xml:space="preserve">Brier score</w:t>
            </w:r>
          </w:p>
        </w:tc>
        <w:tc>
          <w:tcPr/>
          <w:p>
            <w:pPr>
              <w:pStyle w:val="Compact"/>
              <w:jc w:val="center"/>
            </w:pPr>
            <w:r>
              <w:t xml:space="preserve">0.0595 ± 0.0057</w:t>
            </w:r>
          </w:p>
        </w:tc>
        <w:tc>
          <w:tcPr/>
          <w:p>
            <w:pPr>
              <w:pStyle w:val="Compact"/>
              <w:jc w:val="center"/>
            </w:pPr>
            <w:r>
              <w:t xml:space="preserve">0.0551</w:t>
            </w:r>
          </w:p>
        </w:tc>
        <w:tc>
          <w:tcPr/>
          <w:p>
            <w:pPr>
              <w:pStyle w:val="Compact"/>
              <w:jc w:val="center"/>
            </w:pPr>
            <w:r>
              <w:t xml:space="preserve">0.0666</w:t>
            </w:r>
          </w:p>
        </w:tc>
        <w:tc>
          <w:tcPr/>
          <w:p>
            <w:pPr>
              <w:pStyle w:val="Compact"/>
              <w:jc w:val="center"/>
            </w:pPr>
            <w:r>
              <w:t xml:space="preserve">[0.0525, 0.0666]</w:t>
            </w:r>
          </w:p>
        </w:tc>
      </w:tr>
    </w:tbl>
    <w:p>
      <w:pPr>
        <w:pStyle w:val="BodyText"/>
      </w:pPr>
      <w:r>
        <w:t xml:space="preserve">Several patterns in Table 10 warrant explicit comment.</w:t>
      </w:r>
    </w:p>
    <w:p>
      <w:pPr>
        <w:pStyle w:val="BodyText"/>
      </w:pPr>
      <w:r>
        <w:rPr>
          <w:bCs/>
          <w:b/>
        </w:rPr>
        <w:t xml:space="preserve">Threshold-independent metrics are strong.</w:t>
      </w:r>
      <w:r>
        <w:t xml:space="preserve"> </w:t>
      </w:r>
      <w:r>
        <w:t xml:space="preserve">ROC-AUC = 0.9570 ± 0.0091 and AUPRC = 0.9851 ± 0.0041 are both high and tightly clustered across folds, indicating that the model’s</w:t>
      </w:r>
      <w:r>
        <w:t xml:space="preserve"> </w:t>
      </w:r>
      <w:r>
        <w:rPr>
          <w:iCs/>
          <w:i/>
        </w:rPr>
        <w:t xml:space="preserve">ranking</w:t>
      </w:r>
      <w:r>
        <w:t xml:space="preserve"> </w:t>
      </w:r>
      <w:r>
        <w:t xml:space="preserve">of active vs inactive compounds is reliable and stable regardless of the operating threshold chosen.</w:t>
      </w:r>
    </w:p>
    <w:p>
      <w:pPr>
        <w:pStyle w:val="BodyText"/>
      </w:pPr>
      <w:r>
        <w:rPr>
          <w:bCs/>
          <w:b/>
        </w:rPr>
        <w:t xml:space="preserve">Discrimination and calibration are simultaneously strong.</w:t>
      </w:r>
      <w:r>
        <w:t xml:space="preserve"> </w:t>
      </w:r>
      <w:r>
        <w:t xml:space="preserve">MCC = 0.7896 ± 0.0099 and Cohen’s</w:t>
      </w:r>
      <w:r>
        <w:t xml:space="preserve"> </w:t>
      </w:r>
      <m:oMath>
        <m:r>
          <m:t>κ</m:t>
        </m:r>
      </m:oMath>
      <w:r>
        <w:t xml:space="preserve"> </w:t>
      </w:r>
      <w:r>
        <w:t xml:space="preserve">= 0.7877 ± 0.0095 track each other tightly, as expected. The Brier score of 0.0595 ± 0.0057 indicates well-calibrated output probabilities: the mean squared distance between predicted probability and hard label is small, and no fold produces a Brier score above 0.0666.</w:t>
      </w:r>
    </w:p>
    <w:p>
      <w:pPr>
        <w:pStyle w:val="BodyText"/>
      </w:pPr>
      <w:r>
        <w:rPr>
          <w:bCs/>
          <w:b/>
        </w:rPr>
        <w:t xml:space="preserve">Sensitivity is markedly higher than specificity.</w:t>
      </w:r>
      <w:r>
        <w:t xml:space="preserve"> </w:t>
      </w:r>
      <w:r>
        <w:t xml:space="preserve">Recall/Sensitivity = 0.9671 ± 0.0125 versus Specificity = 0.7972 ± 0.0282 — the model detects almost all active compounds (the majority class) but recovers only</w:t>
      </w:r>
      <w:r>
        <w:t xml:space="preserve"> </w:t>
      </w:r>
      <m:oMath>
        <m:r>
          <m:rPr>
            <m:sty m:val="p"/>
          </m:rPr>
          <m:t>≈</m:t>
        </m:r>
        <m:r>
          <m:t>80</m:t>
        </m:r>
      </m:oMath>
      <w:r>
        <w:t xml:space="preserve">% of inactive compounds (the minority class). This gap is the expected residual signature of class imbalance even after the four-layered treatment of Section 3.4: sensitivity is easier to achieve on the majority class, where more training examples exist, than specificity is on the minority class. The gap of</w:t>
      </w:r>
      <w:r>
        <w:t xml:space="preserve"> </w:t>
      </w:r>
      <m:oMath>
        <m:r>
          <m:rPr>
            <m:sty m:val="p"/>
          </m:rPr>
          <m:t>≈</m:t>
        </m:r>
        <m:r>
          <m:t>0.17</m:t>
        </m:r>
      </m:oMath>
      <w:r>
        <w:t xml:space="preserve"> </w:t>
      </w:r>
      <w:r>
        <w:t xml:space="preserve">is nonetheless substantially smaller than would be produced by a class-blind pipeline, indicating that the imbalance treatment is materially effective.</w:t>
      </w:r>
    </w:p>
    <w:p>
      <w:pPr>
        <w:pStyle w:val="BodyText"/>
      </w:pPr>
      <w:r>
        <w:rPr>
          <w:bCs/>
          <w:b/>
        </w:rPr>
        <w:t xml:space="preserve">Specificity is the highest-variance metric across folds.</w:t>
      </w:r>
      <w:r>
        <w:t xml:space="preserve"> </w:t>
      </w:r>
      <w:r>
        <w:t xml:space="preserve">The Specificity standard deviation (0.0282) and NPV standard deviation (0.0368) are three to seven times larger than the standard deviation of any threshold-independent metric. This is also expected: specificity is computed from the minority class (172 inactive test molecules divided across five folds gives</w:t>
      </w:r>
      <w:r>
        <w:t xml:space="preserve"> </w:t>
      </w:r>
      <m:oMath>
        <m:r>
          <m:rPr>
            <m:sty m:val="p"/>
          </m:rPr>
          <m:t>≈</m:t>
        </m:r>
        <m:r>
          <m:t>200</m:t>
        </m:r>
      </m:oMath>
      <w:r>
        <w:t xml:space="preserve"> </w:t>
      </w:r>
      <w:r>
        <w:t xml:space="preserve">inactive OOF molecules per fold), and small denominators produce large fold-to-fold variance. This is a diagnostic finding, not a failure — it tells us that our minority-class per-fold sample sizes are the numerical bottleneck on how tightly Specificity can be estimated, not a flaw in the model itself.</w:t>
      </w:r>
    </w:p>
    <w:bookmarkEnd w:id="70"/>
    <w:bookmarkEnd w:id="71"/>
    <w:bookmarkStart w:id="72" w:name="X088e0a2f2706c9625a373f1c59bfe3cb77c5555"/>
    <w:p>
      <w:pPr>
        <w:pStyle w:val="Heading2"/>
      </w:pPr>
      <w:r>
        <w:t xml:space="preserve">4.3 Out-of-Fold Analysis and Threshold Selection</w:t>
      </w:r>
    </w:p>
    <w:p>
      <w:pPr>
        <w:pStyle w:val="FirstParagraph"/>
      </w:pPr>
      <w:r>
        <w:t xml:space="preserve">The out-of-fold (OOF) predictions — where every dev-set molecule’s prediction comes from a fold model that has never seen it during training — provide an unbiased estimate of the model’s generalisation performance on the development partition. The OOF AUROC on the full 4,669-molecule dev set is</w:t>
      </w:r>
      <w:r>
        <w:t xml:space="preserve"> </w:t>
      </w:r>
      <w:r>
        <w:rPr>
          <w:bCs/>
          <w:b/>
        </w:rPr>
        <w:t xml:space="preserve">0.9549</w:t>
      </w:r>
      <w:r>
        <w:t xml:space="preserve">, essentially indistinguishable from the mean of per-fold validation AUROCs (0.9568 ± 0.0081) and lying comfortably within one standard deviation of it. The near-agreement of these two numbers is diagnostic: had the OOF AUROC been substantially below the per-fold mean, it would have signalled that per-fold model selection (choosing the best fold-validation-AUROC checkpoint) was implicitly overfitting to fold-specific validation partitions; had it been substantially above, it would have signalled some form of leakage in the OOF construction. Neither pattern is present.</w:t>
      </w:r>
    </w:p>
    <w:p>
      <w:pPr>
        <w:pStyle w:val="BodyText"/>
      </w:pPr>
      <w:r>
        <w:t xml:space="preserve">Two operating thresholds are extracted from the OOF predictions. The F1-maximising threshold on OOF predictions is 0.4301, used to compute Table 10. The MCC-maximising threshold on OOF predictions is 0.430 (with a corresponding OOF MCC of 0.7881), used to score the final held-out test set (Section 4.4). Both thresholds lie well below the naïve 0.5 default, reflecting the class-imbalanced posterior of the trained classifier: the model’s predicted probability of the majority (active) class is calibrated slightly higher than the class-balanced-batch training would suggest, so a threshold below 0.5 is required to trade some of that majority-class confidence for correct minority-class classification. This is exactly why we insisted on OOF-derived thresholds rather than defaulting to 0.5 (Section 3.4.4).</w:t>
      </w:r>
    </w:p>
    <w:bookmarkEnd w:id="72"/>
    <w:bookmarkStart w:id="73" w:name="held-out-test-performance"/>
    <w:p>
      <w:pPr>
        <w:pStyle w:val="Heading2"/>
      </w:pPr>
      <w:r>
        <w:t xml:space="preserve">4.4 Held-Out Test Performance</w:t>
      </w:r>
    </w:p>
    <w:p>
      <w:pPr>
        <w:pStyle w:val="FirstParagraph"/>
      </w:pPr>
      <w:r>
        <w:t xml:space="preserve">The 5-model ensemble described in Section 3.5.7, evaluated on the 825-molecule held-out test partition at the OOF-derived MCC-optimal threshold of 0.430, produces the results in Table 11.</w:t>
      </w:r>
    </w:p>
    <w:p>
      <w:pPr>
        <w:pStyle w:val="BodyText"/>
      </w:pPr>
      <w:r>
        <w:rPr>
          <w:bCs/>
          <w:b/>
        </w:rPr>
        <w:t xml:space="preserve">Table 11.</w:t>
      </w:r>
      <w:r>
        <w:t xml:space="preserve"> </w:t>
      </w:r>
      <w:r>
        <w:rPr>
          <w:iCs/>
          <w:i/>
        </w:rPr>
        <w:t xml:space="preserve">5-fold ensemble performance on the held-out test partition (n = 825; 653 Active, 172 Inactive). Threshold = 0.430 (OOF MCC-optimal). No test-time augmentation.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center"/>
            </w:pPr>
            <w:r>
              <w:t xml:space="preserve">Value</w:t>
            </w:r>
          </w:p>
        </w:tc>
      </w:tr>
      <w:tr>
        <w:tc>
          <w:tcPr/>
          <w:p>
            <w:pPr>
              <w:pStyle w:val="Compact"/>
              <w:jc w:val="left"/>
            </w:pPr>
            <w:r>
              <w:t xml:space="preserve">Accuracy</w:t>
            </w:r>
          </w:p>
        </w:tc>
        <w:tc>
          <w:tcPr/>
          <w:p>
            <w:pPr>
              <w:pStyle w:val="Compact"/>
              <w:jc w:val="center"/>
            </w:pPr>
            <w:r>
              <w:t xml:space="preserve">0.9273</w:t>
            </w:r>
          </w:p>
        </w:tc>
      </w:tr>
      <w:tr>
        <w:tc>
          <w:tcPr/>
          <w:p>
            <w:pPr>
              <w:pStyle w:val="Compact"/>
              <w:jc w:val="left"/>
            </w:pPr>
            <w:r>
              <w:t xml:space="preserve">Balanced Accuracy</w:t>
            </w:r>
          </w:p>
        </w:tc>
        <w:tc>
          <w:tcPr/>
          <w:p>
            <w:pPr>
              <w:pStyle w:val="Compact"/>
              <w:jc w:val="center"/>
            </w:pPr>
            <w:r>
              <w:t xml:space="preserve">0.8855</w:t>
            </w:r>
          </w:p>
        </w:tc>
      </w:tr>
      <w:tr>
        <w:tc>
          <w:tcPr/>
          <w:p>
            <w:pPr>
              <w:pStyle w:val="Compact"/>
              <w:jc w:val="left"/>
            </w:pPr>
            <w:r>
              <w:t xml:space="preserve">Precision</w:t>
            </w:r>
          </w:p>
        </w:tc>
        <w:tc>
          <w:tcPr/>
          <w:p>
            <w:pPr>
              <w:pStyle w:val="Compact"/>
              <w:jc w:val="center"/>
            </w:pPr>
            <w:r>
              <w:t xml:space="preserve">0.9513</w:t>
            </w:r>
          </w:p>
        </w:tc>
      </w:tr>
      <w:tr>
        <w:tc>
          <w:tcPr/>
          <w:p>
            <w:pPr>
              <w:pStyle w:val="Compact"/>
              <w:jc w:val="left"/>
            </w:pPr>
            <w:r>
              <w:t xml:space="preserve">Recall</w:t>
            </w:r>
          </w:p>
        </w:tc>
        <w:tc>
          <w:tcPr/>
          <w:p>
            <w:pPr>
              <w:pStyle w:val="Compact"/>
              <w:jc w:val="center"/>
            </w:pPr>
            <w:r>
              <w:t xml:space="preserve">0.9571</w:t>
            </w:r>
          </w:p>
        </w:tc>
      </w:tr>
      <w:tr>
        <w:tc>
          <w:tcPr/>
          <w:p>
            <w:pPr>
              <w:pStyle w:val="Compact"/>
              <w:jc w:val="left"/>
            </w:pPr>
            <w:r>
              <w:t xml:space="preserve">F1</w:t>
            </w:r>
          </w:p>
        </w:tc>
        <w:tc>
          <w:tcPr/>
          <w:p>
            <w:pPr>
              <w:pStyle w:val="Compact"/>
              <w:jc w:val="center"/>
            </w:pPr>
            <w:r>
              <w:t xml:space="preserve">0.9542</w:t>
            </w:r>
          </w:p>
        </w:tc>
      </w:tr>
      <w:tr>
        <w:tc>
          <w:tcPr/>
          <w:p>
            <w:pPr>
              <w:pStyle w:val="Compact"/>
              <w:jc w:val="left"/>
            </w:pPr>
            <w:r>
              <w:t xml:space="preserve">ROC-AUC</w:t>
            </w:r>
          </w:p>
        </w:tc>
        <w:tc>
          <w:tcPr/>
          <w:p>
            <w:pPr>
              <w:pStyle w:val="Compact"/>
              <w:jc w:val="center"/>
            </w:pPr>
            <w:r>
              <w:t xml:space="preserve">0.9658</w:t>
            </w:r>
          </w:p>
        </w:tc>
      </w:tr>
      <w:tr>
        <w:tc>
          <w:tcPr/>
          <w:p>
            <w:pPr>
              <w:pStyle w:val="Compact"/>
              <w:jc w:val="left"/>
            </w:pPr>
            <w:r>
              <w:t xml:space="preserve">AUPRC</w:t>
            </w:r>
          </w:p>
        </w:tc>
        <w:tc>
          <w:tcPr/>
          <w:p>
            <w:pPr>
              <w:pStyle w:val="Compact"/>
              <w:jc w:val="center"/>
            </w:pPr>
            <w:r>
              <w:t xml:space="preserve">0.9897</w:t>
            </w:r>
          </w:p>
        </w:tc>
      </w:tr>
      <w:tr>
        <w:tc>
          <w:tcPr/>
          <w:p>
            <w:pPr>
              <w:pStyle w:val="Compact"/>
              <w:jc w:val="left"/>
            </w:pPr>
            <w:r>
              <w:t xml:space="preserve">MCC</w:t>
            </w:r>
          </w:p>
        </w:tc>
        <w:tc>
          <w:tcPr/>
          <w:p>
            <w:pPr>
              <w:pStyle w:val="Compact"/>
              <w:jc w:val="center"/>
            </w:pPr>
            <w:r>
              <w:t xml:space="preserve">0.7778</w:t>
            </w:r>
          </w:p>
        </w:tc>
      </w:tr>
      <w:tr>
        <w:tc>
          <w:tcPr/>
          <w:p>
            <w:pPr>
              <w:pStyle w:val="Compact"/>
              <w:jc w:val="left"/>
            </w:pPr>
            <w:r>
              <w:t xml:space="preserve">Sensitivity</w:t>
            </w:r>
          </w:p>
        </w:tc>
        <w:tc>
          <w:tcPr/>
          <w:p>
            <w:pPr>
              <w:pStyle w:val="Compact"/>
              <w:jc w:val="center"/>
            </w:pPr>
            <w:r>
              <w:t xml:space="preserve">0.9571</w:t>
            </w:r>
          </w:p>
        </w:tc>
      </w:tr>
      <w:tr>
        <w:tc>
          <w:tcPr/>
          <w:p>
            <w:pPr>
              <w:pStyle w:val="Compact"/>
              <w:jc w:val="left"/>
            </w:pPr>
            <w:r>
              <w:t xml:space="preserve">Specificity</w:t>
            </w:r>
          </w:p>
        </w:tc>
        <w:tc>
          <w:tcPr/>
          <w:p>
            <w:pPr>
              <w:pStyle w:val="Compact"/>
              <w:jc w:val="center"/>
            </w:pPr>
            <w:r>
              <w:t xml:space="preserve">0.8140</w:t>
            </w:r>
          </w:p>
        </w:tc>
      </w:tr>
    </w:tbl>
    <w:p>
      <w:pPr>
        <w:pStyle w:val="BodyText"/>
      </w:pPr>
      <w:r>
        <w:rPr>
          <w:bCs/>
          <w:b/>
        </w:rPr>
        <w:t xml:space="preserve">Table 12.</w:t>
      </w:r>
      <w:r>
        <w:t xml:space="preserve"> </w:t>
      </w:r>
      <w:r>
        <w:rPr>
          <w:iCs/>
          <w:i/>
        </w:rPr>
        <w:t xml:space="preserve">Per-class classification report on the held-out test partition (threshold = 0.430).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F1-score</w:t>
            </w:r>
          </w:p>
        </w:tc>
        <w:tc>
          <w:tcPr/>
          <w:p>
            <w:pPr>
              <w:pStyle w:val="Compact"/>
              <w:jc w:val="center"/>
            </w:pPr>
            <w:r>
              <w:t xml:space="preserve">Support</w:t>
            </w:r>
          </w:p>
        </w:tc>
      </w:tr>
      <w:tr>
        <w:tc>
          <w:tcPr/>
          <w:p>
            <w:pPr>
              <w:pStyle w:val="Compact"/>
              <w:jc w:val="left"/>
            </w:pPr>
            <w:r>
              <w:t xml:space="preserve">Inactive</w:t>
            </w:r>
          </w:p>
        </w:tc>
        <w:tc>
          <w:tcPr/>
          <w:p>
            <w:pPr>
              <w:pStyle w:val="Compact"/>
              <w:jc w:val="center"/>
            </w:pPr>
            <w:r>
              <w:t xml:space="preserve">0.83</w:t>
            </w:r>
          </w:p>
        </w:tc>
        <w:tc>
          <w:tcPr/>
          <w:p>
            <w:pPr>
              <w:pStyle w:val="Compact"/>
              <w:jc w:val="center"/>
            </w:pPr>
            <w:r>
              <w:t xml:space="preserve">0.81</w:t>
            </w:r>
          </w:p>
        </w:tc>
        <w:tc>
          <w:tcPr/>
          <w:p>
            <w:pPr>
              <w:pStyle w:val="Compact"/>
              <w:jc w:val="center"/>
            </w:pPr>
            <w:r>
              <w:t xml:space="preserve">0.82</w:t>
            </w:r>
          </w:p>
        </w:tc>
        <w:tc>
          <w:tcPr/>
          <w:p>
            <w:pPr>
              <w:pStyle w:val="Compact"/>
              <w:jc w:val="center"/>
            </w:pPr>
            <w:r>
              <w:t xml:space="preserve">172</w:t>
            </w:r>
          </w:p>
        </w:tc>
      </w:tr>
      <w:tr>
        <w:tc>
          <w:tcPr/>
          <w:p>
            <w:pPr>
              <w:pStyle w:val="Compact"/>
              <w:jc w:val="left"/>
            </w:pPr>
            <w:r>
              <w:t xml:space="preserve">Active</w:t>
            </w:r>
          </w:p>
        </w:tc>
        <w:tc>
          <w:tcPr/>
          <w:p>
            <w:pPr>
              <w:pStyle w:val="Compact"/>
              <w:jc w:val="center"/>
            </w:pPr>
            <w:r>
              <w:t xml:space="preserve">0.95</w:t>
            </w:r>
          </w:p>
        </w:tc>
        <w:tc>
          <w:tcPr/>
          <w:p>
            <w:pPr>
              <w:pStyle w:val="Compact"/>
              <w:jc w:val="center"/>
            </w:pPr>
            <w:r>
              <w:t xml:space="preserve">0.96</w:t>
            </w:r>
          </w:p>
        </w:tc>
        <w:tc>
          <w:tcPr/>
          <w:p>
            <w:pPr>
              <w:pStyle w:val="Compact"/>
              <w:jc w:val="center"/>
            </w:pPr>
            <w:r>
              <w:t xml:space="preserve">0.95</w:t>
            </w:r>
          </w:p>
        </w:tc>
        <w:tc>
          <w:tcPr/>
          <w:p>
            <w:pPr>
              <w:pStyle w:val="Compact"/>
              <w:jc w:val="center"/>
            </w:pPr>
            <w:r>
              <w:t xml:space="preserve">653</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Accuracy</w:t>
            </w:r>
          </w:p>
        </w:tc>
        <w:tc>
          <w:tcPr/>
          <w:p>
            <w:pPr>
              <w:pStyle w:val="Compact"/>
            </w:pPr>
          </w:p>
        </w:tc>
        <w:tc>
          <w:tcPr/>
          <w:p>
            <w:pPr>
              <w:pStyle w:val="Compact"/>
            </w:pPr>
          </w:p>
        </w:tc>
        <w:tc>
          <w:tcPr/>
          <w:p>
            <w:pPr>
              <w:pStyle w:val="Compact"/>
              <w:jc w:val="center"/>
            </w:pPr>
            <w:r>
              <w:t xml:space="preserve">0.93</w:t>
            </w:r>
          </w:p>
        </w:tc>
        <w:tc>
          <w:tcPr/>
          <w:p>
            <w:pPr>
              <w:pStyle w:val="Compact"/>
              <w:jc w:val="center"/>
            </w:pPr>
            <w:r>
              <w:t xml:space="preserve">825</w:t>
            </w:r>
          </w:p>
        </w:tc>
      </w:tr>
      <w:tr>
        <w:tc>
          <w:tcPr/>
          <w:p>
            <w:pPr>
              <w:pStyle w:val="Compact"/>
              <w:jc w:val="left"/>
            </w:pPr>
            <w:r>
              <w:t xml:space="preserve">Macro avg</w:t>
            </w:r>
          </w:p>
        </w:tc>
        <w:tc>
          <w:tcPr/>
          <w:p>
            <w:pPr>
              <w:pStyle w:val="Compact"/>
              <w:jc w:val="center"/>
            </w:pPr>
            <w:r>
              <w:t xml:space="preserve">0.89</w:t>
            </w:r>
          </w:p>
        </w:tc>
        <w:tc>
          <w:tcPr/>
          <w:p>
            <w:pPr>
              <w:pStyle w:val="Compact"/>
              <w:jc w:val="center"/>
            </w:pPr>
            <w:r>
              <w:t xml:space="preserve">0.89</w:t>
            </w:r>
          </w:p>
        </w:tc>
        <w:tc>
          <w:tcPr/>
          <w:p>
            <w:pPr>
              <w:pStyle w:val="Compact"/>
              <w:jc w:val="center"/>
            </w:pPr>
            <w:r>
              <w:t xml:space="preserve">0.89</w:t>
            </w:r>
          </w:p>
        </w:tc>
        <w:tc>
          <w:tcPr/>
          <w:p>
            <w:pPr>
              <w:pStyle w:val="Compact"/>
              <w:jc w:val="center"/>
            </w:pPr>
            <w:r>
              <w:t xml:space="preserve">825</w:t>
            </w:r>
          </w:p>
        </w:tc>
      </w:tr>
      <w:tr>
        <w:tc>
          <w:tcPr/>
          <w:p>
            <w:pPr>
              <w:pStyle w:val="Compact"/>
              <w:jc w:val="left"/>
            </w:pPr>
            <w:r>
              <w:t xml:space="preserve">Weighted avg</w:t>
            </w:r>
          </w:p>
        </w:tc>
        <w:tc>
          <w:tcPr/>
          <w:p>
            <w:pPr>
              <w:pStyle w:val="Compact"/>
              <w:jc w:val="center"/>
            </w:pPr>
            <w:r>
              <w:t xml:space="preserve">0.93</w:t>
            </w:r>
          </w:p>
        </w:tc>
        <w:tc>
          <w:tcPr/>
          <w:p>
            <w:pPr>
              <w:pStyle w:val="Compact"/>
              <w:jc w:val="center"/>
            </w:pPr>
            <w:r>
              <w:t xml:space="preserve">0.93</w:t>
            </w:r>
          </w:p>
        </w:tc>
        <w:tc>
          <w:tcPr/>
          <w:p>
            <w:pPr>
              <w:pStyle w:val="Compact"/>
              <w:jc w:val="center"/>
            </w:pPr>
            <w:r>
              <w:t xml:space="preserve">0.93</w:t>
            </w:r>
          </w:p>
        </w:tc>
        <w:tc>
          <w:tcPr/>
          <w:p>
            <w:pPr>
              <w:pStyle w:val="Compact"/>
              <w:jc w:val="center"/>
            </w:pPr>
            <w:r>
              <w:t xml:space="preserve">825</w:t>
            </w:r>
          </w:p>
        </w:tc>
      </w:tr>
    </w:tbl>
    <w:p>
      <w:pPr>
        <w:pStyle w:val="BodyText"/>
      </w:pPr>
      <w:r>
        <w:rPr>
          <w:bCs/>
          <w:b/>
        </w:rPr>
        <w:t xml:space="preserve">Figure 5.</w:t>
      </w:r>
      <w:r>
        <w:t xml:space="preserve"> </w:t>
      </w:r>
      <w:r>
        <w:rPr>
          <w:iCs/>
          <w:i/>
        </w:rPr>
        <w:t xml:space="preserve">Confusion matrix (left) and ROC curve (right) of the 5-fold ensemble on the held-out test partition (n = 825), evaluated at the OOF-derived MCC-optimal threshold of 0.430. Confusion-matrix labelling: rows are true class, columns are predicted class; annotations are absolute molecule counts. ROC-AUC = 0.9658.</w:t>
      </w:r>
    </w:p>
    <w:bookmarkEnd w:id="73"/>
    <w:bookmarkStart w:id="78" w:name="Xa1aaa5c1ef6d31664dc1f526ede22dc52726647"/>
    <w:p>
      <w:pPr>
        <w:pStyle w:val="Heading2"/>
      </w:pPr>
      <w:r>
        <w:t xml:space="preserve">4.5 Discussion: Metric Behaviour Under Class Imbalance and the CV → Test Generalisation Gap</w:t>
      </w:r>
    </w:p>
    <w:bookmarkStart w:id="74" w:name="validation-to-test-generalisation-gap"/>
    <w:p>
      <w:pPr>
        <w:pStyle w:val="Heading3"/>
      </w:pPr>
      <w:r>
        <w:t xml:space="preserve">4.5.1 Validation-to-test generalisation gap</w:t>
      </w:r>
    </w:p>
    <w:p>
      <w:pPr>
        <w:pStyle w:val="FirstParagraph"/>
      </w:pPr>
      <w:r>
        <w:t xml:space="preserve">The 5-model ensemble’s held-out test-set ROC-AUC of 0.9658 is</w:t>
      </w:r>
      <w:r>
        <w:t xml:space="preserve"> </w:t>
      </w:r>
      <w:r>
        <w:rPr>
          <w:iCs/>
          <w:i/>
        </w:rPr>
        <w:t xml:space="preserve">higher</w:t>
      </w:r>
      <w:r>
        <w:t xml:space="preserve"> </w:t>
      </w:r>
      <w:r>
        <w:t xml:space="preserve">than the mean 5-fold validation AUROC (0.9570 ± 0.0091) and lies at the upper edge of the CV 95% confidence interval [0.9457, 0.9683]. The test AUPRC of 0.9897 similarly exceeds the CV AUPRC 95% CI of [0.9800, 0.9901]. This is not a paradox: the reported test-set numbers are the output of a 5-model</w:t>
      </w:r>
      <w:r>
        <w:t xml:space="preserve"> </w:t>
      </w:r>
      <w:r>
        <w:rPr>
          <w:iCs/>
          <w:i/>
        </w:rPr>
        <w:t xml:space="preserve">ensemble</w:t>
      </w:r>
      <w:r>
        <w:t xml:space="preserve">, whereas the per-fold CV numbers are the outputs of five</w:t>
      </w:r>
      <w:r>
        <w:t xml:space="preserve"> </w:t>
      </w:r>
      <w:r>
        <w:rPr>
          <w:iCs/>
          <w:i/>
        </w:rPr>
        <w:t xml:space="preserve">individual</w:t>
      </w:r>
      <w:r>
        <w:t xml:space="preserve"> </w:t>
      </w:r>
      <w:r>
        <w:t xml:space="preserve">models. The variance-reduction effect of averaging five fold predictions (Section 3.5.7, Equation 22) is expected to produce a modest AUROC lift over any single fold’s model, and the observed 0.009-point improvement (0.9658 vs. 0.9570) is consistent with the typical magnitude of that effect. Held-out test-set accuracy (0.9273) is</w:t>
      </w:r>
      <w:r>
        <w:t xml:space="preserve"> </w:t>
      </w:r>
      <m:oMath>
        <m:r>
          <m:rPr>
            <m:sty m:val="p"/>
          </m:rPr>
          <m:t>≈</m:t>
        </m:r>
        <m:r>
          <m:t>0.004</m:t>
        </m:r>
      </m:oMath>
      <w:r>
        <w:t xml:space="preserve"> </w:t>
      </w:r>
      <w:r>
        <w:t xml:space="preserve">points below the CV accuracy 95% CI lower bound (0.9251), which is well within noise given the 825-molecule test partition. Taken together, the CV → test comparison indicates a well-generalising model with no significant CV-to-test degradation and a modest ensemble-driven lift on threshold-independent metrics.</w:t>
      </w:r>
    </w:p>
    <w:bookmarkEnd w:id="74"/>
    <w:bookmarkStart w:id="75" w:name="X30caba8bf9daeb5b43cdee522c7f47c1da82af7"/>
    <w:p>
      <w:pPr>
        <w:pStyle w:val="Heading3"/>
      </w:pPr>
      <w:r>
        <w:t xml:space="preserve">4.5.2 What MCC and Brier score reveal that accuracy would hide</w:t>
      </w:r>
    </w:p>
    <w:p>
      <w:pPr>
        <w:pStyle w:val="FirstParagraph"/>
      </w:pPr>
      <w:r>
        <w:t xml:space="preserve">Test-set accuracy is 0.9273, which sounds impressive but is only 14 percentage points above the trivial always-active baseline of 79.2% on this test partition. The MCC of 0.7778 and Cohen’s</w:t>
      </w:r>
      <w:r>
        <w:t xml:space="preserve"> </w:t>
      </w:r>
      <m:oMath>
        <m:r>
          <m:t>κ</m:t>
        </m:r>
      </m:oMath>
      <w:r>
        <w:t xml:space="preserve"> </w:t>
      </w:r>
      <w:r>
        <w:t xml:space="preserve">of a similar magnitude are the more revealing headline numbers: both are bounded in</w:t>
      </w:r>
      <w:r>
        <w:t xml:space="preserve"> </w:t>
      </w:r>
      <m:oMath>
        <m:d>
          <m:dPr>
            <m:begChr m:val="["/>
            <m:endChr m:val="]"/>
            <m:sepChr m:val=""/>
            <m:grow/>
          </m:dPr>
          <m:e>
            <m:r>
              <m:rPr>
                <m:sty m:val="p"/>
              </m:rPr>
              <m:t>−</m:t>
            </m:r>
            <m:r>
              <m:t>1</m:t>
            </m:r>
            <m:r>
              <m:rPr>
                <m:sty m:val="p"/>
              </m:rPr>
              <m:t>,</m:t>
            </m:r>
            <m:r>
              <m:t>1</m:t>
            </m:r>
          </m:e>
        </m:d>
      </m:oMath>
      <w:r>
        <w:t xml:space="preserve"> </w:t>
      </w:r>
      <w:r>
        <w:t xml:space="preserve">and are zero for random guessing regardless of class imbalance. An MCC of 0.7778 indicates a strong, imbalance-corrected agreement between predictions and truth. The Brier score of 0.0595 on CV further indicates that this discrimination performance is achieved with reasonably well-calibrated probabilistic outputs, not merely with well-thresholded but poorly calibrated logits — an important property if the model is to be used as a source of ranked, probability-scored hit-list candidates in a downstream virtual-screening pipeline.</w:t>
      </w:r>
    </w:p>
    <w:bookmarkEnd w:id="75"/>
    <w:bookmarkStart w:id="76" w:name="sensitivityspecificity-trade-off"/>
    <w:p>
      <w:pPr>
        <w:pStyle w:val="Heading3"/>
      </w:pPr>
      <w:r>
        <w:t xml:space="preserve">4.5.3 Sensitivity–specificity trade-off</w:t>
      </w:r>
    </w:p>
    <w:p>
      <w:pPr>
        <w:pStyle w:val="FirstParagraph"/>
      </w:pPr>
      <w:r>
        <w:t xml:space="preserve">Test-set sensitivity is 0.9571 and test-set specificity is 0.8140 — a</w:t>
      </w:r>
      <w:r>
        <w:t xml:space="preserve"> </w:t>
      </w:r>
      <m:oMath>
        <m:r>
          <m:rPr>
            <m:sty m:val="p"/>
          </m:rPr>
          <m:t>≈</m:t>
        </m:r>
        <m:r>
          <m:t>0.14</m:t>
        </m:r>
      </m:oMath>
      <w:r>
        <w:t xml:space="preserve"> </w:t>
      </w:r>
      <w:r>
        <w:t xml:space="preserve">point gap in the ensemble prediction, narrower than the average</w:t>
      </w:r>
      <w:r>
        <w:t xml:space="preserve"> </w:t>
      </w:r>
      <m:oMath>
        <m:r>
          <m:rPr>
            <m:sty m:val="p"/>
          </m:rPr>
          <m:t>≈</m:t>
        </m:r>
        <m:r>
          <m:t>0.17</m:t>
        </m:r>
      </m:oMath>
      <w:r>
        <w:t xml:space="preserve"> </w:t>
      </w:r>
      <w:r>
        <w:t xml:space="preserve">point gap observed in the CV panel (Table 10). Test-set Balanced Accuracy is 0.8855. The per-class classification report (Table 12) tells the same story from the other direction: the model achieves 0.95 precision and 0.96 recall on the (majority) Active class but 0.83 precision and 0.81 recall on the (minority) Inactive class. This asymmetry is not a symptom of the model failing at imbalance handling; it is the residual asymmetry that remains after doing so. Under the notebook’s setup — 996 inactive molecules across the entire dev set, of which</w:t>
      </w:r>
      <w:r>
        <w:t xml:space="preserve"> </w:t>
      </w:r>
      <m:oMath>
        <m:r>
          <m:rPr>
            <m:sty m:val="p"/>
          </m:rPr>
          <m:t>≈</m:t>
        </m:r>
        <m:r>
          <m:t>199</m:t>
        </m:r>
      </m:oMath>
      <w:r>
        <w:t xml:space="preserve"> </w:t>
      </w:r>
      <w:r>
        <w:t xml:space="preserve">appear in each fold’s held-out partition — the minority class is simply under-sampled at the level that limits how precisely its per-class metrics can be estimated. This is a data limitation, not a model limitation, and is the strongest motivating case for extending the dataset with additional inactive-class examples in future work.</w:t>
      </w:r>
    </w:p>
    <w:bookmarkEnd w:id="76"/>
    <w:bookmarkStart w:id="77" w:name="X3914060cbc2c8e48b0aeeec082888878d6e60a9"/>
    <w:p>
      <w:pPr>
        <w:pStyle w:val="Heading3"/>
      </w:pPr>
      <w:r>
        <w:t xml:space="preserve">4.5.4 Attribution to methodological design choices</w:t>
      </w:r>
    </w:p>
    <w:p>
      <w:pPr>
        <w:pStyle w:val="FirstParagraph"/>
      </w:pPr>
      <w:r>
        <w:t xml:space="preserve">Several of the observed metric behaviours can be plausibly attributed to specific methodological choices from Section 3:</w:t>
      </w:r>
    </w:p>
    <w:p>
      <w:pPr>
        <w:numPr>
          <w:ilvl w:val="0"/>
          <w:numId w:val="1004"/>
        </w:numPr>
        <w:pStyle w:val="Compact"/>
      </w:pPr>
      <w:r>
        <w:t xml:space="preserve">The high and stable ROC-AUC and AUPRC (0.9570 / 0.9851 in CV; 0.9658 / 0.9897 in the ensemble test) plausibly reflect the multimodal fusion (Section 3.3) — each modality contributes information the others cannot fully recover — combined with the pretrained MoLFormer-XL backbone providing a strong prior over chemistry-shaped SMILES-space representations.</w:t>
      </w:r>
    </w:p>
    <w:p>
      <w:pPr>
        <w:numPr>
          <w:ilvl w:val="0"/>
          <w:numId w:val="1004"/>
        </w:numPr>
        <w:pStyle w:val="Compact"/>
      </w:pPr>
      <w:r>
        <w:t xml:space="preserve">The relatively small</w:t>
      </w:r>
      <w:r>
        <w:t xml:space="preserve"> </w:t>
      </w:r>
      <m:oMath>
        <m:r>
          <m:rPr>
            <m:sty m:val="p"/>
          </m:rPr>
          <m:t>≈</m:t>
        </m:r>
        <m:r>
          <m:t>0.008</m:t>
        </m:r>
      </m:oMath>
      <w:r>
        <w:t xml:space="preserve">-point standard deviation of per-fold ROC-AUC across the five folds plausibly reflects the joint operation of the seven-mechanism overfitting-prevention regime (Section 3.5) and the WeightedRandomSampler-enforced class-balanced batches (Section 3.4.2) — since sampling variance across folds is bounded by both mechanisms simultaneously.</w:t>
      </w:r>
    </w:p>
    <w:p>
      <w:pPr>
        <w:numPr>
          <w:ilvl w:val="0"/>
          <w:numId w:val="1004"/>
        </w:numPr>
        <w:pStyle w:val="Compact"/>
      </w:pPr>
      <w:r>
        <w:t xml:space="preserve">The narrowing of the sensitivity-specificity gap from</w:t>
      </w:r>
      <w:r>
        <w:t xml:space="preserve"> </w:t>
      </w:r>
      <m:oMath>
        <m:r>
          <m:rPr>
            <m:sty m:val="p"/>
          </m:rPr>
          <m:t>≈</m:t>
        </m:r>
        <m:r>
          <m:t>0.17</m:t>
        </m:r>
      </m:oMath>
      <w:r>
        <w:t xml:space="preserve"> </w:t>
      </w:r>
      <w:r>
        <w:t xml:space="preserve">points in CV to</w:t>
      </w:r>
      <w:r>
        <w:t xml:space="preserve"> </w:t>
      </w:r>
      <m:oMath>
        <m:r>
          <m:rPr>
            <m:sty m:val="p"/>
          </m:rPr>
          <m:t>≈</m:t>
        </m:r>
        <m:r>
          <m:t>0.14</m:t>
        </m:r>
      </m:oMath>
      <w:r>
        <w:t xml:space="preserve"> </w:t>
      </w:r>
      <w:r>
        <w:t xml:space="preserve">points in the ensemble test plausibly reflects the variance-reduction benefit of ensembling (Section 3.5.7): individual folds’ minority-class predictions carry more noise than their majority-class predictions, and averaging across folds preferentially reduces variance on the class with more per-fold uncertainty.</w:t>
      </w:r>
    </w:p>
    <w:p>
      <w:pPr>
        <w:numPr>
          <w:ilvl w:val="0"/>
          <w:numId w:val="1004"/>
        </w:numPr>
        <w:pStyle w:val="Compact"/>
      </w:pPr>
      <w:r>
        <w:t xml:space="preserve">The MCC-optimal threshold of 0.430 (rather than 0.5) is a direct consequence of the imbalance-handling decoupling described in Section 3.4.3: because</w:t>
      </w:r>
      <w:r>
        <w:t xml:space="preserve"> </w:t>
      </w:r>
      <m:oMath>
        <m:r>
          <m:t>α</m:t>
        </m:r>
        <m:r>
          <m:rPr>
            <m:sty m:val="p"/>
          </m:rPr>
          <m:t>=</m:t>
        </m:r>
        <m:r>
          <m:t>0.5</m:t>
        </m:r>
      </m:oMath>
      <w:r>
        <w:t xml:space="preserve"> </w:t>
      </w:r>
      <w:r>
        <w:t xml:space="preserve">is neutral in the focal loss and the sampler alone balances batches, the calibrated posterior sits slightly below what a class-balanced Bayes optimal would produce, and the threshold correction of</w:t>
      </w:r>
      <w:r>
        <w:t xml:space="preserve"> </w:t>
      </w:r>
      <m:oMath>
        <m:r>
          <m:rPr>
            <m:sty m:val="p"/>
          </m:rPr>
          <m:t>≈</m:t>
        </m:r>
        <m:r>
          <m:t>0.07</m:t>
        </m:r>
      </m:oMath>
      <w:r>
        <w:t xml:space="preserve"> </w:t>
      </w:r>
      <w:r>
        <w:t xml:space="preserve">is required to trade some majority-class confidence for correct minority-class classification.</w:t>
      </w:r>
    </w:p>
    <w:p>
      <w:pPr>
        <w:numPr>
          <w:ilvl w:val="0"/>
          <w:numId w:val="1004"/>
        </w:numPr>
        <w:pStyle w:val="Compact"/>
      </w:pPr>
      <w:r>
        <w:t xml:space="preserve">The high Specificity variance across folds (</w:t>
      </w:r>
      <m:oMath>
        <m:r>
          <m:rPr>
            <m:sty m:val="p"/>
          </m:rPr>
          <m:t>±</m:t>
        </m:r>
        <m:r>
          <m:t>0.0282</m:t>
        </m:r>
      </m:oMath>
      <w:r>
        <w:t xml:space="preserve">) is, as noted above, a direct signature of the minority class’s small per-fold sample size — a data-scale artefact rather than a model-quality artefact.</w:t>
      </w:r>
    </w:p>
    <w:bookmarkEnd w:id="77"/>
    <w:bookmarkEnd w:id="78"/>
    <w:bookmarkStart w:id="79" w:name="X2f94cfd8dcde05905d7652d168fd6f5211d5935"/>
    <w:p>
      <w:pPr>
        <w:pStyle w:val="Heading2"/>
      </w:pPr>
      <w:r>
        <w:t xml:space="preserve">4.6 Limitations of the Reported Results and Suggested Future Work</w:t>
      </w:r>
    </w:p>
    <w:p>
      <w:pPr>
        <w:pStyle w:val="FirstParagraph"/>
      </w:pPr>
      <w:r>
        <w:t xml:space="preserve">We report the following as scope limitations of the present results rather than as diagnosed weaknesses:</w:t>
      </w:r>
    </w:p>
    <w:p>
      <w:pPr>
        <w:pStyle w:val="BodyText"/>
      </w:pPr>
      <w:r>
        <w:rPr>
          <w:bCs/>
          <w:b/>
        </w:rPr>
        <w:t xml:space="preserve">No external baseline comparison in the current experimental protocol.</w:t>
      </w:r>
      <w:r>
        <w:t xml:space="preserve"> </w:t>
      </w:r>
      <w:r>
        <w:t xml:space="preserve">The results reported in Sections 4.2–4.4 are for the FineTuned Multimodal MolFormer configuration alone. A direct head-to-head comparison against (a) a SMILES-only fine-tuned MoLFormer-XL baseline with matched training regimen, (b) a fingerprint-only or descriptor-only baseline (e.g., a Random Forest or gradient-boosted classifier over the concatenated ECFP + MACCS + descriptor vector), and (c) a naïve concatenate-then-classify multimodal baseline (no cross-modal transformer, no type embeddings, no per-modality gating) would allow a direct attribution of the observed metric behaviour to (i) the choice of a chemistry-pretrained backbone, (ii) the multimodal fusion, and (iii) the specific architectural refinements of Section 3.8. We flag this as a suggested extension of the experimental protocol prior to submission of the manuscript’s Introduction and Related-Work sections.</w:t>
      </w:r>
    </w:p>
    <w:p>
      <w:pPr>
        <w:pStyle w:val="BodyText"/>
      </w:pPr>
      <w:r>
        <w:rPr>
          <w:bCs/>
          <w:b/>
        </w:rPr>
        <w:t xml:space="preserve">HPO on a 50% training subsample.</w:t>
      </w:r>
      <w:r>
        <w:t xml:space="preserve"> </w:t>
      </w:r>
      <w:r>
        <w:t xml:space="preserve">The Optuna trials operated on a random 50% subsample of the training partition (Section 3.6) for computational efficiency. It is possible, though we have no evidence for it, that the winning hyperparameter configuration is not the configuration that would have won a full-training-set Optuna trial. A confirmatory retraining of the top-3 Optuna candidates on the full training partition would resolve this.</w:t>
      </w:r>
    </w:p>
    <w:p>
      <w:pPr>
        <w:pStyle w:val="BodyText"/>
      </w:pPr>
      <w:r>
        <w:rPr>
          <w:bCs/>
          <w:b/>
        </w:rPr>
        <w:t xml:space="preserve">Test-time augmentation.</w:t>
      </w:r>
      <w:r>
        <w:t xml:space="preserve"> </w:t>
      </w:r>
      <w:r>
        <w:t xml:space="preserve">The reported ensemble uses no test-time augmentation; predictions come from a single canonical SMILES pass through each fold model. Test-time SMILES augmentation (averaging predictions across multiple non-canonical SMILES for the same molecule) is a low-effort, well-motivated extension.</w:t>
      </w:r>
    </w:p>
    <w:p>
      <w:pPr>
        <w:pStyle w:val="BodyText"/>
      </w:pPr>
      <w:r>
        <w:rPr>
          <w:bCs/>
          <w:b/>
        </w:rPr>
        <w:t xml:space="preserve">Dataset scale.</w:t>
      </w:r>
      <w:r>
        <w:t xml:space="preserve"> </w:t>
      </w:r>
      <w:r>
        <w:t xml:space="preserve">The 5,494-molecule cleaned dataset is small by contemporary standards for pretrained-transformer fine-tuning. The tight generalisation gap reported here does not imply that the model would not benefit from an order-of-magnitude larger training set; on the contrary, several of the residual failure modes discussed in Section 4.5.3 (minority-class precision, per-fold specificity variance) are direct consequences of dataset scale and would be expected to attenuate substantially at</w:t>
      </w:r>
      <w:r>
        <w:t xml:space="preserve"> </w:t>
      </w:r>
      <m:oMath>
        <m:r>
          <m:t>n</m:t>
        </m:r>
        <m:r>
          <m:rPr>
            <m:sty m:val="p"/>
          </m:rPr>
          <m:t>∼</m:t>
        </m:r>
        <m:r>
          <m:t>50</m:t>
        </m:r>
        <m:r>
          <m:rPr>
            <m:sty m:val="p"/>
          </m:rPr>
          <m:t>,</m:t>
        </m:r>
        <m:r>
          <m:t>000</m:t>
        </m:r>
      </m:oMath>
      <w:r>
        <w:t xml:space="preserve">.</w:t>
      </w:r>
    </w:p>
    <w:p>
      <w:pPr>
        <w:pStyle w:val="BodyText"/>
      </w:pPr>
      <w:r>
        <w:rPr>
          <w:bCs/>
          <w:b/>
        </w:rPr>
        <w:t xml:space="preserve">Single random seed for CV.</w:t>
      </w:r>
      <w:r>
        <w:t xml:space="preserve"> </w:t>
      </w:r>
      <w:r>
        <w:t xml:space="preserve">All CV splits use</w:t>
      </w:r>
      <w:r>
        <w:t xml:space="preserve"> </w:t>
      </w:r>
      <w:r>
        <w:rPr>
          <w:rStyle w:val="VerbatimChar"/>
        </w:rPr>
        <w:t xml:space="preserve">random_state = 42</w:t>
      </w:r>
      <w:r>
        <w:t xml:space="preserve">. A multi-seed CV protocol (aggregating over, e.g., 5 different</w:t>
      </w:r>
      <w:r>
        <w:t xml:space="preserve"> </w:t>
      </w:r>
      <w:r>
        <w:rPr>
          <w:rStyle w:val="VerbatimChar"/>
        </w:rPr>
        <w:t xml:space="preserve">random_state</w:t>
      </w:r>
      <w:r>
        <w:t xml:space="preserve"> </w:t>
      </w:r>
      <w:r>
        <w:t xml:space="preserve">values for the fold assignment) would produce a variance estimate that includes fold-partition randomness, not merely within-fold model-training randomness.</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FineTuned Multimodal MolFormer for Bioactivity Classification</dc:title>
  <dc:creator/>
  <cp:keywords/>
  <dcterms:created xsi:type="dcterms:W3CDTF">2026-07-29T18:12:04Z</dcterms:created>
  <dcterms:modified xsi:type="dcterms:W3CDTF">2026-07-29T18:12:04Z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Dataset Construction, Methodology, and Results</vt:lpwstr>
  </property>
</Properties>
</file>