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TEMPLATE PROTOCOL (HRP-580) — EARN Study</w:t>
      </w:r>
    </w:p>
    <w:p>
      <w:r>
        <w:rPr>
          <w:i/>
          <w:color w:val="1B7F3B"/>
        </w:rPr>
        <w:t>Note: all study-specific content added to this protocol is shown in green. Items in [brackets] require institution-specific values to confirm before submission.</w:t>
      </w:r>
    </w:p>
    <w:p>
      <w:pPr>
        <w:pStyle w:val="Heading1"/>
      </w:pPr>
      <w:r>
        <w:t>Protocol Cover Page</w:t>
      </w:r>
    </w:p>
    <w:p>
      <w:r>
        <w:rPr>
          <w:b/>
          <w:color w:val="1B7F3B"/>
        </w:rPr>
        <w:t xml:space="preserve">Protocol Title: </w:t>
      </w:r>
      <w:r>
        <w:rPr>
          <w:color w:val="1B7F3B"/>
        </w:rPr>
        <w:t>EARN: Eliciting Actionable Recommendation Feedback from Users for News Personalization</w:t>
      </w:r>
    </w:p>
    <w:p>
      <w:r>
        <w:rPr>
          <w:b/>
          <w:color w:val="1B7F3B"/>
        </w:rPr>
        <w:t xml:space="preserve">Principal Investigator / Faculty Advisor: </w:t>
      </w:r>
      <w:r>
        <w:rPr>
          <w:color w:val="1B7F3B"/>
        </w:rPr>
        <w:t>Joseph A. Konstan</w:t>
      </w:r>
    </w:p>
    <w:p>
      <w:r>
        <w:rPr>
          <w:b/>
          <w:color w:val="1B7F3B"/>
        </w:rPr>
        <w:t xml:space="preserve">Affiliation: </w:t>
      </w:r>
      <w:r>
        <w:rPr>
          <w:color w:val="1B7F3B"/>
        </w:rPr>
        <w:t>UMN — Department of Computer Science and Engineering (Home Dept ID: 11115); Telephone: 612-625-1831; Email: konstan@umn.edu</w:t>
      </w:r>
    </w:p>
    <w:p>
      <w:r>
        <w:rPr>
          <w:b/>
          <w:color w:val="1B7F3B"/>
        </w:rPr>
        <w:t xml:space="preserve">Student Investigator: </w:t>
      </w:r>
      <w:r>
        <w:rPr>
          <w:color w:val="1B7F3B"/>
        </w:rPr>
        <w:t>Mahamudul Hasan — Student, Department of Computer Science and Engineering; Email: hasan181@umn.edu; Telephone: 612-242-7072</w:t>
      </w:r>
    </w:p>
    <w:p>
      <w:r>
        <w:rPr>
          <w:b/>
          <w:color w:val="1B7F3B"/>
        </w:rPr>
        <w:t xml:space="preserve">Scientific Assessment / Artificial Intelligence: </w:t>
      </w:r>
      <w:r>
        <w:rPr>
          <w:color w:val="1B7F3B"/>
        </w:rPr>
        <w:t>Minimal risk. This study tests and uses an artificial-intelligence tool: an optional large language model (LLM) feedback assistant (Condition 3) that asks clarifying questions or gives short advice so participants can make their own feedback more specific. The assistant makes no decisions about participants and does not rewrite or generate participants' feedback.</w:t>
      </w:r>
    </w:p>
    <w:p>
      <w:r>
        <w:rPr>
          <w:b/>
          <w:color w:val="1B7F3B"/>
        </w:rPr>
        <w:t xml:space="preserve">Version Number/Date: </w:t>
      </w:r>
      <w:r>
        <w:rPr>
          <w:color w:val="1B7F3B"/>
        </w:rPr>
        <w:t>Version 1: [DATE]</w:t>
      </w:r>
    </w:p>
    <w:p>
      <w:pPr>
        <w:pStyle w:val="Heading1"/>
      </w:pPr>
      <w:r>
        <w:t>Ancillary Reviews</w:t>
      </w:r>
    </w:p>
    <w:p>
      <w:r>
        <w:rPr>
          <w:color w:val="1B7F3B"/>
        </w:rPr>
        <w:t>All ancillary-review items are answered “No.” This study does not involve Gillette, Fairview/Epic, FDA-regulated products, radiation, protected health information, controlled substances, biospecimens, student education records, Tribal partners, or an eConsent process capturing electronic signatures. No ancillary reviews are required.</w:t>
      </w:r>
    </w:p>
    <w:p>
      <w:pPr>
        <w:pStyle w:val="Heading1"/>
      </w:pPr>
      <w:r>
        <w:t>1.0  Objectives</w:t>
      </w:r>
    </w:p>
    <w:p>
      <w:pPr>
        <w:pStyle w:val="Heading2"/>
      </w:pPr>
      <w:r>
        <w:t>1.1  Purpose</w:t>
      </w:r>
    </w:p>
    <w:p>
      <w:r>
        <w:rPr>
          <w:color w:val="1B7F3B"/>
        </w:rPr>
        <w:t>Reading and reacting to the news is a regular part of many people's lives, and personalized news systems increasingly let users describe, in their own words, how they would like their news experience to change. It is not yet clear when such open-ended feedback is specific enough for a system to act on — especially when the object of feedback is a whole newsletter (a curated collection of articles) rather than a single item, and when the feedback is unconstrained free text rather than a fixed set of options. This study examines that question. In a single online session, each participant reads one realistic personalized news newsletter and writes, in their own words, how they would like it to work better for them; they then answer a short, six-item survey about their experience. We measure how actionable the written feedback is, using a 0–10 rubric scored by trained human raters, and we compare three ways of eliciting feedback: a neutral base prompt, the base prompt plus inclusive examples, and (optionally) the base prompt plus a feedback assistant that asks a clarifying question or gives short advice. We do not apply the feedback to change any recommender system. Our goal is to understand whether open-ended feedback about a personalized news newsletter can be made actionable for future personalization, and which kinds of elicitation support help.</w:t>
      </w:r>
    </w:p>
    <w:p>
      <w:pPr>
        <w:pStyle w:val="Heading1"/>
      </w:pPr>
      <w:r>
        <w:t>2.0  Background</w:t>
      </w:r>
    </w:p>
    <w:p>
      <w:pPr>
        <w:pStyle w:val="Heading2"/>
      </w:pPr>
      <w:r>
        <w:t>2.1  Significance of Research Question/Purpose</w:t>
      </w:r>
    </w:p>
    <w:p>
      <w:r>
        <w:rPr>
          <w:color w:val="1B7F3B"/>
        </w:rPr>
        <w:t>Personalized recommender systems increasingly let users express preferences in natural language. Whether such open-ended feedback is specific enough to support future personalization is unclear, especially for a curated collection (a newsletter) rather than a single item, and when feedback is unconstrained free text rather than fixed attribute critiques. Understanding how to elicit more actionable feedback is a necessary step toward feedback-driven personalization, and it informs the design of news and recommender interfaces. This study contributes a way to measure the actionability of collection-level, natural-language feedback and evidence about which forms of elicitation support help users express usable preferences.</w:t>
      </w:r>
    </w:p>
    <w:p>
      <w:pPr>
        <w:pStyle w:val="Heading2"/>
      </w:pPr>
      <w:r>
        <w:t>2.2  Preliminary Data</w:t>
      </w:r>
    </w:p>
    <w:p>
      <w:r>
        <w:rPr>
          <w:color w:val="1B7F3B"/>
        </w:rPr>
        <w:t>N/A.</w:t>
      </w:r>
    </w:p>
    <w:p>
      <w:pPr>
        <w:pStyle w:val="Heading2"/>
      </w:pPr>
      <w:r>
        <w:t>2.3  Existing Literature</w:t>
      </w:r>
    </w:p>
    <w:p>
      <w:r>
        <w:rPr>
          <w:color w:val="1B7F3B"/>
        </w:rPr>
        <w:t>This study is grounded in prior work on critiquing-based recommenders, conversational recommendation and natural-language preference elicitation, collection-level and calibrated recommendation, preference-construction research, and LLM-as-judge evaluation. See Section 26 for references.</w:t>
      </w:r>
    </w:p>
    <w:p>
      <w:pPr>
        <w:pStyle w:val="Heading1"/>
      </w:pPr>
      <w:r>
        <w:t>3.0  Research Questions / Hypotheses</w:t>
      </w:r>
    </w:p>
    <w:p>
      <w:pPr>
        <w:pStyle w:val="Heading2"/>
      </w:pPr>
      <w:r>
        <w:t>3.1  Primary Research Question/Hypothesis</w:t>
      </w:r>
    </w:p>
    <w:p>
      <w:r>
        <w:rPr>
          <w:color w:val="1B7F3B"/>
        </w:rPr>
        <w:t>RQ (primary): Do elicitation supports increase the actionability of users' newsletter feedback, compared with a neutral base prompt? We compare a base prompt (Condition 1), the base prompt plus inclusive examples (Condition 2), and — optionally — the base prompt plus an LLM clarifying-guidance assistant (Condition 3). We hypothesize that examples (Condition 2), and interactive guidance (Condition 3 when enabled), produce more actionable feedback than the base prompt alone.</w:t>
      </w:r>
    </w:p>
    <w:p>
      <w:pPr>
        <w:pStyle w:val="Heading2"/>
      </w:pPr>
      <w:r>
        <w:t>3.2  Secondary Research Question(s)/Hypothesis</w:t>
      </w:r>
    </w:p>
    <w:p>
      <w:r>
        <w:rPr>
          <w:color w:val="1B7F3B"/>
        </w:rPr>
        <w:t>Secondary questions: (1) What feedback do users naturally provide, and how actionable is it across the five rubric dimensions and by target level (an individual article, a section, or the whole collection)? (2) What are the user-experience costs and benefits of support, and do gains in actionability come with greater perceived effort? (3) In Condition 3, does the assistant increase actionability while preserving the participant's intent and avoiding invented content (assistant faithfulness)?</w:t>
      </w:r>
    </w:p>
    <w:p>
      <w:pPr>
        <w:pStyle w:val="Heading1"/>
      </w:pPr>
      <w:r>
        <w:t>4.0  Study Intervention(s)/Interaction(s)</w:t>
      </w:r>
    </w:p>
    <w:p>
      <w:pPr>
        <w:pStyle w:val="Heading2"/>
      </w:pPr>
      <w:r>
        <w:t>4.1  Description</w:t>
      </w:r>
    </w:p>
    <w:p>
      <w:r>
        <w:rPr>
          <w:color w:val="1B7F3B"/>
        </w:rPr>
        <w:t>This is a single-session, between-subjects online experiment conducted on a self-contained study website. Each participant is randomly assigned one newsletter stimulus — drawn from a small fixed set of realistic newsletters built from publicly available Associated Press headlines, summaries, and images — and one of three feedback-elicitation conditions. The interactions are: reading the newsletter, writing free-text feedback (with condition-specific support), an optional one-round exchange with the feedback assistant in Condition 3, and a short six-item post-task survey. The conditions are (1) a neutral base prompt; (2) the base prompt plus inclusive examples; and (3) the base prompt plus an LLM clarifying-guidance assistant. Condition 3 is optional and configurable: it can be enabled or disabled without changing the study materials.</w:t>
      </w:r>
    </w:p>
    <w:p>
      <w:pPr>
        <w:pStyle w:val="Heading1"/>
      </w:pPr>
      <w:r>
        <w:t>5.0  Procedures Involved</w:t>
      </w:r>
    </w:p>
    <w:p>
      <w:pPr>
        <w:pStyle w:val="Heading2"/>
      </w:pPr>
      <w:r>
        <w:t>5.1  Study Design</w:t>
      </w:r>
    </w:p>
    <w:p>
      <w:r>
        <w:rPr>
          <w:color w:val="1B7F3B"/>
        </w:rPr>
        <w:t>We will run a between-subjects study on a self-contained study website; the study does not require any production newsletter service. Each participant is randomly assigned to one (condition × newsletter) cell, and we balance assignment across conditions and newsletter stimuli. The three conditions are: Condition 1 — a neutral, open-ended base prompt; Condition 2 — the base prompt plus concise, inclusive examples that span many aspects of personalization (topics, tone, balance, locality, people or organizations, story depth, source style, section mix, recency, length, diversity, background and context, and breadth), presented as optional idea-sparkers; and Condition 3 (optional) — the base prompt plus a feedback assistant that, in one short turn, gives a brief, concrete suggestion (and may ask a clarifying question) so participants can sharpen their own feedback. We will recruit US adults through Prolific (paid) and/or MovieLens (volunteers).</w:t>
      </w:r>
    </w:p>
    <w:p>
      <w:pPr>
        <w:pStyle w:val="Heading2"/>
      </w:pPr>
      <w:r>
        <w:t>5.2  Study Procedures</w:t>
      </w:r>
    </w:p>
    <w:p>
      <w:r>
        <w:rPr>
          <w:color w:val="1B7F3B"/>
        </w:rPr>
        <w:t>Each participant (1) reads a short online consent information sheet and agrees to take part; (2) reads one newsletter; (3) writes feedback in response to a neutral, open-ended prompt — in Condition 3 the assistant then gives a short, concrete suggestion (and may ask a clarifying question), and the participant submits a final response, with both the initial and final responses retained; (4) completes a short post-task survey; and (5) sees a completion screen.</w:t>
      </w:r>
    </w:p>
    <w:p>
      <w:r>
        <w:rPr>
          <w:color w:val="1B7F3B"/>
        </w:rPr>
        <w:t>We will collect, for each participant: the assigned condition and newsletter; the free-text feedback they write (for Condition 3, both the initial and the final response); metadata about the assistant turn (whether it gave a suggestion, asked a clarifying question, or acknowledged the feedback, and whether the language model or the deterministic fallback produced it); the post-task survey responses; the time on task; and the recruitment source and any external recruitment id used only for payment (for example, a Prolific ID). The post-task survey is brief: four items, each answered on a five-point magnitude scale (for example, from “Not at all” to “Completely,” and for effort from “Very little” to “A lot”), measuring effort (the cost of giving feedback), self-efficacy (how much the reader could express what they wanted), a seriousness check (how much the feedback reflects what they actually want), and perceived actionability (how much a reader would understand what to change). The survey and all participant-facing materials are attached in ETHOS.</w:t>
      </w:r>
    </w:p>
    <w:p>
      <w:r>
        <w:rPr>
          <w:b/>
          <w:color w:val="1B7F3B"/>
        </w:rPr>
        <w:t xml:space="preserve">Post-task survey instrument (four items): </w:t>
      </w:r>
      <w:r>
        <w:rPr>
          <w:color w:val="1B7F3B"/>
        </w:rPr>
        <w:t>each item is answered on the five-point magnitude scale shown below.</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tcPr>
          <w:p>
            <w:r>
              <w:rPr>
                <w:b/>
                <w:color w:val="1B7F3B"/>
              </w:rPr>
              <w:t>Survey item</w:t>
            </w:r>
          </w:p>
        </w:tc>
        <w:tc>
          <w:tcPr>
            <w:tcW w:type="dxa" w:w="2880"/>
          </w:tcPr>
          <w:p>
            <w:r>
              <w:rPr>
                <w:b/>
                <w:color w:val="1B7F3B"/>
              </w:rPr>
              <w:t>Response options (1 → 5)</w:t>
            </w:r>
          </w:p>
        </w:tc>
        <w:tc>
          <w:tcPr>
            <w:tcW w:type="dxa" w:w="2880"/>
          </w:tcPr>
          <w:p>
            <w:r>
              <w:rPr>
                <w:b/>
                <w:color w:val="1B7F3B"/>
              </w:rPr>
              <w:t>Construct</w:t>
            </w:r>
          </w:p>
        </w:tc>
      </w:tr>
      <w:tr>
        <w:tc>
          <w:tcPr>
            <w:tcW w:type="dxa" w:w="2880"/>
          </w:tcPr>
          <w:p>
            <w:r>
              <w:rPr>
                <w:color w:val="1B7F3B"/>
              </w:rPr>
              <w:t>How much effort did it take to write your feedback?</w:t>
            </w:r>
          </w:p>
        </w:tc>
        <w:tc>
          <w:tcPr>
            <w:tcW w:type="dxa" w:w="2880"/>
          </w:tcPr>
          <w:p>
            <w:r>
              <w:rPr>
                <w:color w:val="1B7F3B"/>
              </w:rPr>
              <w:t>Very little · A little · A moderate amount · Quite a bit · A lot</w:t>
            </w:r>
          </w:p>
        </w:tc>
        <w:tc>
          <w:tcPr>
            <w:tcW w:type="dxa" w:w="2880"/>
          </w:tcPr>
          <w:p>
            <w:r>
              <w:rPr>
                <w:color w:val="1B7F3B"/>
              </w:rPr>
              <w:t>Effort (cost)</w:t>
            </w:r>
          </w:p>
        </w:tc>
      </w:tr>
      <w:tr>
        <w:tc>
          <w:tcPr>
            <w:tcW w:type="dxa" w:w="2880"/>
          </w:tcPr>
          <w:p>
            <w:r>
              <w:rPr>
                <w:color w:val="1B7F3B"/>
              </w:rPr>
              <w:t>How much were you able to express what you wanted?</w:t>
            </w:r>
          </w:p>
        </w:tc>
        <w:tc>
          <w:tcPr>
            <w:tcW w:type="dxa" w:w="2880"/>
          </w:tcPr>
          <w:p>
            <w:r>
              <w:rPr>
                <w:color w:val="1B7F3B"/>
              </w:rPr>
              <w:t>Not at all · Only a little · Somewhat · Mostly · Completely</w:t>
            </w:r>
          </w:p>
        </w:tc>
        <w:tc>
          <w:tcPr>
            <w:tcW w:type="dxa" w:w="2880"/>
          </w:tcPr>
          <w:p>
            <w:r>
              <w:rPr>
                <w:color w:val="1B7F3B"/>
              </w:rPr>
              <w:t>Self-efficacy</w:t>
            </w:r>
          </w:p>
        </w:tc>
      </w:tr>
      <w:tr>
        <w:tc>
          <w:tcPr>
            <w:tcW w:type="dxa" w:w="2880"/>
          </w:tcPr>
          <w:p>
            <w:r>
              <w:rPr>
                <w:color w:val="1B7F3B"/>
              </w:rPr>
              <w:t>How much does your feedback reflect what you actually want in your newsletter?</w:t>
            </w:r>
          </w:p>
        </w:tc>
        <w:tc>
          <w:tcPr>
            <w:tcW w:type="dxa" w:w="2880"/>
          </w:tcPr>
          <w:p>
            <w:r>
              <w:rPr>
                <w:color w:val="1B7F3B"/>
              </w:rPr>
              <w:t>Not at all · Not much · Somewhat · Mostly · Completely</w:t>
            </w:r>
          </w:p>
        </w:tc>
        <w:tc>
          <w:tcPr>
            <w:tcW w:type="dxa" w:w="2880"/>
          </w:tcPr>
          <w:p>
            <w:r>
              <w:rPr>
                <w:color w:val="1B7F3B"/>
              </w:rPr>
              <w:t>Seriousness check</w:t>
            </w:r>
          </w:p>
        </w:tc>
      </w:tr>
      <w:tr>
        <w:tc>
          <w:tcPr>
            <w:tcW w:type="dxa" w:w="2880"/>
          </w:tcPr>
          <w:p>
            <w:r>
              <w:rPr>
                <w:color w:val="1B7F3B"/>
              </w:rPr>
              <w:t>How much would someone reading your feedback understand what you want changed?</w:t>
            </w:r>
          </w:p>
        </w:tc>
        <w:tc>
          <w:tcPr>
            <w:tcW w:type="dxa" w:w="2880"/>
          </w:tcPr>
          <w:p>
            <w:r>
              <w:rPr>
                <w:color w:val="1B7F3B"/>
              </w:rPr>
              <w:t>Not at all · Only a little · Somewhat · Mostly · Completely</w:t>
            </w:r>
          </w:p>
        </w:tc>
        <w:tc>
          <w:tcPr>
            <w:tcW w:type="dxa" w:w="2880"/>
          </w:tcPr>
          <w:p>
            <w:r>
              <w:rPr>
                <w:color w:val="1B7F3B"/>
              </w:rPr>
              <w:t>Perceived actionability</w:t>
            </w:r>
          </w:p>
        </w:tc>
      </w:tr>
    </w:tbl>
    <w:p>
      <w:r>
        <w:rPr>
          <w:color w:val="1B7F3B"/>
        </w:rPr>
        <w:t>Identifiability of data: every participant is assigned a unique random identifier for this study. The platform collects no names, email addresses, or contact information, and participants are instructed not to include anything that could identify them. Any external recruitment id used for payment is stored separately and is not included in the de-identified analysis dataset, so the analysis data cannot be linked to individuals.</w:t>
      </w:r>
    </w:p>
    <w:p>
      <w:pPr>
        <w:pStyle w:val="Heading2"/>
      </w:pPr>
      <w:r>
        <w:t>5.3  Study Duration</w:t>
      </w:r>
    </w:p>
    <w:p>
      <w:r>
        <w:rPr>
          <w:color w:val="1B7F3B"/>
        </w:rPr>
        <w:t>About 5–8 minutes per participant. We anticipate enrolling all participants over approximately 2–3 months, followed by up to about 3 months of data analysis.</w:t>
      </w:r>
    </w:p>
    <w:p>
      <w:pPr>
        <w:pStyle w:val="Heading2"/>
      </w:pPr>
      <w:r>
        <w:t>5.4  Follow-Up</w:t>
      </w:r>
    </w:p>
    <w:p>
      <w:r>
        <w:rPr>
          <w:color w:val="1B7F3B"/>
        </w:rPr>
        <w:t>N/A — this is a single session with no follow-up.</w:t>
      </w:r>
    </w:p>
    <w:p>
      <w:pPr>
        <w:pStyle w:val="Heading2"/>
      </w:pPr>
      <w:r>
        <w:t>5.5  Development, Testing, or Deployment of Artificial Intelligence</w:t>
      </w:r>
    </w:p>
    <w:p>
      <w:r>
        <w:rPr>
          <w:color w:val="1B7F3B"/>
        </w:rPr>
        <w:t>The optional Condition 3 uses a large language model (NVIDIA NIM, default model openai/gpt-oss-120b, accessed through an OpenAI-compatible API) to produce short, concrete, operationalizable suggestions (and, if helpful, a clarifying question) that help the reader make their own feedback more usable. A system prompt constrains the assistant to: never rewrite, rephrase, or polish the participant's words; never invent or suggest preferences, topics, entities, people, organizations, or sources; not infer hidden preferences; preserve the participant's intent; stay neutral; and, if sensitive, political, or personal content appears, respond neutrally and remind the participant not to include identifying information. The participant always decides the final wording of their feedback.</w:t>
      </w:r>
    </w:p>
    <w:p>
      <w:pPr>
        <w:pStyle w:val="ListBullet"/>
      </w:pPr>
      <w:r>
        <w:rPr>
          <w:color w:val="1B7F3B"/>
        </w:rPr>
        <w:t>Secondary use of data / external datasets: none. No external datasets are integrated. The newsletter stimuli use publicly available Associated Press content.</w:t>
      </w:r>
    </w:p>
    <w:p>
      <w:pPr>
        <w:pStyle w:val="ListBullet"/>
      </w:pPr>
      <w:r>
        <w:rPr>
          <w:color w:val="1B7F3B"/>
        </w:rPr>
        <w:t>Identifiability and linkability: in Condition 3, the participant's feedback text is sent to the third-party LLM API to generate the guidance. Only the feedback text is sent (no identifiers), and participants are instructed not to include personal information. No participant text is sent externally when Condition 3 is disabled.</w:t>
      </w:r>
    </w:p>
    <w:p>
      <w:pPr>
        <w:pStyle w:val="ListBullet"/>
      </w:pPr>
      <w:r>
        <w:rPr>
          <w:color w:val="1B7F3B"/>
        </w:rPr>
        <w:t>Locked vs adaptive: the model is used in a fixed (locked) configuration for the study. It does not learn or update from participant data, and participant inputs are not used to train or fine-tune any model.</w:t>
      </w:r>
    </w:p>
    <w:p>
      <w:pPr>
        <w:pStyle w:val="ListBullet"/>
      </w:pPr>
      <w:r>
        <w:rPr>
          <w:color w:val="1B7F3B"/>
        </w:rPr>
        <w:t>Evaluation metrics: we review assistant faithfulness (comparing the initial and final feedback in Condition 3 — did the assistant preserve intent and avoid invented content) and the inter-rater reliability of the human actionability rubric.</w:t>
      </w:r>
    </w:p>
    <w:p>
      <w:pPr>
        <w:pStyle w:val="ListBullet"/>
      </w:pPr>
      <w:r>
        <w:rPr>
          <w:color w:val="1B7F3B"/>
        </w:rPr>
        <w:t>Regulatory status: the assistant is not a medical device and performs no diagnosis or treatment; its software function is not regulated by the FDA as a device.</w:t>
      </w:r>
    </w:p>
    <w:p>
      <w:pPr>
        <w:pStyle w:val="ListBullet"/>
      </w:pPr>
      <w:r>
        <w:rPr>
          <w:color w:val="1B7F3B"/>
        </w:rPr>
        <w:t>Review for bias or error: the research team reviews assistant outputs during the pilot for leading or invented content; if reliability is insufficient, Condition 3 is treated as exploratory or disabled. The deterministic fallback likewise only gives short suggestions or asks clarifying questions and never rewrites text.</w:t>
      </w:r>
    </w:p>
    <w:p>
      <w:pPr>
        <w:pStyle w:val="ListBullet"/>
      </w:pPr>
      <w:r>
        <w:rPr>
          <w:color w:val="1B7F3B"/>
        </w:rPr>
        <w:t>Training and oversight: study team members are trained on the protocol; the PI oversees the study; and the assistant prompt and behavior are validated in the pilot before the main study.</w:t>
      </w:r>
    </w:p>
    <w:p>
      <w:pPr>
        <w:pStyle w:val="Heading1"/>
      </w:pPr>
      <w:r>
        <w:t>6.0  Sharing of Results with Participants</w:t>
      </w:r>
    </w:p>
    <w:p>
      <w:pPr>
        <w:pStyle w:val="Heading2"/>
      </w:pPr>
      <w:r>
        <w:t>6.1  Sharing Results</w:t>
      </w:r>
    </w:p>
    <w:p>
      <w:r>
        <w:rPr>
          <w:color w:val="1B7F3B"/>
        </w:rPr>
        <w:t>Individual results will not be returned to participants. For research and reproducibility purposes, a de-identified dataset — the assigned condition, the newsletter id, the PII-screened feedback text, the survey responses, and the rubric ratings — will be available for dissemination with the study's publications. It will contain no personal identifiers.</w:t>
      </w:r>
    </w:p>
    <w:p>
      <w:pPr>
        <w:pStyle w:val="Heading1"/>
      </w:pPr>
      <w:r>
        <w:t>7.0  Study Population</w:t>
      </w:r>
    </w:p>
    <w:p>
      <w:pPr>
        <w:pStyle w:val="Heading2"/>
      </w:pPr>
      <w:r>
        <w:t>7.1  Inclusion Criteria</w:t>
      </w:r>
    </w:p>
    <w:p>
      <w:r>
        <w:rPr>
          <w:color w:val="1B7F3B"/>
        </w:rPr>
        <w:t>We will only include participants who have reached the age of majority or older (e.g., 18 in most of the US, 19 in Alabama or Nebraska, 21 in Mississippi or Puerto Rico). The participants we recruit will be based in the United States and able to read English.</w:t>
      </w:r>
    </w:p>
    <w:p>
      <w:pPr>
        <w:pStyle w:val="Heading2"/>
      </w:pPr>
      <w:r>
        <w:t>7.2  Exclusion Criteria</w:t>
      </w:r>
    </w:p>
    <w:p>
      <w:r>
        <w:rPr>
          <w:color w:val="1B7F3B"/>
        </w:rPr>
        <w:t>Employees and students of the researchers, and the researchers themselves, are excluded from participation. They may establish accounts to perform quality control, but will not be enrolled in any study.</w:t>
      </w:r>
    </w:p>
    <w:p>
      <w:pPr>
        <w:pStyle w:val="Heading2"/>
      </w:pPr>
      <w:r>
        <w:t>7.3  Screening</w:t>
      </w:r>
    </w:p>
    <w:p>
      <w:r>
        <w:rPr>
          <w:color w:val="1B7F3B"/>
        </w:rPr>
        <w:t>Prolific pre-screens for US adults. MovieLens participants confirm that they are 18 or older when they consent. No further screening is performed.</w:t>
      </w:r>
    </w:p>
    <w:p>
      <w:pPr>
        <w:pStyle w:val="Heading1"/>
      </w:pPr>
      <w:r>
        <w:t>8.0  Vulnerable Populations</w:t>
      </w:r>
    </w:p>
    <w:p>
      <w:pPr>
        <w:pStyle w:val="Heading2"/>
      </w:pPr>
      <w:r>
        <w:t>8.1  Vulnerable Populations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tcPr>
          <w:p>
            <w:r>
              <w:rPr>
                <w:b/>
                <w:color w:val="1B7F3B"/>
              </w:rPr>
              <w:t>Population / Group</w:t>
            </w:r>
          </w:p>
        </w:tc>
        <w:tc>
          <w:tcPr>
            <w:tcW w:type="dxa" w:w="4320"/>
          </w:tcPr>
          <w:p>
            <w:r>
              <w:rPr>
                <w:b/>
                <w:color w:val="1B7F3B"/>
              </w:rPr>
              <w:t>Targeted / Included / Excluded</w:t>
            </w:r>
          </w:p>
        </w:tc>
      </w:tr>
      <w:tr>
        <w:tc>
          <w:tcPr>
            <w:tcW w:type="dxa" w:w="4320"/>
          </w:tcPr>
          <w:p>
            <w:r>
              <w:rPr>
                <w:color w:val="1B7F3B"/>
              </w:rPr>
              <w:t>Children</w:t>
            </w:r>
          </w:p>
        </w:tc>
        <w:tc>
          <w:tcPr>
            <w:tcW w:type="dxa" w:w="4320"/>
          </w:tcPr>
          <w:p>
            <w:r>
              <w:rPr>
                <w:color w:val="1B7F3B"/>
              </w:rPr>
              <w:t>Excluded</w:t>
            </w:r>
          </w:p>
        </w:tc>
      </w:tr>
      <w:tr>
        <w:tc>
          <w:tcPr>
            <w:tcW w:type="dxa" w:w="4320"/>
          </w:tcPr>
          <w:p>
            <w:r>
              <w:rPr>
                <w:color w:val="1B7F3B"/>
              </w:rPr>
              <w:t>Pregnant women/persons</w:t>
            </w:r>
          </w:p>
        </w:tc>
        <w:tc>
          <w:tcPr>
            <w:tcW w:type="dxa" w:w="4320"/>
          </w:tcPr>
          <w:p>
            <w:r>
              <w:rPr>
                <w:color w:val="1B7F3B"/>
              </w:rPr>
              <w:t>Included, but not the focus</w:t>
            </w:r>
          </w:p>
        </w:tc>
      </w:tr>
      <w:tr>
        <w:tc>
          <w:tcPr>
            <w:tcW w:type="dxa" w:w="4320"/>
          </w:tcPr>
          <w:p>
            <w:r>
              <w:rPr>
                <w:color w:val="1B7F3B"/>
              </w:rPr>
              <w:t>Fetuses</w:t>
            </w:r>
          </w:p>
        </w:tc>
        <w:tc>
          <w:tcPr>
            <w:tcW w:type="dxa" w:w="4320"/>
          </w:tcPr>
          <w:p>
            <w:r>
              <w:rPr>
                <w:color w:val="1B7F3B"/>
              </w:rPr>
              <w:t>Excluded</w:t>
            </w:r>
          </w:p>
        </w:tc>
      </w:tr>
      <w:tr>
        <w:tc>
          <w:tcPr>
            <w:tcW w:type="dxa" w:w="4320"/>
          </w:tcPr>
          <w:p>
            <w:r>
              <w:rPr>
                <w:color w:val="1B7F3B"/>
              </w:rPr>
              <w:t>Neonates</w:t>
            </w:r>
          </w:p>
        </w:tc>
        <w:tc>
          <w:tcPr>
            <w:tcW w:type="dxa" w:w="4320"/>
          </w:tcPr>
          <w:p>
            <w:r>
              <w:rPr>
                <w:color w:val="1B7F3B"/>
              </w:rPr>
              <w:t>Excluded</w:t>
            </w:r>
          </w:p>
        </w:tc>
      </w:tr>
      <w:tr>
        <w:tc>
          <w:tcPr>
            <w:tcW w:type="dxa" w:w="4320"/>
          </w:tcPr>
          <w:p>
            <w:r>
              <w:rPr>
                <w:color w:val="1B7F3B"/>
              </w:rPr>
              <w:t>Prisoners</w:t>
            </w:r>
          </w:p>
        </w:tc>
        <w:tc>
          <w:tcPr>
            <w:tcW w:type="dxa" w:w="4320"/>
          </w:tcPr>
          <w:p>
            <w:r>
              <w:rPr>
                <w:color w:val="1B7F3B"/>
              </w:rPr>
              <w:t>Excluded</w:t>
            </w:r>
          </w:p>
        </w:tc>
      </w:tr>
      <w:tr>
        <w:tc>
          <w:tcPr>
            <w:tcW w:type="dxa" w:w="4320"/>
          </w:tcPr>
          <w:p>
            <w:r>
              <w:rPr>
                <w:color w:val="1B7F3B"/>
              </w:rPr>
              <w:t>Adults lacking/with diminished capacity to consent</w:t>
            </w:r>
          </w:p>
        </w:tc>
        <w:tc>
          <w:tcPr>
            <w:tcW w:type="dxa" w:w="4320"/>
          </w:tcPr>
          <w:p>
            <w:r>
              <w:rPr>
                <w:color w:val="1B7F3B"/>
              </w:rPr>
              <w:t>Excluded</w:t>
            </w:r>
          </w:p>
        </w:tc>
      </w:tr>
      <w:tr>
        <w:tc>
          <w:tcPr>
            <w:tcW w:type="dxa" w:w="4320"/>
          </w:tcPr>
          <w:p>
            <w:r>
              <w:rPr>
                <w:color w:val="1B7F3B"/>
              </w:rPr>
              <w:t>Non-English speakers</w:t>
            </w:r>
          </w:p>
        </w:tc>
        <w:tc>
          <w:tcPr>
            <w:tcW w:type="dxa" w:w="4320"/>
          </w:tcPr>
          <w:p>
            <w:r>
              <w:rPr>
                <w:color w:val="1B7F3B"/>
              </w:rPr>
              <w:t>Excluded</w:t>
            </w:r>
          </w:p>
        </w:tc>
      </w:tr>
      <w:tr>
        <w:tc>
          <w:tcPr>
            <w:tcW w:type="dxa" w:w="4320"/>
          </w:tcPr>
          <w:p>
            <w:r>
              <w:rPr>
                <w:color w:val="1B7F3B"/>
              </w:rPr>
              <w:t>Those unable to read (illiterate)</w:t>
            </w:r>
          </w:p>
        </w:tc>
        <w:tc>
          <w:tcPr>
            <w:tcW w:type="dxa" w:w="4320"/>
          </w:tcPr>
          <w:p>
            <w:r>
              <w:rPr>
                <w:color w:val="1B7F3B"/>
              </w:rPr>
              <w:t>Excluded</w:t>
            </w:r>
          </w:p>
        </w:tc>
      </w:tr>
      <w:tr>
        <w:tc>
          <w:tcPr>
            <w:tcW w:type="dxa" w:w="4320"/>
          </w:tcPr>
          <w:p>
            <w:r>
              <w:rPr>
                <w:color w:val="1B7F3B"/>
              </w:rPr>
              <w:t>Employees of the researcher</w:t>
            </w:r>
          </w:p>
        </w:tc>
        <w:tc>
          <w:tcPr>
            <w:tcW w:type="dxa" w:w="4320"/>
          </w:tcPr>
          <w:p>
            <w:r>
              <w:rPr>
                <w:color w:val="1B7F3B"/>
              </w:rPr>
              <w:t>Excluded</w:t>
            </w:r>
          </w:p>
        </w:tc>
      </w:tr>
      <w:tr>
        <w:tc>
          <w:tcPr>
            <w:tcW w:type="dxa" w:w="4320"/>
          </w:tcPr>
          <w:p>
            <w:r>
              <w:rPr>
                <w:color w:val="1B7F3B"/>
              </w:rPr>
              <w:t>Students of the researcher</w:t>
            </w:r>
          </w:p>
        </w:tc>
        <w:tc>
          <w:tcPr>
            <w:tcW w:type="dxa" w:w="4320"/>
          </w:tcPr>
          <w:p>
            <w:r>
              <w:rPr>
                <w:color w:val="1B7F3B"/>
              </w:rPr>
              <w:t>Excluded</w:t>
            </w:r>
          </w:p>
        </w:tc>
      </w:tr>
      <w:tr>
        <w:tc>
          <w:tcPr>
            <w:tcW w:type="dxa" w:w="4320"/>
          </w:tcPr>
          <w:p>
            <w:r>
              <w:rPr>
                <w:color w:val="1B7F3B"/>
              </w:rPr>
              <w:t>Undervalued or disenfranchised social group</w:t>
            </w:r>
          </w:p>
        </w:tc>
        <w:tc>
          <w:tcPr>
            <w:tcW w:type="dxa" w:w="4320"/>
          </w:tcPr>
          <w:p>
            <w:r>
              <w:rPr>
                <w:color w:val="1B7F3B"/>
              </w:rPr>
              <w:t>Included, but not the focus</w:t>
            </w:r>
          </w:p>
        </w:tc>
      </w:tr>
      <w:tr>
        <w:tc>
          <w:tcPr>
            <w:tcW w:type="dxa" w:w="4320"/>
          </w:tcPr>
          <w:p>
            <w:r>
              <w:rPr>
                <w:color w:val="1B7F3B"/>
              </w:rPr>
              <w:t>Active military / DoD personnel</w:t>
            </w:r>
          </w:p>
        </w:tc>
        <w:tc>
          <w:tcPr>
            <w:tcW w:type="dxa" w:w="4320"/>
          </w:tcPr>
          <w:p>
            <w:r>
              <w:rPr>
                <w:color w:val="1B7F3B"/>
              </w:rPr>
              <w:t>Included, but not the focus</w:t>
            </w:r>
          </w:p>
        </w:tc>
      </w:tr>
      <w:tr>
        <w:tc>
          <w:tcPr>
            <w:tcW w:type="dxa" w:w="4320"/>
          </w:tcPr>
          <w:p>
            <w:r>
              <w:rPr>
                <w:color w:val="1B7F3B"/>
              </w:rPr>
              <w:t>Approached during a stressful situation</w:t>
            </w:r>
          </w:p>
        </w:tc>
        <w:tc>
          <w:tcPr>
            <w:tcW w:type="dxa" w:w="4320"/>
          </w:tcPr>
          <w:p>
            <w:r>
              <w:rPr>
                <w:color w:val="1B7F3B"/>
              </w:rPr>
              <w:t>N/A</w:t>
            </w:r>
          </w:p>
        </w:tc>
      </w:tr>
      <w:tr>
        <w:tc>
          <w:tcPr>
            <w:tcW w:type="dxa" w:w="4320"/>
          </w:tcPr>
          <w:p>
            <w:r>
              <w:rPr>
                <w:color w:val="1B7F3B"/>
              </w:rPr>
              <w:t>Disadvantaged in distribution of social goods/services</w:t>
            </w:r>
          </w:p>
        </w:tc>
        <w:tc>
          <w:tcPr>
            <w:tcW w:type="dxa" w:w="4320"/>
          </w:tcPr>
          <w:p>
            <w:r>
              <w:rPr>
                <w:color w:val="1B7F3B"/>
              </w:rPr>
              <w:t>Included, but not the focus</w:t>
            </w:r>
          </w:p>
        </w:tc>
      </w:tr>
      <w:tr>
        <w:tc>
          <w:tcPr>
            <w:tcW w:type="dxa" w:w="4320"/>
          </w:tcPr>
          <w:p>
            <w:r>
              <w:rPr>
                <w:color w:val="1B7F3B"/>
              </w:rPr>
              <w:t>Serious health condition without standard treatment</w:t>
            </w:r>
          </w:p>
        </w:tc>
        <w:tc>
          <w:tcPr>
            <w:tcW w:type="dxa" w:w="4320"/>
          </w:tcPr>
          <w:p>
            <w:r>
              <w:rPr>
                <w:color w:val="1B7F3B"/>
              </w:rPr>
              <w:t>Included, but not the focus</w:t>
            </w:r>
          </w:p>
        </w:tc>
      </w:tr>
      <w:tr>
        <w:tc>
          <w:tcPr>
            <w:tcW w:type="dxa" w:w="4320"/>
          </w:tcPr>
          <w:p>
            <w:r>
              <w:rPr>
                <w:color w:val="1B7F3B"/>
              </w:rPr>
              <w:t>Fear of negative consequences for not participating</w:t>
            </w:r>
          </w:p>
        </w:tc>
        <w:tc>
          <w:tcPr>
            <w:tcW w:type="dxa" w:w="4320"/>
          </w:tcPr>
          <w:p>
            <w:r>
              <w:rPr>
                <w:color w:val="1B7F3B"/>
              </w:rPr>
              <w:t>Included, but not the focus</w:t>
            </w:r>
          </w:p>
        </w:tc>
      </w:tr>
      <w:tr>
        <w:tc>
          <w:tcPr>
            <w:tcW w:type="dxa" w:w="4320"/>
          </w:tcPr>
          <w:p>
            <w:r>
              <w:rPr>
                <w:color w:val="1B7F3B"/>
              </w:rPr>
              <w:t>Any other circumstance increasing vulnerability</w:t>
            </w:r>
          </w:p>
        </w:tc>
        <w:tc>
          <w:tcPr>
            <w:tcW w:type="dxa" w:w="4320"/>
          </w:tcPr>
          <w:p>
            <w:r>
              <w:rPr>
                <w:color w:val="1B7F3B"/>
              </w:rPr>
              <w:t>N/A</w:t>
            </w:r>
          </w:p>
        </w:tc>
      </w:tr>
    </w:tbl>
    <w:p>
      <w:pPr>
        <w:pStyle w:val="Heading2"/>
      </w:pPr>
      <w:r>
        <w:t>8.2  Additional Safeguards</w:t>
      </w:r>
    </w:p>
    <w:p>
      <w:r>
        <w:rPr>
          <w:color w:val="1B7F3B"/>
        </w:rPr>
        <w:t>N/A. The study is anonymous, minimal-risk, and voluntary, and participants may stop at any time; no additional safeguards are required.</w:t>
      </w:r>
    </w:p>
    <w:p>
      <w:pPr>
        <w:pStyle w:val="Heading2"/>
      </w:pPr>
      <w:r>
        <w:t>8.3  Rationale for Exclusions (if potential direct benefit)</w:t>
      </w:r>
    </w:p>
    <w:p>
      <w:r>
        <w:rPr>
          <w:color w:val="1B7F3B"/>
        </w:rPr>
        <w:t>N/A — there is no direct benefit to participants.</w:t>
      </w:r>
    </w:p>
    <w:p>
      <w:pPr>
        <w:pStyle w:val="Heading1"/>
      </w:pPr>
      <w:r>
        <w:t>9.0  Number of Participants at this Site</w:t>
      </w:r>
    </w:p>
    <w:p>
      <w:pPr>
        <w:pStyle w:val="Heading2"/>
      </w:pPr>
      <w:r>
        <w:t>9.1  Number to be Consented</w:t>
      </w:r>
    </w:p>
    <w:p>
      <w:r>
        <w:rPr>
          <w:color w:val="1B7F3B"/>
        </w:rPr>
        <w:t>We anticipate recruiting approximately 180 participants (about 60 per condition), with up to about 540 maximum to allow for the between-subjects design, three conditions, multiple measures, and incomplete responses. If Condition 3 is disabled, the Condition 1 vs Condition 2 comparison requires fewer participants.</w:t>
      </w:r>
    </w:p>
    <w:p>
      <w:pPr>
        <w:pStyle w:val="Heading1"/>
      </w:pPr>
      <w:r>
        <w:t>10.0  Local Recruitment Methods</w:t>
      </w:r>
    </w:p>
    <w:p>
      <w:pPr>
        <w:pStyle w:val="Heading2"/>
      </w:pPr>
      <w:r>
        <w:t>10.1  Recruitment Process</w:t>
      </w:r>
    </w:p>
    <w:p>
      <w:r>
        <w:rPr>
          <w:color w:val="1B7F3B"/>
        </w:rPr>
        <w:t>Prolific participants self-select in response to a public study listing on Prolific. MovieLens users may be invited to the study through the MovieLens platform. We do not use any private or protected records to identify or recruit participants. The student investigator manages recruitment under the PI's oversight.</w:t>
      </w:r>
    </w:p>
    <w:p>
      <w:pPr>
        <w:pStyle w:val="Heading2"/>
      </w:pPr>
      <w:r>
        <w:t>10.2  Recruitment Materials</w:t>
      </w:r>
    </w:p>
    <w:p>
      <w:r>
        <w:rPr>
          <w:color w:val="1B7F3B"/>
        </w:rPr>
        <w:t>A short study listing/description (title, estimated time, eligibility, and a link). The final copy is attached in ETHOS.</w:t>
      </w:r>
    </w:p>
    <w:p>
      <w:pPr>
        <w:pStyle w:val="Heading2"/>
      </w:pPr>
      <w:r>
        <w:t>10.3  Payment</w:t>
      </w:r>
    </w:p>
    <w:p>
      <w:r>
        <w:rPr>
          <w:color w:val="1B7F3B"/>
        </w:rPr>
        <w:t>Prolific participants are paid at a living-wage-equivalent hourly rate (we target at least the MIT living-wage reference, for example about $12/hour, prorated for the 5–8 minute task — roughly $1.20–$1.60), paid through Prolific upon completion. MovieLens participants are unpaid volunteers. No payments are made to anyone other than the participants. Partial completions are handled per Prolific's standard policy.</w:t>
      </w:r>
    </w:p>
    <w:p>
      <w:pPr>
        <w:pStyle w:val="Heading2"/>
      </w:pPr>
      <w:r>
        <w:t>10.4  Recruitment Barriers and Challenges</w:t>
      </w:r>
    </w:p>
    <w:p>
      <w:r>
        <w:rPr>
          <w:color w:val="1B7F3B"/>
        </w:rPr>
        <w:t>Minimal. The task is a short, English-language online activity, and we do not anticipate special access, translation, or accessibility barriers beyond standard web access.</w:t>
      </w:r>
    </w:p>
    <w:p>
      <w:pPr>
        <w:pStyle w:val="Heading1"/>
      </w:pPr>
      <w:r>
        <w:t>11.0  Withdrawal of Participants</w:t>
      </w:r>
    </w:p>
    <w:p>
      <w:pPr>
        <w:pStyle w:val="Heading2"/>
      </w:pPr>
      <w:r>
        <w:t>11.1  Withdrawal Circumstances</w:t>
      </w:r>
    </w:p>
    <w:p>
      <w:r>
        <w:rPr>
          <w:color w:val="1B7F3B"/>
        </w:rPr>
        <w:t>Participation is voluntary; a participant may stop at any time, for any reason, by closing the browser window. We may exclude responses that fail attention or quality checks.</w:t>
      </w:r>
    </w:p>
    <w:p>
      <w:pPr>
        <w:pStyle w:val="Heading2"/>
      </w:pPr>
      <w:r>
        <w:t>11.2  Withdrawal Procedures</w:t>
      </w:r>
    </w:p>
    <w:p>
      <w:r>
        <w:rPr>
          <w:color w:val="1B7F3B"/>
        </w:rPr>
        <w:t>Participants who close the window before submitting leave no completed record. De-identified data from completed steps may be retained for analysis. Because we collect no identifiers, an individual record cannot be located for deletion after an anonymous submission.</w:t>
      </w:r>
    </w:p>
    <w:p>
      <w:pPr>
        <w:pStyle w:val="Heading2"/>
      </w:pPr>
      <w:r>
        <w:t>11.3  Termination Procedures</w:t>
      </w:r>
    </w:p>
    <w:p>
      <w:r>
        <w:rPr>
          <w:color w:val="1B7F3B"/>
        </w:rPr>
        <w:t>We may pause or stop the study if technical problems or quality issues arise; collected de-identified data may still be analyzed.</w:t>
      </w:r>
    </w:p>
    <w:p>
      <w:pPr>
        <w:pStyle w:val="Heading2"/>
      </w:pPr>
      <w:r>
        <w:t>11.4  Retention Monitoring and Mitigation</w:t>
      </w:r>
    </w:p>
    <w:p>
      <w:r>
        <w:rPr>
          <w:color w:val="1B7F3B"/>
        </w:rPr>
        <w:t>There are minimal barriers to a single, short session. We monitor completion rates and address technical issues promptly.</w:t>
      </w:r>
    </w:p>
    <w:p>
      <w:pPr>
        <w:pStyle w:val="Heading1"/>
      </w:pPr>
      <w:r>
        <w:t>12.0  Risks to Participants</w:t>
      </w:r>
    </w:p>
    <w:p>
      <w:pPr>
        <w:pStyle w:val="Heading2"/>
      </w:pPr>
      <w:r>
        <w:t>12.1  Foreseeable Risks</w:t>
      </w:r>
    </w:p>
    <w:p>
      <w:r>
        <w:rPr>
          <w:color w:val="1B7F3B"/>
        </w:rPr>
        <w:t>The foreseeable risks in this study are minimal. Participants may experience mild discomfort or boredom from reading news headlines (which can touch on sensitive or political events) or from answering a short survey, and there is a small chance that a participant includes personal information in the free-text field. These risks are mitigated by the facts that participation is voluntary and can be stopped at any time; that participants are asked not to include information that could identify them; that we screen the free-text before analysis or sharing and remove or replace any personal information; and that, in Condition 3, the assistant is constrained to remain neutral and non-persuasive and to remind participants not to include personal information. Because the data are de-identified and participants are informed of this in the consent information sheet, the privacy concern is also addressed.</w:t>
      </w:r>
    </w:p>
    <w:p>
      <w:pPr>
        <w:pStyle w:val="Heading2"/>
      </w:pPr>
      <w:r>
        <w:t>12.2  Reproduction Risks</w:t>
      </w:r>
    </w:p>
    <w:p>
      <w:r>
        <w:rPr>
          <w:color w:val="1B7F3B"/>
        </w:rPr>
        <w:t>N/A.</w:t>
      </w:r>
    </w:p>
    <w:p>
      <w:pPr>
        <w:pStyle w:val="Heading2"/>
      </w:pPr>
      <w:r>
        <w:t>12.3  Risks to Others</w:t>
      </w:r>
    </w:p>
    <w:p>
      <w:r>
        <w:rPr>
          <w:color w:val="1B7F3B"/>
        </w:rPr>
        <w:t>N/A.</w:t>
      </w:r>
    </w:p>
    <w:p>
      <w:pPr>
        <w:pStyle w:val="Heading1"/>
      </w:pPr>
      <w:r>
        <w:t>13.0  Incomplete Disclosure or Deception</w:t>
      </w:r>
    </w:p>
    <w:p>
      <w:pPr>
        <w:pStyle w:val="Heading2"/>
      </w:pPr>
      <w:r>
        <w:t>13.1  Incomplete Disclosure or Deception</w:t>
      </w:r>
    </w:p>
    <w:p>
      <w:r>
        <w:rPr>
          <w:color w:val="1B7F3B"/>
        </w:rPr>
        <w:t>N/A. There is no deception. Participants are told that the study is about how people express feedback and that their feedback will not change any newsletter they receive.</w:t>
      </w:r>
    </w:p>
    <w:p>
      <w:pPr>
        <w:pStyle w:val="Heading1"/>
      </w:pPr>
      <w:r>
        <w:t>14.0  Potential Benefits to Participants</w:t>
      </w:r>
    </w:p>
    <w:p>
      <w:r>
        <w:rPr>
          <w:color w:val="1B7F3B"/>
        </w:rPr>
        <w:t>No direct benefit.</w:t>
      </w:r>
    </w:p>
    <w:p>
      <w:pPr>
        <w:pStyle w:val="Heading1"/>
      </w:pPr>
      <w:r>
        <w:t>15.0  Statistical Considerations</w:t>
      </w:r>
    </w:p>
    <w:p>
      <w:pPr>
        <w:pStyle w:val="Heading2"/>
      </w:pPr>
      <w:r>
        <w:t>15.1  Data Analysis Plan</w:t>
      </w:r>
    </w:p>
    <w:p>
      <w:r>
        <w:rPr>
          <w:color w:val="1B7F3B"/>
        </w:rPr>
        <w:t>Our primary outcome is the actionability of the final written feedback, scored 0–10 by three trained human raters; we report inter-rater reliability and use the average as the primary score. We will fit a regression/ANOVA model of the form Actionability ~ Condition + Newsletter stimulus, adding recruitment source as a covariate if it differs across conditions. Planned contrasts compare Condition 2 vs Condition 1 and, when Condition 3 is enabled, Condition 3 vs Condition 1 and Condition 3 vs Condition 2; we report effect sizes and confidence intervals. As secondary analyses we examine the five rubric dimensions (using ordinal models); the four post-task survey items (effort, self-efficacy, a seriousness check, and perceived actionability) across conditions; the relationship between the perceived-actionability self-report and the rubric score; and, in Condition 3, whether the assistant increased actionability while preserving the participant's intent (comparing the initial and final responses). For missing data we use complete-case analysis for the primary outcome and report attrition; the short survey scales are reported with their Ns.</w:t>
      </w:r>
    </w:p>
    <w:p>
      <w:pPr>
        <w:pStyle w:val="Heading2"/>
      </w:pPr>
      <w:r>
        <w:t>15.2  Power Analysis</w:t>
      </w:r>
    </w:p>
    <w:p>
      <w:r>
        <w:rPr>
          <w:color w:val="1B7F3B"/>
        </w:rPr>
        <w:t>An a priori power analysis (G*Power, one-way ANOVA, three groups, medium effect f = 0.25, α = .05, power = .80) indicates approximately 159 participants (about 53 per group). Our target of about 180 (60 per condition) provides adequate power. If Condition 3 is disabled, the two-group comparison (Condition 1 vs Condition 2) requires fewer participants for the same power.</w:t>
      </w:r>
    </w:p>
    <w:p>
      <w:pPr>
        <w:pStyle w:val="Heading2"/>
      </w:pPr>
      <w:r>
        <w:t>15.3  Statistical Analysis</w:t>
      </w:r>
    </w:p>
    <w:p>
      <w:r>
        <w:rPr>
          <w:color w:val="1B7F3B"/>
        </w:rPr>
        <w:t>Response variables include the human-rated actionability score and its five rubric dimensions, the four post-task survey items, and, in Condition 3, the change from the initial to the final response. We use ordinal models for the 0–2 rubric dimensions and report linear models as a pragmatic summary where assumptions are reasonable, with effect sizes and confidence intervals.</w:t>
      </w:r>
    </w:p>
    <w:p>
      <w:pPr>
        <w:pStyle w:val="Heading2"/>
      </w:pPr>
      <w:r>
        <w:t>15.4  Data Integrity</w:t>
      </w:r>
    </w:p>
    <w:p>
      <w:r>
        <w:rPr>
          <w:color w:val="1B7F3B"/>
        </w:rPr>
        <w:t>Responses and condition assignments are logged automatically. After data collection we verify that the condition assignment and logging are correct, and we apply attention or quality checks.</w:t>
      </w:r>
    </w:p>
    <w:p>
      <w:pPr>
        <w:pStyle w:val="Heading1"/>
      </w:pPr>
      <w:r>
        <w:t>16.0  Confidentiality</w:t>
      </w:r>
    </w:p>
    <w:p>
      <w:pPr>
        <w:pStyle w:val="Heading2"/>
      </w:pPr>
      <w:r>
        <w:t>16.1  Data Security</w:t>
      </w:r>
    </w:p>
    <w:p>
      <w:r>
        <w:rPr>
          <w:color w:val="1B7F3B"/>
        </w:rPr>
        <w:t>All study data will be stored privately in the study's database, which is access-controlled and password-protected, and only the research team will have access. The team will surface de-identified log and survey data — with no personal identifiers — to a UMN Google Drive that only our team members can access, which will facilitate statistical analysis in a secure manner. At the time of submission, the data needed to reproduce our statistical analysis will be made publicly available through GitHub or a similar public repository; this data will contain no personal identifiers or sensitive information. We screen the free-text feedback for personal information before any analysis or sharing and remove or replace anything identifying. In Condition 3, the feedback text is sent to a third-party language-model API to generate the clarifying guidance — only the feedback text is sent (no identifiers), participants are asked not to include personal information, and no text is sent externally when Condition 3 is disabled. No protected health information is collected, and HIPAA does not apply (Section 27).</w:t>
      </w:r>
    </w:p>
    <w:p>
      <w:pPr>
        <w:pStyle w:val="Heading1"/>
      </w:pPr>
      <w:r>
        <w:t>17.0  Provisions to Monitor the Study to Ensure the Safety of Participants</w:t>
      </w:r>
    </w:p>
    <w:p>
      <w:pPr>
        <w:pStyle w:val="Heading2"/>
      </w:pPr>
      <w:r>
        <w:t>17.1  Safety Plan</w:t>
      </w:r>
    </w:p>
    <w:p>
      <w:r>
        <w:rPr>
          <w:color w:val="1B7F3B"/>
        </w:rPr>
        <w:t>The study is minimal-risk and contains no questions about mental health, mood, or suicidality. The PI and study team review aggregate data and any participant reports, and we monitor the free-text for inadvertent personal information, which we remove when found. Study team members comply with IRB reporting requirements.</w:t>
      </w:r>
    </w:p>
    <w:p>
      <w:pPr>
        <w:pStyle w:val="Heading2"/>
      </w:pPr>
      <w:r>
        <w:t>17.2  Data Integrity Monitoring</w:t>
      </w:r>
    </w:p>
    <w:p>
      <w:r>
        <w:rPr>
          <w:color w:val="1B7F3B"/>
        </w:rPr>
        <w:t>We periodically review de-identified data exports to confirm correct condition assignment and accurate logging.</w:t>
      </w:r>
    </w:p>
    <w:p>
      <w:pPr>
        <w:pStyle w:val="Heading2"/>
      </w:pPr>
      <w:r>
        <w:t>17.3  Data Safety Monitoring</w:t>
      </w:r>
    </w:p>
    <w:p>
      <w:r>
        <w:rPr>
          <w:color w:val="1B7F3B"/>
        </w:rPr>
        <w:t>Given the minimal risk, we do not establish a Data and Safety Monitoring Board. We monitor for participant complaints or quality issues and address them as needed.</w:t>
      </w:r>
    </w:p>
    <w:p>
      <w:pPr>
        <w:pStyle w:val="Heading1"/>
      </w:pPr>
      <w:r>
        <w:t>18.0  Provisions to Protect the Privacy Interests of Participants</w:t>
      </w:r>
    </w:p>
    <w:p>
      <w:pPr>
        <w:pStyle w:val="Heading2"/>
      </w:pPr>
      <w:r>
        <w:t>18.1  Protecting Privacy</w:t>
      </w:r>
    </w:p>
    <w:p>
      <w:r>
        <w:rPr>
          <w:color w:val="1B7F3B"/>
        </w:rPr>
        <w:t>Participation is anonymous; we collect no identifiers. Participants choose what to write and complete the task privately, online, at a time and place of their choosing, and are reminded not to include personal information.</w:t>
      </w:r>
    </w:p>
    <w:p>
      <w:pPr>
        <w:pStyle w:val="Heading2"/>
      </w:pPr>
      <w:r>
        <w:t>18.2  Access to Participants / Records</w:t>
      </w:r>
    </w:p>
    <w:p>
      <w:r>
        <w:rPr>
          <w:color w:val="1B7F3B"/>
        </w:rPr>
        <w:t>We have no access to private or protected records — only to the de-identified responses generated within the study.</w:t>
      </w:r>
    </w:p>
    <w:p>
      <w:pPr>
        <w:pStyle w:val="Heading1"/>
      </w:pPr>
      <w:r>
        <w:t>19.0  Compensation for Research-Related Injury</w:t>
      </w:r>
    </w:p>
    <w:p>
      <w:pPr>
        <w:pStyle w:val="Heading2"/>
      </w:pPr>
      <w:r>
        <w:t>19.1  Compensation for Research-Related Injury</w:t>
      </w:r>
    </w:p>
    <w:p>
      <w:r>
        <w:rPr>
          <w:color w:val="1B7F3B"/>
        </w:rPr>
        <w:t>N/A — the research involves no greater than minimal risk.</w:t>
      </w:r>
    </w:p>
    <w:p>
      <w:pPr>
        <w:pStyle w:val="Heading2"/>
      </w:pPr>
      <w:r>
        <w:t>19.2  Contract Language</w:t>
      </w:r>
    </w:p>
    <w:p>
      <w:r>
        <w:rPr>
          <w:color w:val="1B7F3B"/>
        </w:rPr>
        <w:t>N/A.</w:t>
      </w:r>
    </w:p>
    <w:p>
      <w:pPr>
        <w:pStyle w:val="Heading1"/>
      </w:pPr>
      <w:r>
        <w:t>20.0  Storing Data for Future Use</w:t>
      </w:r>
    </w:p>
    <w:p>
      <w:pPr>
        <w:pStyle w:val="Heading2"/>
      </w:pPr>
      <w:r>
        <w:t>20.1  Storage and Access</w:t>
      </w:r>
    </w:p>
    <w:p>
      <w:r>
        <w:rPr>
          <w:color w:val="1B7F3B"/>
        </w:rPr>
        <w:t>De-identified responses are stored by the study team on University-secured storage and may be released for reproducibility. The data are not identifiable and are retained per University data-retention requirements.</w:t>
      </w:r>
    </w:p>
    <w:p>
      <w:pPr>
        <w:pStyle w:val="Heading2"/>
      </w:pPr>
      <w:r>
        <w:t>20.2  Data</w:t>
      </w:r>
    </w:p>
    <w:p>
      <w:r>
        <w:rPr>
          <w:color w:val="1B7F3B"/>
        </w:rPr>
        <w:t>The assigned condition, the newsletter id, the PII-screened feedback text (the initial and final responses in Condition 3), the assistant-turn metadata, the four survey responses, the rubric ratings, and the task timing. No identifiers are included.</w:t>
      </w:r>
    </w:p>
    <w:p>
      <w:pPr>
        <w:pStyle w:val="Heading2"/>
      </w:pPr>
      <w:r>
        <w:t>20.3  Release/Sharing</w:t>
      </w:r>
    </w:p>
    <w:p>
      <w:r>
        <w:rPr>
          <w:color w:val="1B7F3B"/>
        </w:rPr>
        <w:t>A de-identified dataset may be shared without additional consent because it contains no identifiers, supporting reproducibility of the analyses.</w:t>
      </w:r>
    </w:p>
    <w:p>
      <w:pPr>
        <w:pStyle w:val="Heading1"/>
      </w:pPr>
      <w:r>
        <w:t>21.0  Consent Process</w:t>
      </w:r>
    </w:p>
    <w:p>
      <w:pPr>
        <w:pStyle w:val="Heading2"/>
      </w:pPr>
      <w:r>
        <w:t>21.1  Consent Process (when consent will be obtained)</w:t>
      </w:r>
    </w:p>
    <w:p>
      <w:r>
        <w:rPr>
          <w:color w:val="1B7F3B"/>
        </w:rPr>
        <w:t>We will obtain informed consent online at the start of the session. Before any data are collected, each participant reads a short consent information sheet that explains the purpose, the task and the time it takes (about 5–8 minutes), that participation is voluntary, how their responses are used (for research only; their feedback will not change any newsletter they receive), and the request not to include personal information; the participant then clicks “I agree,” confirming that they are 18 or older. The consent information sheet is attached in ETHOS.</w:t>
      </w:r>
    </w:p>
    <w:p>
      <w:pPr>
        <w:pStyle w:val="Heading2"/>
      </w:pPr>
      <w:r>
        <w:t>21.2  Waiver or Alteration of Consent Process</w:t>
      </w:r>
    </w:p>
    <w:p>
      <w:r>
        <w:rPr>
          <w:color w:val="1B7F3B"/>
        </w:rPr>
        <w:t>N/A for the consent process itself — we obtain informed consent online. (We request a waiver of written/signed documentation in 21.3.)</w:t>
      </w:r>
    </w:p>
    <w:p>
      <w:pPr>
        <w:pStyle w:val="Heading2"/>
      </w:pPr>
      <w:r>
        <w:t>21.3  Waiver of Written/Signed Documentation of Consent</w:t>
      </w:r>
    </w:p>
    <w:p>
      <w:r>
        <w:rPr>
          <w:color w:val="1B7F3B"/>
        </w:rPr>
        <w:t>We request a waiver of signed/written documentation of consent (per CHECKLIST HRP-411). The research presents no more than minimal risk and involves no procedures for which signed consent is normally required outside the research context. Because we collect no identifiers, the only record linking a participant to the study would be a signed consent form, and the principal risk would be a potential breach of confidentiality from that link; an online, click-through consent without a signature is therefore appropriate. A consent information sheet/script is provided in ETHOS.</w:t>
      </w:r>
    </w:p>
    <w:p>
      <w:pPr>
        <w:pStyle w:val="Heading2"/>
      </w:pPr>
      <w:r>
        <w:t>21.4  Non-English Speaking Participants</w:t>
      </w:r>
    </w:p>
    <w:p>
      <w:r>
        <w:rPr>
          <w:color w:val="1B7F3B"/>
        </w:rPr>
        <w:t>We do not expect non-English speakers to enroll; the task and materials are in English.</w:t>
      </w:r>
    </w:p>
    <w:p>
      <w:pPr>
        <w:pStyle w:val="Heading2"/>
      </w:pPr>
      <w:r>
        <w:t>21.5  Participants Who Are Not Yet Adults</w:t>
      </w:r>
    </w:p>
    <w:p>
      <w:r>
        <w:rPr>
          <w:color w:val="1B7F3B"/>
        </w:rPr>
        <w:t>N/A — participants must be 18 or older.</w:t>
      </w:r>
    </w:p>
    <w:p>
      <w:pPr>
        <w:pStyle w:val="Heading2"/>
      </w:pPr>
      <w:r>
        <w:t>21.6  Cognitively Impaired Adults / Diminished Capacity</w:t>
      </w:r>
    </w:p>
    <w:p>
      <w:r>
        <w:rPr>
          <w:color w:val="1B7F3B"/>
        </w:rPr>
        <w:t>N/A.</w:t>
      </w:r>
    </w:p>
    <w:p>
      <w:pPr>
        <w:pStyle w:val="Heading2"/>
      </w:pPr>
      <w:r>
        <w:t>21.7  Adults Unable to Consent</w:t>
      </w:r>
    </w:p>
    <w:p>
      <w:r>
        <w:rPr>
          <w:color w:val="1B7F3B"/>
        </w:rPr>
        <w:t>Permission: N/A. Assent: N/A. Dissent: N/A.</w:t>
      </w:r>
    </w:p>
    <w:p>
      <w:pPr>
        <w:pStyle w:val="Heading1"/>
      </w:pPr>
      <w:r>
        <w:t>22.0  Setting</w:t>
      </w:r>
    </w:p>
    <w:p>
      <w:pPr>
        <w:pStyle w:val="Heading2"/>
      </w:pPr>
      <w:r>
        <w:t>22.1  Research Sites</w:t>
      </w:r>
    </w:p>
    <w:p>
      <w:r>
        <w:rPr>
          <w:color w:val="1B7F3B"/>
        </w:rPr>
        <w:t>The study is conducted entirely online. The research team is located in the United States, and the participants are United-States residents who complete the task on their own device.</w:t>
      </w:r>
    </w:p>
    <w:p>
      <w:pPr>
        <w:pStyle w:val="Heading2"/>
      </w:pPr>
      <w:r>
        <w:t>22.2  International Research</w:t>
      </w:r>
    </w:p>
    <w:p>
      <w:r>
        <w:rPr>
          <w:color w:val="1B7F3B"/>
        </w:rPr>
        <w:t>N/A.</w:t>
      </w:r>
    </w:p>
    <w:p>
      <w:pPr>
        <w:pStyle w:val="Heading2"/>
      </w:pPr>
      <w:r>
        <w:t>22.3  Community Participatory Research</w:t>
      </w:r>
    </w:p>
    <w:p>
      <w:r>
        <w:rPr>
          <w:color w:val="1B7F3B"/>
        </w:rPr>
        <w:t>N/A.</w:t>
      </w:r>
    </w:p>
    <w:p>
      <w:pPr>
        <w:pStyle w:val="Heading1"/>
      </w:pPr>
      <w:r>
        <w:t>23.0  Multi-Site Research</w:t>
      </w:r>
    </w:p>
    <w:p>
      <w:r>
        <w:rPr>
          <w:color w:val="1B7F3B"/>
        </w:rPr>
        <w:t>N/A.</w:t>
      </w:r>
    </w:p>
    <w:p>
      <w:pPr>
        <w:pStyle w:val="Heading1"/>
      </w:pPr>
      <w:r>
        <w:t>24.0  Coordinating Center Research</w:t>
      </w:r>
    </w:p>
    <w:p>
      <w:r>
        <w:rPr>
          <w:color w:val="1B7F3B"/>
        </w:rPr>
        <w:t>N/A.</w:t>
      </w:r>
    </w:p>
    <w:p>
      <w:pPr>
        <w:pStyle w:val="Heading1"/>
      </w:pPr>
      <w:r>
        <w:t>25.0  Resources Available</w:t>
      </w:r>
    </w:p>
    <w:p>
      <w:pPr>
        <w:pStyle w:val="Heading2"/>
      </w:pPr>
      <w:r>
        <w:t>25.1  Resources Available</w:t>
      </w:r>
    </w:p>
    <w:p>
      <w:r>
        <w:rPr>
          <w:color w:val="1B7F3B"/>
        </w:rPr>
        <w:t>The student investigator conducts the study under the direct supervision of the faculty advisor (Dr. Konstan). The study website is hosted on study-controlled infrastructure, and recruitment through Prolific and/or MovieLens provides access to enough eligible participants for the target sample. The team has the time and facilities to complete the work, and all team members are trained on the protocol and their duties.</w:t>
      </w:r>
    </w:p>
    <w:p>
      <w:pPr>
        <w:pStyle w:val="Heading1"/>
      </w:pPr>
      <w:r>
        <w:t>26.0  References</w:t>
      </w:r>
    </w:p>
    <w:p>
      <w:r>
        <w:rPr>
          <w:color w:val="1B7F3B"/>
        </w:rPr>
        <w:t>[1] Jannach, D., Manzoor, A., Cai, W., &amp; Chen, L. (2021). A survey on conversational recommender systems. ACM Computing Surveys, 54(5), 1-36.</w:t>
      </w:r>
    </w:p>
    <w:p>
      <w:r>
        <w:rPr>
          <w:color w:val="1B7F3B"/>
        </w:rPr>
        <w:t>[2] Gao, C., Lei, W., He, X., de Rijke, M., &amp; Chua, T.-S. (2021). Advances and challenges in conversational recommender systems: A survey. AI Open, 2, 100-126.</w:t>
      </w:r>
    </w:p>
    <w:p>
      <w:r>
        <w:rPr>
          <w:color w:val="1B7F3B"/>
        </w:rPr>
        <w:t>[3] Radlinski, F., Boutilier, C., Ramachandran, D., &amp; Vendrov, I. (2022). Subjective attributes in conversational recommendation systems. AAAI 36(11), 12287-12293.</w:t>
      </w:r>
    </w:p>
    <w:p>
      <w:r>
        <w:rPr>
          <w:color w:val="1B7F3B"/>
        </w:rPr>
        <w:t>[4] Chen, L., &amp; Pu, P. (2012). Critiquing-based recommenders: Survey and emerging trends. UMUAI, 22, 125-150.</w:t>
      </w:r>
    </w:p>
    <w:p>
      <w:r>
        <w:rPr>
          <w:color w:val="1B7F3B"/>
        </w:rPr>
        <w:t>[5] Faltings, B., Pu, P., Torrens, M., &amp; Viappiani, P. (2004). Designing example-critiquing interaction. IUI 2004, 22-29.</w:t>
      </w:r>
    </w:p>
    <w:p>
      <w:r>
        <w:rPr>
          <w:color w:val="1B7F3B"/>
        </w:rPr>
        <w:t>[6] Steck, H. (2018). Calibrated recommendations. RecSys 2018.</w:t>
      </w:r>
    </w:p>
    <w:p>
      <w:r>
        <w:rPr>
          <w:color w:val="1B7F3B"/>
        </w:rPr>
        <w:t>[7] Teso, S., Dragone, P., &amp; Passerini, A. (2017). Coactive critiquing: Elicitation of preferences and features. AAAI 31(1).</w:t>
      </w:r>
    </w:p>
    <w:p>
      <w:r>
        <w:rPr>
          <w:color w:val="1B7F3B"/>
        </w:rPr>
        <w:t>[8] Slovic, P. (1995). The construction of preference. American Psychologist, 50(5), 364-371.</w:t>
      </w:r>
    </w:p>
    <w:p>
      <w:r>
        <w:rPr>
          <w:color w:val="1B7F3B"/>
        </w:rPr>
        <w:t>[9] Payne, J. W., Bettman, J. R., &amp; Johnson, E. J. (1993). The Adaptive Decision Maker. Cambridge University Press.</w:t>
      </w:r>
    </w:p>
    <w:p>
      <w:r>
        <w:rPr>
          <w:color w:val="1B7F3B"/>
        </w:rPr>
        <w:t>[10] Pommeranz, A., Broekens, J., Wiggers, P., Brinkman, W.-P., &amp; Jonker, C. M. (2012). Designing interfaces for explicit preference elicitation. UMUAI, 22, 357-397.</w:t>
      </w:r>
    </w:p>
    <w:p>
      <w:r>
        <w:rPr>
          <w:color w:val="1B7F3B"/>
        </w:rPr>
        <w:t>[11] Knijnenburg, B. P., &amp; Willemsen, M. C. (2015). Evaluating recommender systems with user experiments. Recommender Systems Handbook (2nd ed.), 309-352.</w:t>
      </w:r>
    </w:p>
    <w:p>
      <w:r>
        <w:rPr>
          <w:color w:val="1B7F3B"/>
        </w:rPr>
        <w:t>[12] McCarthy, K., Reilly, J., McGinty, L., &amp; Smyth, B. (2005). Experiments in dynamic critiquing. IUI 2005.</w:t>
      </w:r>
    </w:p>
    <w:p>
      <w:r>
        <w:rPr>
          <w:color w:val="1B7F3B"/>
        </w:rPr>
        <w:t>[13] Cai, W., &amp; Chen, L. (2019). Towards a taxonomy of user feedback intents for conversational recommendations. RecSys 2019 LBR.</w:t>
      </w:r>
    </w:p>
    <w:p>
      <w:r>
        <w:rPr>
          <w:color w:val="1B7F3B"/>
        </w:rPr>
        <w:t>[14] Li, R., Kahou, S. E., Schulz, H., Michalski, V., Charlin, L., &amp; Pal, C. (2018). Towards deep conversational recommendations. NeurIPS 2018.</w:t>
      </w:r>
    </w:p>
    <w:p>
      <w:r>
        <w:rPr>
          <w:color w:val="1B7F3B"/>
        </w:rPr>
        <w:t>[15] Hayati, S. A., Kang, D., Zhu, Q., Shi, W., &amp; Yu, Z. (2020). INSPIRED: Toward sociable recommendation dialog systems. EMNLP 2020.</w:t>
      </w:r>
    </w:p>
    <w:p>
      <w:r>
        <w:rPr>
          <w:color w:val="1B7F3B"/>
        </w:rPr>
        <w:t>[16] Chaganty, A. T., Leszczynski, M., Zhang, S., Ganti, R., Balog, K., &amp; Radlinski, F. (2023). Beyond single items: the Conversational Playlist Curation Dataset. SIGIR 2023.</w:t>
      </w:r>
    </w:p>
    <w:p>
      <w:r>
        <w:rPr>
          <w:color w:val="1B7F3B"/>
        </w:rPr>
        <w:t>[17] Viappiani, P., Faltings, B., &amp; Pu, P. (2006). Preference-based search using example-critiquing with suggestions. JAIR, 27, 465-503.</w:t>
      </w:r>
    </w:p>
    <w:p>
      <w:r>
        <w:rPr>
          <w:color w:val="1B7F3B"/>
        </w:rPr>
        <w:t>[18] Zheng, L., Chiang, W.-L., Sheng, Y., et al. (2023). Judging LLM-as-a-judge with MT-Bench and Chatbot Arena. NeurIPS 36, 46595-46623.</w:t>
      </w:r>
    </w:p>
    <w:p>
      <w:pPr>
        <w:pStyle w:val="Heading1"/>
      </w:pPr>
      <w:r>
        <w:t>27.0  Health Information and Privacy Compliance</w:t>
      </w:r>
    </w:p>
    <w:p>
      <w:r>
        <w:rPr>
          <w:color w:val="1B7F3B"/>
        </w:rPr>
        <w:t>I assert that I am not using protected health information (PHI), am not collecting, transmitting, or storing health data internationally, and do not have an appointment in the University of Minnesota Health Care Component. HIPAA does not apply to this study.</w:t>
      </w:r>
    </w:p>
    <w:p>
      <w:pPr>
        <w:pStyle w:val="Heading1"/>
      </w:pPr>
      <w:r>
        <w:t>28.0  Health Science Technology (HST) HIPAA Compliant Devices and Data Storage</w:t>
      </w:r>
    </w:p>
    <w:p>
      <w:r>
        <w:rPr>
          <w:color w:val="1B7F3B"/>
        </w:rPr>
        <w:t>N/A — no PHI is accessed, stored, analyzed, or transferred. De-identified study data are stored on University-secured storage (for example, a UMN Google Drive) accessible only to the study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