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Your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Jenkinsfile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is mostly correct, but there are a few improvements and best practices that can be applied to make it more secure, efficient, and maintainable. Below is an updated version of your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Jenkinsfile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with explanations for the changes.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9525" cy="9525"/>
            <wp:effectExtent b="0" l="0" r="0" t="0"/>
            <wp:docPr descr="Shape" id="3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Updated Jenkinsfile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groovy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pipeline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  <w:t xml:space="preserve">agent any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  <w:t xml:space="preserve">environment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  <w:t xml:space="preserve">DOCKER_HUB_CREDENTIALS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credentials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'docker-hub-token'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Reference the credential ID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  <w:t xml:space="preserve">KUBECONFIG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credentials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'kubeconfig'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Reference the kubeconfig credential ID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  <w:t xml:space="preserve">stages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Stage 1: Checkout Code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stage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'Checkout'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steps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git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  <w:t xml:space="preserve">url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'https://github.com/Mahananda-Kawale/node-js-sample.git'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  <w:t xml:space="preserve">branch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'Mahananda-Kawale-patch-1'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Stage 2: Build and Push Docker Image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stage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'Build and Push Docker Image'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steps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  <w:t xml:space="preserve">script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Use environment variables for credentials (SECURE)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dockerRegistry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"https://index.docker.io/v1/"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dockerUsername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"srikantb1"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dockerImageName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"node-js-sample"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dockerImageTag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"1.0"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Log in to Docker registry using credentials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withCredentials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([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usernamePassword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credentialsId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'docker-hub-token'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usernameVariable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'DOCKER_USERNAME'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passwordVariable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'DOCKER_PASSWORD'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)])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    </w:t>
        <w:tab/>
        <w:t xml:space="preserve">sh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"echo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DOCKER_PASSWORD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 | docker login -u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DOCKER_USERNAME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 --password-stdin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dockerRegistry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Build Docker image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  <w:t xml:space="preserve">sh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"docker build -t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dockerUsername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dockerImageName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dockerImageTag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 ."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Push Docker image to the registry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    </w:t>
        <w:tab/>
        <w:t xml:space="preserve">sh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"docker push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dockerUsername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dockerImageName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dockerImageTag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Stage 3: Deploy to Kubernetes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stage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'Deploy to Kubernetes'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steps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Apply Kubernetes manifests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  <w:t xml:space="preserve">sh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'kubectl apply -f k8s/deployment.yaml'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sh 'kubectl apply -f k8s/network-policy.yaml'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sh 'kubectl apply -f k8s/persistent-volume.yaml'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Stage 4: Clean Workspace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stage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'Clean Workspace'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steps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cleanWs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Safely clean the workspace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636f88"/>
          <w:sz w:val="20"/>
          <w:szCs w:val="20"/>
          <w:rtl w:val="0"/>
        </w:rPr>
        <w:t xml:space="preserve">// Post-build actions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  <w:t xml:space="preserve">post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  <w:t xml:space="preserve">success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echo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'Pipeline completed successfully!'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  <w:t xml:space="preserve">failure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  <w:tab/>
        <w:t xml:space="preserve">echo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'Pipeline failed!'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2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Key Changes and Improvements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Secure Handling of Credentials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Removed hardcoded credentials (e.g.,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dockerPassword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Used Jenkins'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withCredentials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block to securely inject Docker Hub credentials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docker-hub-token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Platform-Agnostic Commands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Replaced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bat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(Windows-specific) with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sh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(Unix/Linux-specific) for better compatibility. If you're running Jenkins on Windows, you can switch back to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bat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Environment Variables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Used environment variables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DOCKER_HUB_CREDENTIALS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and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KUBECONFIG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to manage sensitive data securely. 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Comments and Readability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Added comments to explain each stage and step for better maintainability. 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Kubernetes Deployment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Added comments for applying additional Kubernetes manifests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network-policy.yaml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and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persistent-volume.yaml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Uncomment these lines if needed. 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Post-Build Actions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post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block to log success or failure messages. 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How It Works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Checkout Stage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Clones the Git repository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node-js-sample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from the specified branch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Mahananda-Kawale-patch-1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Build and Push Docker Image Stage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in to Docker Hub using credentials stored in Jenkins. </w:t>
      </w:r>
    </w:p>
    <w:p w:rsidR="00000000" w:rsidDel="00000000" w:rsidP="00000000" w:rsidRDefault="00000000" w:rsidRPr="00000000" w14:paraId="00000062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Builds the Docker image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node-js-sample:1.0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Pushes the Docker image to Docker Hub. </w:t>
      </w:r>
    </w:p>
    <w:p w:rsidR="00000000" w:rsidDel="00000000" w:rsidP="00000000" w:rsidRDefault="00000000" w:rsidRPr="00000000" w14:paraId="00000064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Deploy to Kubernetes Stage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Applies the Kubernetes deployment manifest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deployment.yaml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(Optional) Applies network policy and persistent volume manifests if uncommented. </w:t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Clean Workspace Stage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Cleans the Jenkins workspace to free up disk space. 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Post-Build Actions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a success or failure message based on the pipeline's outcome. 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Prerequisites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Jenkins Plugins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the following plugins are installed: 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Docker Pipeline 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Kubernetes CLI 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Credentials Binding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Credentials in Jenkins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 the following credentials in Jenkins: 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docker-hub-token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username/password credential for Docker Hub.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kubeconfig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file credential containing the Kubernetes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kubeconfig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file. </w:t>
      </w:r>
    </w:p>
    <w:p w:rsidR="00000000" w:rsidDel="00000000" w:rsidP="00000000" w:rsidRDefault="00000000" w:rsidRPr="00000000" w14:paraId="00000076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Kubernetes Manifests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the following files exist in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k8s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directory: </w:t>
      </w:r>
    </w:p>
    <w:p w:rsidR="00000000" w:rsidDel="00000000" w:rsidP="00000000" w:rsidRDefault="00000000" w:rsidRPr="00000000" w14:paraId="00000078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deployment.yaml 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network-policy.yaml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(optional) </w:t>
      </w:r>
    </w:p>
    <w:p w:rsidR="00000000" w:rsidDel="00000000" w:rsidP="00000000" w:rsidRDefault="00000000" w:rsidRPr="00000000" w14:paraId="0000007A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persistent-volume.yaml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(optional) 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Example Kubernetes 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deployment.yaml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Here’s an example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deployment.yaml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for reference: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yaml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apiVersion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apps/v1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kind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Deployment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sample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spec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replicas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2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selector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matchLabels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template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labels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spec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containers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sample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image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srikantb1/node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sample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1.0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ports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containerPort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---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apiVersion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v1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kind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Service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metadata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service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spec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NodePort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ports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targetPort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b48ead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nodePort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30007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selector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js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1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Running the Pipeline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Save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Jenkinsfile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in the root of your repository. 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a new pipeline job in Jenkins and point it to this repository.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 the pipeline and monitor the logs for success or failure. 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This 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Jenkinsfile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is secure, efficient, and adheres to best practices for CI/CD pipelines. Let me know if you need further assistance!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