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1F4E79"/>
          <w:sz w:val="50"/>
        </w:rPr>
        <w:t>RLLOT Production Rollout Dashboard</w:t>
      </w:r>
    </w:p>
    <w:p>
      <w:pPr>
        <w:jc w:val="center"/>
      </w:pPr>
      <w:r>
        <w:rPr>
          <w:b/>
          <w:color w:val="2F5496"/>
          <w:sz w:val="40"/>
        </w:rPr>
        <w:t>Modernization Approach</w:t>
      </w:r>
    </w:p>
    <w:p>
      <w:pPr>
        <w:spacing w:before="360"/>
        <w:jc w:val="center"/>
      </w:pPr>
      <w:r>
        <w:rPr>
          <w:sz w:val="23"/>
        </w:rPr>
        <w:t>Architecture, Migration Strategy, Zero-Cost Baseline and SDD / GitHub Spec Kit Adoption</w:t>
      </w:r>
    </w:p>
    <w:p>
      <w:pPr>
        <w:spacing w:before="240"/>
        <w:jc w:val="center"/>
      </w:pPr>
      <w:r>
        <w:rPr>
          <w:color w:val="646464"/>
          <w:sz w:val="18"/>
        </w:rPr>
        <w:t>Version 1.0 | August 2026</w:t>
      </w:r>
    </w:p>
    <w:p/>
    <w:tbl>
      <w:tblPr>
        <w:tblStyle w:val="TableGrid"/>
        <w:tblW w:type="auto" w:w="0"/>
        <w:tblLook w:firstColumn="1" w:firstRow="1" w:lastColumn="0" w:lastRow="0" w:noHBand="0" w:noVBand="1" w:val="04A0"/>
      </w:tblPr>
      <w:tblGrid>
        <w:gridCol w:w="10166"/>
      </w:tblGrid>
      <w:tr>
        <w:tc>
          <w:tcPr>
            <w:tcW w:type="dxa" w:w="10166"/>
            <w:shd w:fill="E2F0D9"/>
            <w:tcMar>
              <w:top w:w="120" w:type="dxa"/>
              <w:start w:w="140" w:type="dxa"/>
              <w:bottom w:w="120" w:type="dxa"/>
              <w:end w:w="140" w:type="dxa"/>
            </w:tcMar>
          </w:tcPr>
          <w:p>
            <w:r>
              <w:rPr>
                <w:b/>
                <w:color w:val="1F4E79"/>
                <w:sz w:val="22"/>
              </w:rPr>
              <w:t>Core modernization decision</w:t>
              <w:br/>
            </w:r>
            <w:r>
              <w:rPr>
                <w:sz w:val="20"/>
              </w:rPr>
              <w:t>The existing RLLOT dashboard will be used as a reference for approved business behavior, calculations and user experience. The generated static HTML architecture, embedded full-data model and client-side-only filtering model will not be carried forward. The target is a clean, dynamic application that retrieves only the data required by each request and enforces access rules on the server.</w:t>
            </w:r>
          </w:p>
        </w:tc>
      </w:tr>
    </w:tbl>
    <w:p/>
    <w:p>
      <w:r>
        <w:br w:type="page"/>
      </w:r>
    </w:p>
    <w:p>
      <w:pPr>
        <w:pStyle w:val="Heading1"/>
      </w:pPr>
      <w:r>
        <w:t>1. Executive Summary</w:t>
      </w:r>
    </w:p>
    <w:p>
      <w:r>
        <w:t>The current RLLOT solution successfully provides rollout visibility, but its architecture is optimized for a small, static reporting use case. Excel files are processed into a consolidated JSON artifact and then converted into one self-contained HTML file. As history, team details, metrics and access requirements increase, this model becomes difficult to scale, secure and operate.</w:t>
      </w:r>
    </w:p>
    <w:p>
      <w:r>
        <w:t>The recommended direction is a greenfield modernization. The existing solution remains the functional reference for business rules and expected behavior, while the new application is designed independently around dynamic server-side data access.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D9EAF7"/>
            <w:tcMar>
              <w:top w:w="80" w:type="dxa"/>
              <w:start w:w="90" w:type="dxa"/>
              <w:bottom w:w="80" w:type="dxa"/>
              <w:end w:w="90" w:type="dxa"/>
            </w:tcMar>
          </w:tcPr>
          <w:p>
            <w:pPr>
              <w:jc w:val="center"/>
            </w:pPr>
            <w:r>
              <w:rPr>
                <w:b/>
                <w:color w:val="1F4E79"/>
                <w:sz w:val="18"/>
              </w:rPr>
              <w:t>Area</w:t>
            </w:r>
          </w:p>
        </w:tc>
        <w:tc>
          <w:tcPr>
            <w:tcW w:type="dxa" w:w="7200"/>
            <w:shd w:fill="D9EAF7"/>
            <w:tcMar>
              <w:top w:w="80" w:type="dxa"/>
              <w:start w:w="90" w:type="dxa"/>
              <w:bottom w:w="80" w:type="dxa"/>
              <w:end w:w="90" w:type="dxa"/>
            </w:tcMar>
          </w:tcPr>
          <w:p>
            <w:pPr>
              <w:jc w:val="center"/>
            </w:pPr>
            <w:r>
              <w:rPr>
                <w:b/>
                <w:color w:val="1F4E79"/>
                <w:sz w:val="18"/>
              </w:rPr>
              <w:t>Recommended Direction</w:t>
            </w:r>
          </w:p>
        </w:tc>
      </w:tr>
      <w:tr>
        <w:tc>
          <w:tcPr>
            <w:tcW w:type="dxa" w:w="2880"/>
            <w:tcMar>
              <w:top w:w="80" w:type="dxa"/>
              <w:start w:w="90" w:type="dxa"/>
              <w:bottom w:w="80" w:type="dxa"/>
              <w:end w:w="90" w:type="dxa"/>
            </w:tcMar>
            <w:vAlign w:val="top"/>
          </w:tcPr>
          <w:p>
            <w:r>
              <w:rPr>
                <w:sz w:val="18"/>
              </w:rPr>
              <w:t>Modernization model</w:t>
            </w:r>
          </w:p>
        </w:tc>
        <w:tc>
          <w:tcPr>
            <w:tcW w:type="dxa" w:w="7200"/>
            <w:tcMar>
              <w:top w:w="80" w:type="dxa"/>
              <w:start w:w="90" w:type="dxa"/>
              <w:bottom w:w="80" w:type="dxa"/>
              <w:end w:w="90" w:type="dxa"/>
            </w:tcMar>
            <w:vAlign w:val="top"/>
          </w:tcPr>
          <w:p>
            <w:r>
              <w:rPr>
                <w:sz w:val="18"/>
              </w:rPr>
              <w:t>Greenfield rebuild using the current dashboard as the functional and business-rule reference.</w:t>
            </w:r>
          </w:p>
        </w:tc>
      </w:tr>
      <w:tr>
        <w:tc>
          <w:tcPr>
            <w:tcW w:type="dxa" w:w="2880"/>
            <w:tcMar>
              <w:top w:w="80" w:type="dxa"/>
              <w:start w:w="90" w:type="dxa"/>
              <w:bottom w:w="80" w:type="dxa"/>
              <w:end w:w="90" w:type="dxa"/>
            </w:tcMar>
            <w:vAlign w:val="top"/>
          </w:tcPr>
          <w:p>
            <w:r>
              <w:rPr>
                <w:sz w:val="18"/>
              </w:rPr>
              <w:t>Hosting</w:t>
            </w:r>
          </w:p>
        </w:tc>
        <w:tc>
          <w:tcPr>
            <w:tcW w:type="dxa" w:w="7200"/>
            <w:tcMar>
              <w:top w:w="80" w:type="dxa"/>
              <w:start w:w="90" w:type="dxa"/>
              <w:bottom w:w="80" w:type="dxa"/>
              <w:end w:w="90" w:type="dxa"/>
            </w:tcMar>
            <w:vAlign w:val="top"/>
          </w:tcPr>
          <w:p>
            <w:r>
              <w:rPr>
                <w:sz w:val="18"/>
              </w:rPr>
              <w:t>Reuse the existing internal Windows/IIS environment, subject to infrastructure validation.</w:t>
            </w:r>
          </w:p>
        </w:tc>
      </w:tr>
      <w:tr>
        <w:tc>
          <w:tcPr>
            <w:tcW w:type="dxa" w:w="2880"/>
            <w:tcMar>
              <w:top w:w="80" w:type="dxa"/>
              <w:start w:w="90" w:type="dxa"/>
              <w:bottom w:w="80" w:type="dxa"/>
              <w:end w:w="90" w:type="dxa"/>
            </w:tcMar>
            <w:vAlign w:val="top"/>
          </w:tcPr>
          <w:p>
            <w:r>
              <w:rPr>
                <w:sz w:val="18"/>
              </w:rPr>
              <w:t>User interface</w:t>
            </w:r>
          </w:p>
        </w:tc>
        <w:tc>
          <w:tcPr>
            <w:tcW w:type="dxa" w:w="7200"/>
            <w:tcMar>
              <w:top w:w="80" w:type="dxa"/>
              <w:start w:w="90" w:type="dxa"/>
              <w:bottom w:w="80" w:type="dxa"/>
              <w:end w:w="90" w:type="dxa"/>
            </w:tcMar>
            <w:vAlign w:val="top"/>
          </w:tcPr>
          <w:p>
            <w:r>
              <w:rPr>
                <w:sz w:val="18"/>
              </w:rPr>
              <w:t>Modern React dashboard preserving the useful current interaction patterns.</w:t>
            </w:r>
          </w:p>
        </w:tc>
      </w:tr>
      <w:tr>
        <w:tc>
          <w:tcPr>
            <w:tcW w:type="dxa" w:w="2880"/>
            <w:tcMar>
              <w:top w:w="80" w:type="dxa"/>
              <w:start w:w="90" w:type="dxa"/>
              <w:bottom w:w="80" w:type="dxa"/>
              <w:end w:w="90" w:type="dxa"/>
            </w:tcMar>
            <w:vAlign w:val="top"/>
          </w:tcPr>
          <w:p>
            <w:r>
              <w:rPr>
                <w:sz w:val="18"/>
              </w:rPr>
              <w:t>Application layer</w:t>
            </w:r>
          </w:p>
        </w:tc>
        <w:tc>
          <w:tcPr>
            <w:tcW w:type="dxa" w:w="7200"/>
            <w:tcMar>
              <w:top w:w="80" w:type="dxa"/>
              <w:start w:w="90" w:type="dxa"/>
              <w:bottom w:w="80" w:type="dxa"/>
              <w:end w:w="90" w:type="dxa"/>
            </w:tcMar>
            <w:vAlign w:val="top"/>
          </w:tcPr>
          <w:p>
            <w:r>
              <w:rPr>
                <w:sz w:val="18"/>
              </w:rPr>
              <w:t>ASP.NET Core server-side application/API hosted through IIS.</w:t>
            </w:r>
          </w:p>
        </w:tc>
      </w:tr>
      <w:tr>
        <w:tc>
          <w:tcPr>
            <w:tcW w:type="dxa" w:w="2880"/>
            <w:tcMar>
              <w:top w:w="80" w:type="dxa"/>
              <w:start w:w="90" w:type="dxa"/>
              <w:bottom w:w="80" w:type="dxa"/>
              <w:end w:w="90" w:type="dxa"/>
            </w:tcMar>
            <w:vAlign w:val="top"/>
          </w:tcPr>
          <w:p>
            <w:r>
              <w:rPr>
                <w:sz w:val="18"/>
              </w:rPr>
              <w:t>Persistence</w:t>
            </w:r>
          </w:p>
        </w:tc>
        <w:tc>
          <w:tcPr>
            <w:tcW w:type="dxa" w:w="7200"/>
            <w:tcMar>
              <w:top w:w="80" w:type="dxa"/>
              <w:start w:w="90" w:type="dxa"/>
              <w:bottom w:w="80" w:type="dxa"/>
              <w:end w:w="90" w:type="dxa"/>
            </w:tcMar>
            <w:vAlign w:val="top"/>
          </w:tcPr>
          <w:p>
            <w:r>
              <w:rPr>
                <w:sz w:val="18"/>
              </w:rPr>
              <w:t>SQLite as the zero-additional-infrastructure baseline; use an existing enterprise SQL Server instead if already available at no incremental cost or required by policy.</w:t>
            </w:r>
          </w:p>
        </w:tc>
      </w:tr>
      <w:tr>
        <w:tc>
          <w:tcPr>
            <w:tcW w:type="dxa" w:w="2880"/>
            <w:tcMar>
              <w:top w:w="80" w:type="dxa"/>
              <w:start w:w="90" w:type="dxa"/>
              <w:bottom w:w="80" w:type="dxa"/>
              <w:end w:w="90" w:type="dxa"/>
            </w:tcMar>
            <w:vAlign w:val="top"/>
          </w:tcPr>
          <w:p>
            <w:r>
              <w:rPr>
                <w:sz w:val="18"/>
              </w:rPr>
              <w:t>Data ingestion</w:t>
            </w:r>
          </w:p>
        </w:tc>
        <w:tc>
          <w:tcPr>
            <w:tcW w:type="dxa" w:w="7200"/>
            <w:tcMar>
              <w:top w:w="80" w:type="dxa"/>
              <w:start w:w="90" w:type="dxa"/>
              <w:bottom w:w="80" w:type="dxa"/>
              <w:end w:w="90" w:type="dxa"/>
            </w:tcMar>
            <w:vAlign w:val="top"/>
          </w:tcPr>
          <w:p>
            <w:r>
              <w:rPr>
                <w:sz w:val="18"/>
              </w:rPr>
              <w:t>Dedicated ingestion component that reads Excel, validates, normalizes and persists structured data.</w:t>
            </w:r>
          </w:p>
        </w:tc>
      </w:tr>
      <w:tr>
        <w:tc>
          <w:tcPr>
            <w:tcW w:type="dxa" w:w="2880"/>
            <w:tcMar>
              <w:top w:w="80" w:type="dxa"/>
              <w:start w:w="90" w:type="dxa"/>
              <w:bottom w:w="80" w:type="dxa"/>
              <w:end w:w="90" w:type="dxa"/>
            </w:tcMar>
            <w:vAlign w:val="top"/>
          </w:tcPr>
          <w:p>
            <w:r>
              <w:rPr>
                <w:sz w:val="18"/>
              </w:rPr>
              <w:t>SharePoint</w:t>
            </w:r>
          </w:p>
        </w:tc>
        <w:tc>
          <w:tcPr>
            <w:tcW w:type="dxa" w:w="7200"/>
            <w:tcMar>
              <w:top w:w="80" w:type="dxa"/>
              <w:start w:w="90" w:type="dxa"/>
              <w:bottom w:w="80" w:type="dxa"/>
              <w:end w:w="90" w:type="dxa"/>
            </w:tcMar>
            <w:vAlign w:val="top"/>
          </w:tcPr>
          <w:p>
            <w:r>
              <w:rPr>
                <w:sz w:val="18"/>
              </w:rPr>
              <w:t>Manual/controlled file handoff for MVP; automate retrieval later after identity and permission feasibility is confirmed.</w:t>
            </w:r>
          </w:p>
        </w:tc>
      </w:tr>
      <w:tr>
        <w:tc>
          <w:tcPr>
            <w:tcW w:type="dxa" w:w="2880"/>
            <w:tcMar>
              <w:top w:w="80" w:type="dxa"/>
              <w:start w:w="90" w:type="dxa"/>
              <w:bottom w:w="80" w:type="dxa"/>
              <w:end w:w="90" w:type="dxa"/>
            </w:tcMar>
            <w:vAlign w:val="top"/>
          </w:tcPr>
          <w:p>
            <w:r>
              <w:rPr>
                <w:sz w:val="18"/>
              </w:rPr>
              <w:t>Security</w:t>
            </w:r>
          </w:p>
        </w:tc>
        <w:tc>
          <w:tcPr>
            <w:tcW w:type="dxa" w:w="7200"/>
            <w:tcMar>
              <w:top w:w="80" w:type="dxa"/>
              <w:start w:w="90" w:type="dxa"/>
              <w:bottom w:w="80" w:type="dxa"/>
              <w:end w:w="90" w:type="dxa"/>
            </w:tcMar>
            <w:vAlign w:val="top"/>
          </w:tcPr>
          <w:p>
            <w:r>
              <w:rPr>
                <w:sz w:val="18"/>
              </w:rPr>
              <w:t>Windows Authentication/AD where approved, with server-side authorization and data filtering.</w:t>
            </w:r>
          </w:p>
        </w:tc>
      </w:tr>
      <w:tr>
        <w:tc>
          <w:tcPr>
            <w:tcW w:type="dxa" w:w="2880"/>
            <w:tcMar>
              <w:top w:w="80" w:type="dxa"/>
              <w:start w:w="90" w:type="dxa"/>
              <w:bottom w:w="80" w:type="dxa"/>
              <w:end w:w="90" w:type="dxa"/>
            </w:tcMar>
            <w:vAlign w:val="top"/>
          </w:tcPr>
          <w:p>
            <w:r>
              <w:rPr>
                <w:sz w:val="18"/>
              </w:rPr>
              <w:t>SDD</w:t>
            </w:r>
          </w:p>
        </w:tc>
        <w:tc>
          <w:tcPr>
            <w:tcW w:type="dxa" w:w="7200"/>
            <w:tcMar>
              <w:top w:w="80" w:type="dxa"/>
              <w:start w:w="90" w:type="dxa"/>
              <w:bottom w:w="80" w:type="dxa"/>
              <w:end w:w="90" w:type="dxa"/>
            </w:tcMar>
            <w:vAlign w:val="top"/>
          </w:tcPr>
          <w:p>
            <w:r>
              <w:rPr>
                <w:sz w:val="18"/>
              </w:rPr>
              <w:t>Begin Spec Kit only after current-state baseline, infrastructure validation and architecture decisions are established.</w:t>
            </w:r>
          </w:p>
        </w:tc>
      </w:tr>
    </w:tbl>
    <w:p/>
    <w:p>
      <w:pPr>
        <w:pStyle w:val="Heading1"/>
      </w:pPr>
      <w:r>
        <w:t>2. Current-State Baseline</w:t>
      </w:r>
    </w:p>
    <w:p>
      <w:r>
        <w:t>The current RLLOT dashboard processes multiple per-DR Excel workbooks, reads six initiative sheets, normalizes rollout status/date/metric data, writes rllot_data.json, and generates a fully self-contained RLLOT_Dashboard.html file. The final HTML contains the complete dataset and performs filtering in client-side JavaScript.</w:t>
      </w:r>
    </w:p>
    <w:p>
      <w:r>
        <w:t>Current flow:</w:t>
      </w:r>
    </w:p>
    <w:p>
      <w:pPr>
        <w:pStyle w:val="CodeFlow"/>
      </w:pPr>
      <w:r>
        <w:t>SharePoint / Excel trackers</w:t>
      </w:r>
    </w:p>
    <w:p>
      <w:pPr>
        <w:pStyle w:val="CodeFlow"/>
      </w:pPr>
      <w:r>
        <w:t xml:space="preserve">        |</w:t>
      </w:r>
    </w:p>
    <w:p>
      <w:pPr>
        <w:pStyle w:val="CodeFlow"/>
      </w:pPr>
      <w:r>
        <w:t xml:space="preserve">        v</w:t>
      </w:r>
    </w:p>
    <w:p>
      <w:pPr>
        <w:pStyle w:val="CodeFlow"/>
      </w:pPr>
      <w:r>
        <w:t>Manual download / input folder</w:t>
      </w:r>
    </w:p>
    <w:p>
      <w:pPr>
        <w:pStyle w:val="CodeFlow"/>
      </w:pPr>
      <w:r>
        <w:t xml:space="preserve">        |</w:t>
      </w:r>
    </w:p>
    <w:p>
      <w:pPr>
        <w:pStyle w:val="CodeFlow"/>
      </w:pPr>
      <w:r>
        <w:t xml:space="preserve">        v</w:t>
      </w:r>
    </w:p>
    <w:p>
      <w:pPr>
        <w:pStyle w:val="CodeFlow"/>
      </w:pPr>
      <w:r>
        <w:t>extract_data.py</w:t>
      </w:r>
    </w:p>
    <w:p>
      <w:pPr>
        <w:pStyle w:val="CodeFlow"/>
      </w:pPr>
      <w:r>
        <w:t xml:space="preserve">        |</w:t>
      </w:r>
    </w:p>
    <w:p>
      <w:pPr>
        <w:pStyle w:val="CodeFlow"/>
      </w:pPr>
      <w:r>
        <w:t xml:space="preserve">        v</w:t>
      </w:r>
    </w:p>
    <w:p>
      <w:pPr>
        <w:pStyle w:val="CodeFlow"/>
      </w:pPr>
      <w:r>
        <w:t>rllot_data.json</w:t>
      </w:r>
    </w:p>
    <w:p>
      <w:pPr>
        <w:pStyle w:val="CodeFlow"/>
      </w:pPr>
      <w:r>
        <w:t xml:space="preserve">        |</w:t>
      </w:r>
    </w:p>
    <w:p>
      <w:pPr>
        <w:pStyle w:val="CodeFlow"/>
      </w:pPr>
      <w:r>
        <w:t xml:space="preserve">        v</w:t>
      </w:r>
    </w:p>
    <w:p>
      <w:pPr>
        <w:pStyle w:val="CodeFlow"/>
      </w:pPr>
      <w:r>
        <w:t>build_rllot_dashboard.py</w:t>
      </w:r>
    </w:p>
    <w:p>
      <w:pPr>
        <w:pStyle w:val="CodeFlow"/>
      </w:pPr>
      <w:r>
        <w:t xml:space="preserve">        |</w:t>
      </w:r>
    </w:p>
    <w:p>
      <w:pPr>
        <w:pStyle w:val="CodeFlow"/>
      </w:pPr>
      <w:r>
        <w:t xml:space="preserve">        v</w:t>
      </w:r>
    </w:p>
    <w:p>
      <w:pPr>
        <w:pStyle w:val="CodeFlow"/>
      </w:pPr>
      <w:r>
        <w:t>RLLOT_Dashboard.html</w:t>
      </w:r>
    </w:p>
    <w:p>
      <w:pPr>
        <w:pStyle w:val="CodeFlow"/>
      </w:pPr>
      <w:r>
        <w:t xml:space="preserve">        |</w:t>
      </w:r>
    </w:p>
    <w:p>
      <w:pPr>
        <w:pStyle w:val="CodeFlow"/>
      </w:pPr>
      <w:r>
        <w:t xml:space="preserve">        v</w:t>
      </w:r>
    </w:p>
    <w:p>
      <w:pPr>
        <w:pStyle w:val="CodeFlow"/>
      </w:pPr>
      <w:r>
        <w:t>Internal IIS / Browser</w:t>
      </w:r>
    </w:p>
    <w:p>
      <w:pPr>
        <w:pStyle w:val="Heading2"/>
      </w:pPr>
      <w:r>
        <w:t>2.1 Existing behavior to preserve</w:t>
      </w:r>
    </w:p>
    <w:p>
      <w:pPr>
        <w:pStyle w:val="ListBullet"/>
        <w:spacing w:after="40"/>
      </w:pPr>
      <w:r>
        <w:t>Overview plus six initiative views.</w:t>
      </w:r>
    </w:p>
    <w:p>
      <w:pPr>
        <w:pStyle w:val="ListBullet"/>
        <w:spacing w:after="40"/>
      </w:pPr>
      <w:r>
        <w:t>Phase 1, Phase 2 and Phase 3 status handling.</w:t>
      </w:r>
    </w:p>
    <w:p>
      <w:pPr>
        <w:pStyle w:val="ListBullet"/>
        <w:spacing w:after="40"/>
      </w:pPr>
      <w:r>
        <w:t>Overall completion calculations.</w:t>
      </w:r>
    </w:p>
    <w:p>
      <w:pPr>
        <w:pStyle w:val="ListBullet"/>
        <w:spacing w:after="40"/>
      </w:pPr>
      <w:r>
        <w:t>Customer approval normalization.</w:t>
      </w:r>
    </w:p>
    <w:p>
      <w:pPr>
        <w:pStyle w:val="ListBullet"/>
        <w:spacing w:after="40"/>
      </w:pPr>
      <w:r>
        <w:t>Overdue determination from status and ETA.</w:t>
      </w:r>
    </w:p>
    <w:p>
      <w:pPr>
        <w:pStyle w:val="ListBullet"/>
        <w:spacing w:after="40"/>
      </w:pPr>
      <w:r>
        <w:t>Productivity, Quality and Coverage metric handling.</w:t>
      </w:r>
    </w:p>
    <w:p>
      <w:pPr>
        <w:pStyle w:val="ListBullet"/>
        <w:spacing w:after="40"/>
      </w:pPr>
      <w:r>
        <w:t>Search and status filters.</w:t>
      </w:r>
    </w:p>
    <w:p>
      <w:pPr>
        <w:pStyle w:val="ListBullet"/>
        <w:spacing w:after="40"/>
      </w:pPr>
      <w:r>
        <w:t>Team-level detail view and metrics explanation/remarks.</w:t>
      </w:r>
    </w:p>
    <w:p>
      <w:pPr>
        <w:pStyle w:val="ListBullet"/>
        <w:spacing w:after="40"/>
      </w:pPr>
      <w:r>
        <w:t>Known status normalization and formatting rules.</w:t>
      </w:r>
    </w:p>
    <w:p>
      <w:pPr>
        <w:pStyle w:val="ListBullet"/>
        <w:spacing w:after="40"/>
      </w:pPr>
      <w:r>
        <w:t>Existing workbook mappings and source conventions.</w:t>
      </w:r>
    </w:p>
    <w:p>
      <w:pPr>
        <w:pStyle w:val="Heading2"/>
      </w:pPr>
      <w:r>
        <w:t>2.2 Existing technical design not to preserve</w:t>
      </w:r>
    </w:p>
    <w:p>
      <w:pPr>
        <w:pStyle w:val="ListBullet"/>
        <w:spacing w:after="40"/>
      </w:pPr>
      <w:r>
        <w:t>Generation of one monolithic self-contained HTML file.</w:t>
      </w:r>
    </w:p>
    <w:p>
      <w:pPr>
        <w:pStyle w:val="ListBullet"/>
        <w:spacing w:after="40"/>
      </w:pPr>
      <w:r>
        <w:t>Embedding the complete dataset in the page/DOM.</w:t>
      </w:r>
    </w:p>
    <w:p>
      <w:pPr>
        <w:pStyle w:val="ListBullet"/>
        <w:spacing w:after="40"/>
      </w:pPr>
      <w:r>
        <w:t>Using client-side filtering as the primary data-access model.</w:t>
      </w:r>
    </w:p>
    <w:p>
      <w:pPr>
        <w:pStyle w:val="ListBullet"/>
        <w:spacing w:after="40"/>
      </w:pPr>
      <w:r>
        <w:t>Using rllot_data.json as the application's persistence layer.</w:t>
      </w:r>
    </w:p>
    <w:p>
      <w:pPr>
        <w:pStyle w:val="ListBullet"/>
        <w:spacing w:after="40"/>
      </w:pPr>
      <w:r>
        <w:t>Tying dashboard refresh to regeneration and redeployment of the complete HTML output.</w:t>
      </w:r>
    </w:p>
    <w:p>
      <w:pPr>
        <w:pStyle w:val="ListBullet"/>
        <w:spacing w:after="40"/>
      </w:pPr>
      <w:r>
        <w:t>Treating the existing presentation-generation script as the foundation of the new application.</w:t>
      </w:r>
    </w:p>
    <w:tbl>
      <w:tblPr>
        <w:tblStyle w:val="TableGrid"/>
        <w:tblW w:type="auto" w:w="0"/>
        <w:tblLook w:firstColumn="1" w:firstRow="1" w:lastColumn="0" w:lastRow="0" w:noHBand="0" w:noVBand="1" w:val="04A0"/>
      </w:tblPr>
      <w:tblGrid>
        <w:gridCol w:w="10166"/>
      </w:tblGrid>
      <w:tr>
        <w:tc>
          <w:tcPr>
            <w:tcW w:type="dxa" w:w="10166"/>
            <w:shd w:fill="FFF2CC"/>
            <w:tcMar>
              <w:top w:w="120" w:type="dxa"/>
              <w:start w:w="140" w:type="dxa"/>
              <w:bottom w:w="120" w:type="dxa"/>
              <w:end w:w="140" w:type="dxa"/>
            </w:tcMar>
          </w:tcPr>
          <w:p>
            <w:r>
              <w:rPr>
                <w:b/>
                <w:color w:val="1F4E79"/>
                <w:sz w:val="22"/>
              </w:rPr>
              <w:t>Documentation boundary</w:t>
              <w:br/>
            </w:r>
            <w:r>
              <w:rPr>
                <w:sz w:val="20"/>
              </w:rPr>
              <w:t>The available RLLOT baseline has an uncaptured Section 14 and partially uncaptured material in Sections 15 and 16. Those missing details must be recovered or confirmed during discovery; they should not be assumed.</w:t>
            </w:r>
          </w:p>
        </w:tc>
      </w:tr>
    </w:tbl>
    <w:p/>
    <w:p>
      <w:pPr>
        <w:pStyle w:val="Heading1"/>
      </w:pPr>
      <w:r>
        <w:t>3. Modernization Objectives and Constraints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152"/>
            <w:shd w:fill="D9EAF7"/>
            <w:tcMar>
              <w:top w:w="80" w:type="dxa"/>
              <w:start w:w="90" w:type="dxa"/>
              <w:bottom w:w="80" w:type="dxa"/>
              <w:end w:w="90" w:type="dxa"/>
            </w:tcMar>
          </w:tcPr>
          <w:p>
            <w:pPr>
              <w:jc w:val="center"/>
            </w:pPr>
            <w:r>
              <w:rPr>
                <w:b/>
                <w:color w:val="1F4E79"/>
                <w:sz w:val="18"/>
              </w:rPr>
              <w:t>Priority</w:t>
            </w:r>
          </w:p>
        </w:tc>
        <w:tc>
          <w:tcPr>
            <w:tcW w:type="dxa" w:w="8928"/>
            <w:shd w:fill="D9EAF7"/>
            <w:tcMar>
              <w:top w:w="80" w:type="dxa"/>
              <w:start w:w="90" w:type="dxa"/>
              <w:bottom w:w="80" w:type="dxa"/>
              <w:end w:w="90" w:type="dxa"/>
            </w:tcMar>
          </w:tcPr>
          <w:p>
            <w:pPr>
              <w:jc w:val="center"/>
            </w:pPr>
            <w:r>
              <w:rPr>
                <w:b/>
                <w:color w:val="1F4E79"/>
                <w:sz w:val="18"/>
              </w:rPr>
              <w:t>Objective</w:t>
            </w:r>
          </w:p>
        </w:tc>
      </w:tr>
      <w:tr>
        <w:tc>
          <w:tcPr>
            <w:tcW w:type="dxa" w:w="1152"/>
            <w:tcMar>
              <w:top w:w="80" w:type="dxa"/>
              <w:start w:w="90" w:type="dxa"/>
              <w:bottom w:w="80" w:type="dxa"/>
              <w:end w:w="90" w:type="dxa"/>
            </w:tcMar>
            <w:vAlign w:val="top"/>
          </w:tcPr>
          <w:p>
            <w:r>
              <w:rPr>
                <w:sz w:val="18"/>
              </w:rPr>
              <w:t>P0</w:t>
            </w:r>
          </w:p>
        </w:tc>
        <w:tc>
          <w:tcPr>
            <w:tcW w:type="dxa" w:w="8928"/>
            <w:tcMar>
              <w:top w:w="80" w:type="dxa"/>
              <w:start w:w="90" w:type="dxa"/>
              <w:bottom w:w="80" w:type="dxa"/>
              <w:end w:w="90" w:type="dxa"/>
            </w:tcMar>
            <w:vAlign w:val="top"/>
          </w:tcPr>
          <w:p>
            <w:r>
              <w:rPr>
                <w:sz w:val="18"/>
              </w:rPr>
              <w:t>Zero additional infrastructure/service cost for the first implementation.</w:t>
            </w:r>
          </w:p>
        </w:tc>
      </w:tr>
      <w:tr>
        <w:tc>
          <w:tcPr>
            <w:tcW w:type="dxa" w:w="1152"/>
            <w:tcMar>
              <w:top w:w="80" w:type="dxa"/>
              <w:start w:w="90" w:type="dxa"/>
              <w:bottom w:w="80" w:type="dxa"/>
              <w:end w:w="90" w:type="dxa"/>
            </w:tcMar>
            <w:vAlign w:val="top"/>
          </w:tcPr>
          <w:p>
            <w:r>
              <w:rPr>
                <w:sz w:val="18"/>
              </w:rPr>
              <w:t>P0</w:t>
            </w:r>
          </w:p>
        </w:tc>
        <w:tc>
          <w:tcPr>
            <w:tcW w:type="dxa" w:w="8928"/>
            <w:tcMar>
              <w:top w:w="80" w:type="dxa"/>
              <w:start w:w="90" w:type="dxa"/>
              <w:bottom w:w="80" w:type="dxa"/>
              <w:end w:w="90" w:type="dxa"/>
            </w:tcMar>
            <w:vAlign w:val="top"/>
          </w:tcPr>
          <w:p>
            <w:r>
              <w:rPr>
                <w:sz w:val="18"/>
              </w:rPr>
              <w:t>Reuse existing internal hosting and corporate capabilities where approved.</w:t>
            </w:r>
          </w:p>
        </w:tc>
      </w:tr>
      <w:tr>
        <w:tc>
          <w:tcPr>
            <w:tcW w:type="dxa" w:w="1152"/>
            <w:tcMar>
              <w:top w:w="80" w:type="dxa"/>
              <w:start w:w="90" w:type="dxa"/>
              <w:bottom w:w="80" w:type="dxa"/>
              <w:end w:w="90" w:type="dxa"/>
            </w:tcMar>
            <w:vAlign w:val="top"/>
          </w:tcPr>
          <w:p>
            <w:r>
              <w:rPr>
                <w:sz w:val="18"/>
              </w:rPr>
              <w:t>P0</w:t>
            </w:r>
          </w:p>
        </w:tc>
        <w:tc>
          <w:tcPr>
            <w:tcW w:type="dxa" w:w="8928"/>
            <w:tcMar>
              <w:top w:w="80" w:type="dxa"/>
              <w:start w:w="90" w:type="dxa"/>
              <w:bottom w:w="80" w:type="dxa"/>
              <w:end w:w="90" w:type="dxa"/>
            </w:tcMar>
            <w:vAlign w:val="top"/>
          </w:tcPr>
          <w:p>
            <w:r>
              <w:rPr>
                <w:sz w:val="18"/>
              </w:rPr>
              <w:t>Remove the full-dataset static HTML loading model.</w:t>
            </w:r>
          </w:p>
        </w:tc>
      </w:tr>
      <w:tr>
        <w:tc>
          <w:tcPr>
            <w:tcW w:type="dxa" w:w="1152"/>
            <w:tcMar>
              <w:top w:w="80" w:type="dxa"/>
              <w:start w:w="90" w:type="dxa"/>
              <w:bottom w:w="80" w:type="dxa"/>
              <w:end w:w="90" w:type="dxa"/>
            </w:tcMar>
            <w:vAlign w:val="top"/>
          </w:tcPr>
          <w:p>
            <w:r>
              <w:rPr>
                <w:sz w:val="18"/>
              </w:rPr>
              <w:t>P0</w:t>
            </w:r>
          </w:p>
        </w:tc>
        <w:tc>
          <w:tcPr>
            <w:tcW w:type="dxa" w:w="8928"/>
            <w:tcMar>
              <w:top w:w="80" w:type="dxa"/>
              <w:start w:w="90" w:type="dxa"/>
              <w:bottom w:w="80" w:type="dxa"/>
              <w:end w:w="90" w:type="dxa"/>
            </w:tcMar>
            <w:vAlign w:val="top"/>
          </w:tcPr>
          <w:p>
            <w:r>
              <w:rPr>
                <w:sz w:val="18"/>
              </w:rPr>
              <w:t>Preserve approved business calculations and dashboard behavior.</w:t>
            </w:r>
          </w:p>
        </w:tc>
      </w:tr>
      <w:tr>
        <w:tc>
          <w:tcPr>
            <w:tcW w:type="dxa" w:w="1152"/>
            <w:tcMar>
              <w:top w:w="80" w:type="dxa"/>
              <w:start w:w="90" w:type="dxa"/>
              <w:bottom w:w="80" w:type="dxa"/>
              <w:end w:w="90" w:type="dxa"/>
            </w:tcMar>
            <w:vAlign w:val="top"/>
          </w:tcPr>
          <w:p>
            <w:r>
              <w:rPr>
                <w:sz w:val="18"/>
              </w:rPr>
              <w:t>P0</w:t>
            </w:r>
          </w:p>
        </w:tc>
        <w:tc>
          <w:tcPr>
            <w:tcW w:type="dxa" w:w="8928"/>
            <w:tcMar>
              <w:top w:w="80" w:type="dxa"/>
              <w:start w:w="90" w:type="dxa"/>
              <w:bottom w:w="80" w:type="dxa"/>
              <w:end w:w="90" w:type="dxa"/>
            </w:tcMar>
            <w:vAlign w:val="top"/>
          </w:tcPr>
          <w:p>
            <w:r>
              <w:rPr>
                <w:sz w:val="18"/>
              </w:rPr>
              <w:t>Enforce authentication/authorization on the server, not only in the UI.</w:t>
            </w:r>
          </w:p>
        </w:tc>
      </w:tr>
      <w:tr>
        <w:tc>
          <w:tcPr>
            <w:tcW w:type="dxa" w:w="1152"/>
            <w:tcMar>
              <w:top w:w="80" w:type="dxa"/>
              <w:start w:w="90" w:type="dxa"/>
              <w:bottom w:w="80" w:type="dxa"/>
              <w:end w:w="90" w:type="dxa"/>
            </w:tcMar>
            <w:vAlign w:val="top"/>
          </w:tcPr>
          <w:p>
            <w:r>
              <w:rPr>
                <w:sz w:val="18"/>
              </w:rPr>
              <w:t>P1</w:t>
            </w:r>
          </w:p>
        </w:tc>
        <w:tc>
          <w:tcPr>
            <w:tcW w:type="dxa" w:w="8928"/>
            <w:tcMar>
              <w:top w:w="80" w:type="dxa"/>
              <w:start w:w="90" w:type="dxa"/>
              <w:bottom w:w="80" w:type="dxa"/>
              <w:end w:w="90" w:type="dxa"/>
            </w:tcMar>
            <w:vAlign w:val="top"/>
          </w:tcPr>
          <w:p>
            <w:r>
              <w:rPr>
                <w:sz w:val="18"/>
              </w:rPr>
              <w:t>Reduce manual operational dependency and prepare for automated ingestion.</w:t>
            </w:r>
          </w:p>
        </w:tc>
      </w:tr>
      <w:tr>
        <w:tc>
          <w:tcPr>
            <w:tcW w:type="dxa" w:w="1152"/>
            <w:tcMar>
              <w:top w:w="80" w:type="dxa"/>
              <w:start w:w="90" w:type="dxa"/>
              <w:bottom w:w="80" w:type="dxa"/>
              <w:end w:w="90" w:type="dxa"/>
            </w:tcMar>
            <w:vAlign w:val="top"/>
          </w:tcPr>
          <w:p>
            <w:r>
              <w:rPr>
                <w:sz w:val="18"/>
              </w:rPr>
              <w:t>P1</w:t>
            </w:r>
          </w:p>
        </w:tc>
        <w:tc>
          <w:tcPr>
            <w:tcW w:type="dxa" w:w="8928"/>
            <w:tcMar>
              <w:top w:w="80" w:type="dxa"/>
              <w:start w:w="90" w:type="dxa"/>
              <w:bottom w:w="80" w:type="dxa"/>
              <w:end w:w="90" w:type="dxa"/>
            </w:tcMar>
            <w:vAlign w:val="top"/>
          </w:tcPr>
          <w:p>
            <w:r>
              <w:rPr>
                <w:sz w:val="18"/>
              </w:rPr>
              <w:t>Support increasing historical data without proportional HTML growth.</w:t>
            </w:r>
          </w:p>
        </w:tc>
      </w:tr>
      <w:tr>
        <w:tc>
          <w:tcPr>
            <w:tcW w:type="dxa" w:w="1152"/>
            <w:tcMar>
              <w:top w:w="80" w:type="dxa"/>
              <w:start w:w="90" w:type="dxa"/>
              <w:bottom w:w="80" w:type="dxa"/>
              <w:end w:w="90" w:type="dxa"/>
            </w:tcMar>
            <w:vAlign w:val="top"/>
          </w:tcPr>
          <w:p>
            <w:r>
              <w:rPr>
                <w:sz w:val="18"/>
              </w:rPr>
              <w:t>P1</w:t>
            </w:r>
          </w:p>
        </w:tc>
        <w:tc>
          <w:tcPr>
            <w:tcW w:type="dxa" w:w="8928"/>
            <w:tcMar>
              <w:top w:w="80" w:type="dxa"/>
              <w:start w:w="90" w:type="dxa"/>
              <w:bottom w:w="80" w:type="dxa"/>
              <w:end w:w="90" w:type="dxa"/>
            </w:tcMar>
            <w:vAlign w:val="top"/>
          </w:tcPr>
          <w:p>
            <w:r>
              <w:rPr>
                <w:sz w:val="18"/>
              </w:rPr>
              <w:t>Keep the solution maintainable with clear separation between ingestion, storage, API and UI.</w:t>
            </w:r>
          </w:p>
        </w:tc>
      </w:tr>
      <w:tr>
        <w:tc>
          <w:tcPr>
            <w:tcW w:type="dxa" w:w="1152"/>
            <w:tcMar>
              <w:top w:w="80" w:type="dxa"/>
              <w:start w:w="90" w:type="dxa"/>
              <w:bottom w:w="80" w:type="dxa"/>
              <w:end w:w="90" w:type="dxa"/>
            </w:tcMar>
            <w:vAlign w:val="top"/>
          </w:tcPr>
          <w:p>
            <w:r>
              <w:rPr>
                <w:sz w:val="18"/>
              </w:rPr>
              <w:t>P2</w:t>
            </w:r>
          </w:p>
        </w:tc>
        <w:tc>
          <w:tcPr>
            <w:tcW w:type="dxa" w:w="8928"/>
            <w:tcMar>
              <w:top w:w="80" w:type="dxa"/>
              <w:start w:w="90" w:type="dxa"/>
              <w:bottom w:w="80" w:type="dxa"/>
              <w:end w:w="90" w:type="dxa"/>
            </w:tcMar>
            <w:vAlign w:val="top"/>
          </w:tcPr>
          <w:p>
            <w:r>
              <w:rPr>
                <w:sz w:val="18"/>
              </w:rPr>
              <w:t>Add enhancements such as saved filters, richer drill-down and broader organizational visibility after parity is achieved.</w:t>
            </w:r>
          </w:p>
        </w:tc>
      </w:tr>
    </w:tbl>
    <w:p/>
    <w:p>
      <w:pPr>
        <w:pStyle w:val="Heading1"/>
      </w:pPr>
      <w:r>
        <w:t>4. Architecture Principles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D9EAF7"/>
            <w:tcMar>
              <w:top w:w="80" w:type="dxa"/>
              <w:start w:w="90" w:type="dxa"/>
              <w:bottom w:w="80" w:type="dxa"/>
              <w:end w:w="90" w:type="dxa"/>
            </w:tcMar>
          </w:tcPr>
          <w:p>
            <w:pPr>
              <w:jc w:val="center"/>
            </w:pPr>
            <w:r>
              <w:rPr>
                <w:b/>
                <w:color w:val="1F4E79"/>
                <w:sz w:val="18"/>
              </w:rPr>
              <w:t>Principle</w:t>
            </w:r>
          </w:p>
        </w:tc>
        <w:tc>
          <w:tcPr>
            <w:tcW w:type="dxa" w:w="7056"/>
            <w:shd w:fill="D9EAF7"/>
            <w:tcMar>
              <w:top w:w="80" w:type="dxa"/>
              <w:start w:w="90" w:type="dxa"/>
              <w:bottom w:w="80" w:type="dxa"/>
              <w:end w:w="90" w:type="dxa"/>
            </w:tcMar>
          </w:tcPr>
          <w:p>
            <w:pPr>
              <w:jc w:val="center"/>
            </w:pPr>
            <w:r>
              <w:rPr>
                <w:b/>
                <w:color w:val="1F4E79"/>
                <w:sz w:val="18"/>
              </w:rPr>
              <w:t>Meaning</w:t>
            </w:r>
          </w:p>
        </w:tc>
      </w:tr>
      <w:tr>
        <w:tc>
          <w:tcPr>
            <w:tcW w:type="dxa" w:w="3024"/>
            <w:tcMar>
              <w:top w:w="80" w:type="dxa"/>
              <w:start w:w="90" w:type="dxa"/>
              <w:bottom w:w="80" w:type="dxa"/>
              <w:end w:w="90" w:type="dxa"/>
            </w:tcMar>
            <w:vAlign w:val="top"/>
          </w:tcPr>
          <w:p>
            <w:r>
              <w:rPr>
                <w:sz w:val="18"/>
              </w:rPr>
              <w:t>Greenfield technical design</w:t>
            </w:r>
          </w:p>
        </w:tc>
        <w:tc>
          <w:tcPr>
            <w:tcW w:type="dxa" w:w="7056"/>
            <w:tcMar>
              <w:top w:w="80" w:type="dxa"/>
              <w:start w:w="90" w:type="dxa"/>
              <w:bottom w:w="80" w:type="dxa"/>
              <w:end w:w="90" w:type="dxa"/>
            </w:tcMar>
            <w:vAlign w:val="top"/>
          </w:tcPr>
          <w:p>
            <w:r>
              <w:rPr>
                <w:sz w:val="18"/>
              </w:rPr>
              <w:t>The new application is not a refactor of the generated HTML pipeline.</w:t>
            </w:r>
          </w:p>
        </w:tc>
      </w:tr>
      <w:tr>
        <w:tc>
          <w:tcPr>
            <w:tcW w:type="dxa" w:w="3024"/>
            <w:tcMar>
              <w:top w:w="80" w:type="dxa"/>
              <w:start w:w="90" w:type="dxa"/>
              <w:bottom w:w="80" w:type="dxa"/>
              <w:end w:w="90" w:type="dxa"/>
            </w:tcMar>
            <w:vAlign w:val="top"/>
          </w:tcPr>
          <w:p>
            <w:r>
              <w:rPr>
                <w:sz w:val="18"/>
              </w:rPr>
              <w:t>Reuse business knowledge</w:t>
            </w:r>
          </w:p>
        </w:tc>
        <w:tc>
          <w:tcPr>
            <w:tcW w:type="dxa" w:w="7056"/>
            <w:tcMar>
              <w:top w:w="80" w:type="dxa"/>
              <w:start w:w="90" w:type="dxa"/>
              <w:bottom w:w="80" w:type="dxa"/>
              <w:end w:w="90" w:type="dxa"/>
            </w:tcMar>
            <w:vAlign w:val="top"/>
          </w:tcPr>
          <w:p>
            <w:r>
              <w:rPr>
                <w:sz w:val="18"/>
              </w:rPr>
              <w:t>Existing extraction rules, calculations, normalization rules and accepted UX behavior become validated inputs to the new design.</w:t>
            </w:r>
          </w:p>
        </w:tc>
      </w:tr>
      <w:tr>
        <w:tc>
          <w:tcPr>
            <w:tcW w:type="dxa" w:w="3024"/>
            <w:tcMar>
              <w:top w:w="80" w:type="dxa"/>
              <w:start w:w="90" w:type="dxa"/>
              <w:bottom w:w="80" w:type="dxa"/>
              <w:end w:w="90" w:type="dxa"/>
            </w:tcMar>
            <w:vAlign w:val="top"/>
          </w:tcPr>
          <w:p>
            <w:r>
              <w:rPr>
                <w:sz w:val="18"/>
              </w:rPr>
              <w:t>Dynamic retrieval</w:t>
            </w:r>
          </w:p>
        </w:tc>
        <w:tc>
          <w:tcPr>
            <w:tcW w:type="dxa" w:w="7056"/>
            <w:tcMar>
              <w:top w:w="80" w:type="dxa"/>
              <w:start w:w="90" w:type="dxa"/>
              <w:bottom w:w="80" w:type="dxa"/>
              <w:end w:w="90" w:type="dxa"/>
            </w:tcMar>
            <w:vAlign w:val="top"/>
          </w:tcPr>
          <w:p>
            <w:r>
              <w:rPr>
                <w:sz w:val="18"/>
              </w:rPr>
              <w:t>The UI requests only required data/aggregates using filters, search and paging.</w:t>
            </w:r>
          </w:p>
        </w:tc>
      </w:tr>
      <w:tr>
        <w:tc>
          <w:tcPr>
            <w:tcW w:type="dxa" w:w="3024"/>
            <w:tcMar>
              <w:top w:w="80" w:type="dxa"/>
              <w:start w:w="90" w:type="dxa"/>
              <w:bottom w:w="80" w:type="dxa"/>
              <w:end w:w="90" w:type="dxa"/>
            </w:tcMar>
            <w:vAlign w:val="top"/>
          </w:tcPr>
          <w:p>
            <w:r>
              <w:rPr>
                <w:sz w:val="18"/>
              </w:rPr>
              <w:t>Server-side security</w:t>
            </w:r>
          </w:p>
        </w:tc>
        <w:tc>
          <w:tcPr>
            <w:tcW w:type="dxa" w:w="7056"/>
            <w:tcMar>
              <w:top w:w="80" w:type="dxa"/>
              <w:start w:w="90" w:type="dxa"/>
              <w:bottom w:w="80" w:type="dxa"/>
              <w:end w:w="90" w:type="dxa"/>
            </w:tcMar>
            <w:vAlign w:val="top"/>
          </w:tcPr>
          <w:p>
            <w:r>
              <w:rPr>
                <w:sz w:val="18"/>
              </w:rPr>
              <w:t>The server decides what each authenticated user is allowed to receive.</w:t>
            </w:r>
          </w:p>
        </w:tc>
      </w:tr>
      <w:tr>
        <w:tc>
          <w:tcPr>
            <w:tcW w:type="dxa" w:w="3024"/>
            <w:tcMar>
              <w:top w:w="80" w:type="dxa"/>
              <w:start w:w="90" w:type="dxa"/>
              <w:bottom w:w="80" w:type="dxa"/>
              <w:end w:w="90" w:type="dxa"/>
            </w:tcMar>
            <w:vAlign w:val="top"/>
          </w:tcPr>
          <w:p>
            <w:r>
              <w:rPr>
                <w:sz w:val="18"/>
              </w:rPr>
              <w:t>Relational persistence</w:t>
            </w:r>
          </w:p>
        </w:tc>
        <w:tc>
          <w:tcPr>
            <w:tcW w:type="dxa" w:w="7056"/>
            <w:tcMar>
              <w:top w:w="80" w:type="dxa"/>
              <w:start w:w="90" w:type="dxa"/>
              <w:bottom w:w="80" w:type="dxa"/>
              <w:end w:w="90" w:type="dxa"/>
            </w:tcMar>
            <w:vAlign w:val="top"/>
          </w:tcPr>
          <w:p>
            <w:r>
              <w:rPr>
                <w:sz w:val="18"/>
              </w:rPr>
              <w:t>Structured rollout and metric data is stored in queryable tables rather than a full JSON document used as an application database.</w:t>
            </w:r>
          </w:p>
        </w:tc>
      </w:tr>
      <w:tr>
        <w:tc>
          <w:tcPr>
            <w:tcW w:type="dxa" w:w="3024"/>
            <w:tcMar>
              <w:top w:w="80" w:type="dxa"/>
              <w:start w:w="90" w:type="dxa"/>
              <w:bottom w:w="80" w:type="dxa"/>
              <w:end w:w="90" w:type="dxa"/>
            </w:tcMar>
            <w:vAlign w:val="top"/>
          </w:tcPr>
          <w:p>
            <w:r>
              <w:rPr>
                <w:sz w:val="18"/>
              </w:rPr>
              <w:t>Independent ingestion</w:t>
            </w:r>
          </w:p>
        </w:tc>
        <w:tc>
          <w:tcPr>
            <w:tcW w:type="dxa" w:w="7056"/>
            <w:tcMar>
              <w:top w:w="80" w:type="dxa"/>
              <w:start w:w="90" w:type="dxa"/>
              <w:bottom w:w="80" w:type="dxa"/>
              <w:end w:w="90" w:type="dxa"/>
            </w:tcMar>
            <w:vAlign w:val="top"/>
          </w:tcPr>
          <w:p>
            <w:r>
              <w:rPr>
                <w:sz w:val="18"/>
              </w:rPr>
              <w:t>Excel import is a separate responsibility from dashboard rendering.</w:t>
            </w:r>
          </w:p>
        </w:tc>
      </w:tr>
      <w:tr>
        <w:tc>
          <w:tcPr>
            <w:tcW w:type="dxa" w:w="3024"/>
            <w:tcMar>
              <w:top w:w="80" w:type="dxa"/>
              <w:start w:w="90" w:type="dxa"/>
              <w:bottom w:w="80" w:type="dxa"/>
              <w:end w:w="90" w:type="dxa"/>
            </w:tcMar>
            <w:vAlign w:val="top"/>
          </w:tcPr>
          <w:p>
            <w:r>
              <w:rPr>
                <w:sz w:val="18"/>
              </w:rPr>
              <w:t>Operational safety</w:t>
            </w:r>
          </w:p>
        </w:tc>
        <w:tc>
          <w:tcPr>
            <w:tcW w:type="dxa" w:w="7056"/>
            <w:tcMar>
              <w:top w:w="80" w:type="dxa"/>
              <w:start w:w="90" w:type="dxa"/>
              <w:bottom w:w="80" w:type="dxa"/>
              <w:end w:w="90" w:type="dxa"/>
            </w:tcMar>
            <w:vAlign w:val="top"/>
          </w:tcPr>
          <w:p>
            <w:r>
              <w:rPr>
                <w:sz w:val="18"/>
              </w:rPr>
              <w:t>A failed or invalid import must not replace the last-known-good data.</w:t>
            </w:r>
          </w:p>
        </w:tc>
      </w:tr>
      <w:tr>
        <w:tc>
          <w:tcPr>
            <w:tcW w:type="dxa" w:w="3024"/>
            <w:tcMar>
              <w:top w:w="80" w:type="dxa"/>
              <w:start w:w="90" w:type="dxa"/>
              <w:bottom w:w="80" w:type="dxa"/>
              <w:end w:w="90" w:type="dxa"/>
            </w:tcMar>
            <w:vAlign w:val="top"/>
          </w:tcPr>
          <w:p>
            <w:r>
              <w:rPr>
                <w:sz w:val="18"/>
              </w:rPr>
              <w:t>Incremental migration</w:t>
            </w:r>
          </w:p>
        </w:tc>
        <w:tc>
          <w:tcPr>
            <w:tcW w:type="dxa" w:w="7056"/>
            <w:tcMar>
              <w:top w:w="80" w:type="dxa"/>
              <w:start w:w="90" w:type="dxa"/>
              <w:bottom w:w="80" w:type="dxa"/>
              <w:end w:w="90" w:type="dxa"/>
            </w:tcMar>
            <w:vAlign w:val="top"/>
          </w:tcPr>
          <w:p>
            <w:r>
              <w:rPr>
                <w:sz w:val="18"/>
              </w:rPr>
              <w:t>The legacy and modern dashboards run in parallel until functional parity and acceptance are achieved.</w:t>
            </w:r>
          </w:p>
        </w:tc>
      </w:tr>
      <w:tr>
        <w:tc>
          <w:tcPr>
            <w:tcW w:type="dxa" w:w="3024"/>
            <w:tcMar>
              <w:top w:w="80" w:type="dxa"/>
              <w:start w:w="90" w:type="dxa"/>
              <w:bottom w:w="80" w:type="dxa"/>
              <w:end w:w="90" w:type="dxa"/>
            </w:tcMar>
            <w:vAlign w:val="top"/>
          </w:tcPr>
          <w:p>
            <w:r>
              <w:rPr>
                <w:sz w:val="18"/>
              </w:rPr>
              <w:t>Cost discipline</w:t>
            </w:r>
          </w:p>
        </w:tc>
        <w:tc>
          <w:tcPr>
            <w:tcW w:type="dxa" w:w="7056"/>
            <w:tcMar>
              <w:top w:w="80" w:type="dxa"/>
              <w:start w:w="90" w:type="dxa"/>
              <w:bottom w:w="80" w:type="dxa"/>
              <w:end w:w="90" w:type="dxa"/>
            </w:tcMar>
            <w:vAlign w:val="top"/>
          </w:tcPr>
          <w:p>
            <w:r>
              <w:rPr>
                <w:sz w:val="18"/>
              </w:rPr>
              <w:t>No new paid platform/service is introduced in the baseline unless an existing approved resource is already available with no incremental project cost.</w:t>
            </w:r>
          </w:p>
        </w:tc>
      </w:tr>
    </w:tbl>
    <w:p/>
    <w:p>
      <w:pPr>
        <w:pStyle w:val="Heading1"/>
      </w:pPr>
      <w:r>
        <w:t>5. Proposed Target Architecture</w:t>
      </w:r>
    </w:p>
    <w:p>
      <w:pPr>
        <w:pStyle w:val="CodeFlow"/>
      </w:pPr>
      <w:r>
        <w:t xml:space="preserve">                         SharePoint</w:t>
      </w:r>
    </w:p>
    <w:p>
      <w:pPr>
        <w:pStyle w:val="CodeFlow"/>
      </w:pPr>
      <w:r>
        <w:t xml:space="preserve">                            |</w:t>
      </w:r>
    </w:p>
    <w:p>
      <w:pPr>
        <w:pStyle w:val="CodeFlow"/>
      </w:pPr>
      <w:r>
        <w:t xml:space="preserve">                       Excel trackers</w:t>
      </w:r>
    </w:p>
    <w:p>
      <w:pPr>
        <w:pStyle w:val="CodeFlow"/>
      </w:pPr>
      <w:r>
        <w:t xml:space="preserve">                            |</w:t>
      </w:r>
    </w:p>
    <w:p>
      <w:pPr>
        <w:pStyle w:val="CodeFlow"/>
      </w:pPr>
      <w:r>
        <w:t xml:space="preserve">                            v</w:t>
      </w:r>
    </w:p>
    <w:p>
      <w:pPr>
        <w:pStyle w:val="CodeFlow"/>
      </w:pPr>
      <w:r>
        <w:t xml:space="preserve">                 RLLOT Ingestion Component</w:t>
      </w:r>
    </w:p>
    <w:p>
      <w:pPr>
        <w:pStyle w:val="CodeFlow"/>
      </w:pPr>
      <w:r>
        <w:t xml:space="preserve">                 - read / validate Excel</w:t>
      </w:r>
    </w:p>
    <w:p>
      <w:pPr>
        <w:pStyle w:val="CodeFlow"/>
      </w:pPr>
      <w:r>
        <w:t xml:space="preserve">                 - normalize business data</w:t>
      </w:r>
    </w:p>
    <w:p>
      <w:pPr>
        <w:pStyle w:val="CodeFlow"/>
      </w:pPr>
      <w:r>
        <w:t xml:space="preserve">                 - persist import atomically</w:t>
      </w:r>
    </w:p>
    <w:p>
      <w:pPr>
        <w:pStyle w:val="CodeFlow"/>
      </w:pPr>
      <w:r>
        <w:t xml:space="preserve">                            |</w:t>
      </w:r>
    </w:p>
    <w:p>
      <w:pPr>
        <w:pStyle w:val="CodeFlow"/>
      </w:pPr>
      <w:r>
        <w:t xml:space="preserve">                            v</w:t>
      </w:r>
    </w:p>
    <w:p>
      <w:pPr>
        <w:pStyle w:val="CodeFlow"/>
      </w:pPr>
      <w:r>
        <w:t xml:space="preserve">                 Relational Data Store</w:t>
      </w:r>
    </w:p>
    <w:p>
      <w:pPr>
        <w:pStyle w:val="CodeFlow"/>
      </w:pPr>
      <w:r>
        <w:t xml:space="preserve">             SQLite baseline / existing SQL Server</w:t>
      </w:r>
    </w:p>
    <w:p>
      <w:pPr>
        <w:pStyle w:val="CodeFlow"/>
      </w:pPr>
      <w:r>
        <w:t xml:space="preserve">                            |</w:t>
      </w:r>
    </w:p>
    <w:p>
      <w:pPr>
        <w:pStyle w:val="CodeFlow"/>
      </w:pPr>
      <w:r>
        <w:t xml:space="preserve">                            v</w:t>
      </w:r>
    </w:p>
    <w:p>
      <w:pPr>
        <w:pStyle w:val="CodeFlow"/>
      </w:pPr>
      <w:r>
        <w:t xml:space="preserve">                  ASP.NET Core Application</w:t>
      </w:r>
    </w:p>
    <w:p>
      <w:pPr>
        <w:pStyle w:val="CodeFlow"/>
      </w:pPr>
      <w:r>
        <w:t xml:space="preserve">          - server-side filtering / paging / search</w:t>
      </w:r>
    </w:p>
    <w:p>
      <w:pPr>
        <w:pStyle w:val="CodeFlow"/>
      </w:pPr>
      <w:r>
        <w:t xml:space="preserve">          - business calculations / aggregation</w:t>
      </w:r>
    </w:p>
    <w:p>
      <w:pPr>
        <w:pStyle w:val="CodeFlow"/>
      </w:pPr>
      <w:r>
        <w:t xml:space="preserve">          - authorization / access filtering</w:t>
      </w:r>
    </w:p>
    <w:p>
      <w:pPr>
        <w:pStyle w:val="CodeFlow"/>
      </w:pPr>
      <w:r>
        <w:t xml:space="preserve">                            |</w:t>
      </w:r>
    </w:p>
    <w:p>
      <w:pPr>
        <w:pStyle w:val="CodeFlow"/>
      </w:pPr>
      <w:r>
        <w:t xml:space="preserve">                            v</w:t>
      </w:r>
    </w:p>
    <w:p>
      <w:pPr>
        <w:pStyle w:val="CodeFlow"/>
      </w:pPr>
      <w:r>
        <w:t xml:space="preserve">                      React Dashboard</w:t>
      </w:r>
    </w:p>
    <w:p>
      <w:pPr>
        <w:pStyle w:val="CodeFlow"/>
      </w:pPr>
      <w:r>
        <w:t xml:space="preserve">                            |</w:t>
      </w:r>
    </w:p>
    <w:p>
      <w:pPr>
        <w:pStyle w:val="CodeFlow"/>
      </w:pPr>
      <w:r>
        <w:t xml:space="preserve">                            v</w:t>
      </w:r>
    </w:p>
    <w:p>
      <w:pPr>
        <w:pStyle w:val="CodeFlow"/>
      </w:pPr>
      <w:r>
        <w:t xml:space="preserve">                    Existing Internal IIS</w:t>
      </w:r>
    </w:p>
    <w:p>
      <w:pPr>
        <w:pStyle w:val="CodeFlow"/>
      </w:pPr>
      <w:r>
        <w:t xml:space="preserve">                            |</w:t>
      </w:r>
    </w:p>
    <w:p>
      <w:pPr>
        <w:pStyle w:val="CodeFlow"/>
      </w:pPr>
      <w:r>
        <w:t xml:space="preserve">                            v</w:t>
      </w:r>
    </w:p>
    <w:p>
      <w:pPr>
        <w:pStyle w:val="CodeFlow"/>
      </w:pPr>
      <w:r>
        <w:t xml:space="preserve">                  Authenticated Internal Users</w:t>
      </w:r>
    </w:p>
    <w:p>
      <w:r>
        <w:t>The browser no longer receives the complete historical dataset. The application layer returns only requested rows, summaries and detail records. This removes the current coupling between data growth and generated HTML size.</w:t>
      </w:r>
    </w:p>
    <w:p>
      <w:pPr>
        <w:pStyle w:val="Heading1"/>
      </w:pPr>
      <w:r>
        <w:t>6. Component Design</w:t>
      </w:r>
    </w:p>
    <w:p>
      <w:pPr>
        <w:pStyle w:val="Heading2"/>
      </w:pPr>
      <w:r>
        <w:t>6.1 Frontend</w:t>
      </w:r>
    </w:p>
    <w:p>
      <w:pPr>
        <w:pStyle w:val="ListBullet"/>
        <w:spacing w:after="40"/>
      </w:pPr>
      <w:r>
        <w:t>React-based read-only dashboard.</w:t>
      </w:r>
    </w:p>
    <w:p>
      <w:pPr>
        <w:pStyle w:val="ListBullet"/>
        <w:spacing w:after="40"/>
      </w:pPr>
      <w:r>
        <w:t>Overview plus six initiative tabs/views.</w:t>
      </w:r>
    </w:p>
    <w:p>
      <w:pPr>
        <w:pStyle w:val="ListBullet"/>
        <w:spacing w:after="40"/>
      </w:pPr>
      <w:r>
        <w:t>Server-backed filters, search and pagination.</w:t>
      </w:r>
    </w:p>
    <w:p>
      <w:pPr>
        <w:pStyle w:val="ListBullet"/>
        <w:spacing w:after="40"/>
      </w:pPr>
      <w:r>
        <w:t>Team detail drawer/panel loaded on demand.</w:t>
      </w:r>
    </w:p>
    <w:p>
      <w:pPr>
        <w:pStyle w:val="ListBullet"/>
        <w:spacing w:after="40"/>
      </w:pPr>
      <w:r>
        <w:t>Client-side state controls presentation only; it is not a security boundary.</w:t>
      </w:r>
    </w:p>
    <w:p>
      <w:pPr>
        <w:pStyle w:val="ListBullet"/>
        <w:spacing w:after="40"/>
      </w:pPr>
      <w:r>
        <w:t>The current dashboard is a UX reference, not a source-code/template dependency.</w:t>
      </w:r>
    </w:p>
    <w:p>
      <w:pPr>
        <w:pStyle w:val="Heading2"/>
      </w:pPr>
      <w:r>
        <w:t>6.2 ASP.NET Core application</w:t>
      </w:r>
    </w:p>
    <w:p>
      <w:pPr>
        <w:pStyle w:val="ListBullet"/>
        <w:spacing w:after="40"/>
      </w:pPr>
      <w:r>
        <w:t>Hosted on the existing Windows/IIS environment after feasibility validation.</w:t>
      </w:r>
    </w:p>
    <w:p>
      <w:pPr>
        <w:pStyle w:val="ListBullet"/>
        <w:spacing w:after="40"/>
      </w:pPr>
      <w:r>
        <w:t>Exposes endpoints for summary, initiative results, filters, details and metrics.</w:t>
      </w:r>
    </w:p>
    <w:p>
      <w:pPr>
        <w:pStyle w:val="ListBullet"/>
        <w:spacing w:after="40"/>
      </w:pPr>
      <w:r>
        <w:t>Applies server-side authorization before returning records.</w:t>
      </w:r>
    </w:p>
    <w:p>
      <w:pPr>
        <w:pStyle w:val="ListBullet"/>
        <w:spacing w:after="40"/>
      </w:pPr>
      <w:r>
        <w:t>Uses relational queries for paging/filtering rather than loading all records into memory or returning all records to the browser.</w:t>
      </w:r>
    </w:p>
    <w:p>
      <w:pPr>
        <w:pStyle w:val="ListBullet"/>
        <w:spacing w:after="40"/>
      </w:pPr>
      <w:r>
        <w:t>Keeps calculation/business-rule code testable and independent from the UI.</w:t>
      </w:r>
    </w:p>
    <w:p>
      <w:pPr>
        <w:pStyle w:val="Heading2"/>
      </w:pPr>
      <w:r>
        <w:t>6.3 Persistence</w:t>
      </w:r>
    </w:p>
    <w:p>
      <w:r>
        <w:t>SQLite is the recommended baseline when no existing enterprise database can be used without additional cost. SQLite is embedded/serverless rather than a separate database server; the application reads and writes database files directly on disk.</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D9EAF7"/>
            <w:tcMar>
              <w:top w:w="80" w:type="dxa"/>
              <w:start w:w="90" w:type="dxa"/>
              <w:bottom w:w="80" w:type="dxa"/>
              <w:end w:w="90" w:type="dxa"/>
            </w:tcMar>
          </w:tcPr>
          <w:p>
            <w:pPr>
              <w:jc w:val="center"/>
            </w:pPr>
            <w:r>
              <w:rPr>
                <w:b/>
                <w:color w:val="1F4E79"/>
                <w:sz w:val="18"/>
              </w:rPr>
              <w:t>Option</w:t>
            </w:r>
          </w:p>
        </w:tc>
        <w:tc>
          <w:tcPr>
            <w:tcW w:type="dxa" w:w="4896"/>
            <w:shd w:fill="D9EAF7"/>
            <w:tcMar>
              <w:top w:w="80" w:type="dxa"/>
              <w:start w:w="90" w:type="dxa"/>
              <w:bottom w:w="80" w:type="dxa"/>
              <w:end w:w="90" w:type="dxa"/>
            </w:tcMar>
          </w:tcPr>
          <w:p>
            <w:pPr>
              <w:jc w:val="center"/>
            </w:pPr>
            <w:r>
              <w:rPr>
                <w:b/>
                <w:color w:val="1F4E79"/>
                <w:sz w:val="18"/>
              </w:rPr>
              <w:t>Use When</w:t>
            </w:r>
          </w:p>
        </w:tc>
        <w:tc>
          <w:tcPr>
            <w:tcW w:type="dxa" w:w="3024"/>
            <w:shd w:fill="D9EAF7"/>
            <w:tcMar>
              <w:top w:w="80" w:type="dxa"/>
              <w:start w:w="90" w:type="dxa"/>
              <w:bottom w:w="80" w:type="dxa"/>
              <w:end w:w="90" w:type="dxa"/>
            </w:tcMar>
          </w:tcPr>
          <w:p>
            <w:pPr>
              <w:jc w:val="center"/>
            </w:pPr>
            <w:r>
              <w:rPr>
                <w:b/>
                <w:color w:val="1F4E79"/>
                <w:sz w:val="18"/>
              </w:rPr>
              <w:t>Position</w:t>
            </w:r>
          </w:p>
        </w:tc>
      </w:tr>
      <w:tr>
        <w:tc>
          <w:tcPr>
            <w:tcW w:type="dxa" w:w="2160"/>
            <w:tcMar>
              <w:top w:w="80" w:type="dxa"/>
              <w:start w:w="90" w:type="dxa"/>
              <w:bottom w:w="80" w:type="dxa"/>
              <w:end w:w="90" w:type="dxa"/>
            </w:tcMar>
            <w:vAlign w:val="top"/>
          </w:tcPr>
          <w:p>
            <w:r>
              <w:rPr>
                <w:sz w:val="18"/>
              </w:rPr>
              <w:t>SQLite</w:t>
            </w:r>
          </w:p>
        </w:tc>
        <w:tc>
          <w:tcPr>
            <w:tcW w:type="dxa" w:w="4896"/>
            <w:tcMar>
              <w:top w:w="80" w:type="dxa"/>
              <w:start w:w="90" w:type="dxa"/>
              <w:bottom w:w="80" w:type="dxa"/>
              <w:end w:w="90" w:type="dxa"/>
            </w:tcMar>
            <w:vAlign w:val="top"/>
          </w:tcPr>
          <w:p>
            <w:r>
              <w:rPr>
                <w:sz w:val="18"/>
              </w:rPr>
              <w:t>Single internal application instance, read-heavy dashboard, controlled periodic writes, no separate DB infrastructure available.</w:t>
            </w:r>
          </w:p>
        </w:tc>
        <w:tc>
          <w:tcPr>
            <w:tcW w:type="dxa" w:w="3024"/>
            <w:tcMar>
              <w:top w:w="80" w:type="dxa"/>
              <w:start w:w="90" w:type="dxa"/>
              <w:bottom w:w="80" w:type="dxa"/>
              <w:end w:w="90" w:type="dxa"/>
            </w:tcMar>
            <w:vAlign w:val="top"/>
          </w:tcPr>
          <w:p>
            <w:r>
              <w:rPr>
                <w:sz w:val="18"/>
              </w:rPr>
              <w:t>Recommended zero-infrastructure baseline.</w:t>
            </w:r>
          </w:p>
        </w:tc>
      </w:tr>
      <w:tr>
        <w:tc>
          <w:tcPr>
            <w:tcW w:type="dxa" w:w="2160"/>
            <w:tcMar>
              <w:top w:w="80" w:type="dxa"/>
              <w:start w:w="90" w:type="dxa"/>
              <w:bottom w:w="80" w:type="dxa"/>
              <w:end w:w="90" w:type="dxa"/>
            </w:tcMar>
            <w:vAlign w:val="top"/>
          </w:tcPr>
          <w:p>
            <w:r>
              <w:rPr>
                <w:sz w:val="18"/>
              </w:rPr>
              <w:t>Existing SQL Server</w:t>
            </w:r>
          </w:p>
        </w:tc>
        <w:tc>
          <w:tcPr>
            <w:tcW w:type="dxa" w:w="4896"/>
            <w:tcMar>
              <w:top w:w="80" w:type="dxa"/>
              <w:start w:w="90" w:type="dxa"/>
              <w:bottom w:w="80" w:type="dxa"/>
              <w:end w:w="90" w:type="dxa"/>
            </w:tcMar>
            <w:vAlign w:val="top"/>
          </w:tcPr>
          <w:p>
            <w:r>
              <w:rPr>
                <w:sz w:val="18"/>
              </w:rPr>
              <w:t>Already provisioned/licensed for this workload, mandated by architecture/security standards, or broader concurrency/operations requirements exist.</w:t>
            </w:r>
          </w:p>
        </w:tc>
        <w:tc>
          <w:tcPr>
            <w:tcW w:type="dxa" w:w="3024"/>
            <w:tcMar>
              <w:top w:w="80" w:type="dxa"/>
              <w:start w:w="90" w:type="dxa"/>
              <w:bottom w:w="80" w:type="dxa"/>
              <w:end w:w="90" w:type="dxa"/>
            </w:tcMar>
            <w:vAlign w:val="top"/>
          </w:tcPr>
          <w:p>
            <w:r>
              <w:rPr>
                <w:sz w:val="18"/>
              </w:rPr>
              <w:t>Preferred enterprise alternative when available at zero incremental cost.</w:t>
            </w:r>
          </w:p>
        </w:tc>
      </w:tr>
      <w:tr>
        <w:tc>
          <w:tcPr>
            <w:tcW w:type="dxa" w:w="2160"/>
            <w:tcMar>
              <w:top w:w="80" w:type="dxa"/>
              <w:start w:w="90" w:type="dxa"/>
              <w:bottom w:w="80" w:type="dxa"/>
              <w:end w:w="90" w:type="dxa"/>
            </w:tcMar>
            <w:vAlign w:val="top"/>
          </w:tcPr>
          <w:p>
            <w:r>
              <w:rPr>
                <w:sz w:val="18"/>
              </w:rPr>
              <w:t>JSON/file persistence</w:t>
            </w:r>
          </w:p>
        </w:tc>
        <w:tc>
          <w:tcPr>
            <w:tcW w:type="dxa" w:w="4896"/>
            <w:tcMar>
              <w:top w:w="80" w:type="dxa"/>
              <w:start w:w="90" w:type="dxa"/>
              <w:bottom w:w="80" w:type="dxa"/>
              <w:end w:w="90" w:type="dxa"/>
            </w:tcMar>
            <w:vAlign w:val="top"/>
          </w:tcPr>
          <w:p>
            <w:r>
              <w:rPr>
                <w:sz w:val="18"/>
              </w:rPr>
              <w:t>Short-lived diagnostic/export or transitional spike only.</w:t>
            </w:r>
          </w:p>
        </w:tc>
        <w:tc>
          <w:tcPr>
            <w:tcW w:type="dxa" w:w="3024"/>
            <w:tcMar>
              <w:top w:w="80" w:type="dxa"/>
              <w:start w:w="90" w:type="dxa"/>
              <w:bottom w:w="80" w:type="dxa"/>
              <w:end w:w="90" w:type="dxa"/>
            </w:tcMar>
            <w:vAlign w:val="top"/>
          </w:tcPr>
          <w:p>
            <w:r>
              <w:rPr>
                <w:sz w:val="18"/>
              </w:rPr>
              <w:t>Not recommended as production application persistence.</w:t>
            </w:r>
          </w:p>
        </w:tc>
      </w:tr>
    </w:tbl>
    <w:p/>
    <w:p>
      <w:pPr>
        <w:pStyle w:val="Heading3"/>
      </w:pPr>
      <w:r>
        <w:t>6.4 SQLite storage and operations</w:t>
      </w:r>
    </w:p>
    <w:p>
      <w:pPr>
        <w:pStyle w:val="ListBullet"/>
        <w:spacing w:after="40"/>
      </w:pPr>
      <w:r>
        <w:t>Store the database in a protected application-data folder such as C:\Apps\RLLOT\Data\rllot.db, outside the web root.</w:t>
      </w:r>
    </w:p>
    <w:p>
      <w:pPr>
        <w:pStyle w:val="ListBullet"/>
        <w:spacing w:after="40"/>
      </w:pPr>
      <w:r>
        <w:t>Grant only required file-system permissions to the application/service identity.</w:t>
      </w:r>
    </w:p>
    <w:p>
      <w:pPr>
        <w:pStyle w:val="ListBullet"/>
        <w:spacing w:after="40"/>
      </w:pPr>
      <w:r>
        <w:t>Use transactions/staging during import.</w:t>
      </w:r>
    </w:p>
    <w:p>
      <w:pPr>
        <w:pStyle w:val="ListBullet"/>
        <w:spacing w:after="40"/>
      </w:pPr>
      <w:r>
        <w:t>Retain import metadata and the last-known-good state.</w:t>
      </w:r>
    </w:p>
    <w:p>
      <w:pPr>
        <w:pStyle w:val="ListBullet"/>
        <w:spacing w:after="40"/>
      </w:pPr>
      <w:r>
        <w:t>Establish an operations-approved backup/copy procedure for the database and related WAL/journal files when applicable.</w:t>
      </w:r>
    </w:p>
    <w:p>
      <w:pPr>
        <w:pStyle w:val="ListBullet"/>
        <w:spacing w:after="40"/>
      </w:pPr>
      <w:r>
        <w:t>Keep persistence behind EF Core/data-access abstractions to make later migration to SQL Server easier.</w:t>
      </w:r>
    </w:p>
    <w:p>
      <w:pPr>
        <w:pStyle w:val="Heading2"/>
      </w:pPr>
      <w:r>
        <w:t>6.5 Ingestion component</w:t>
      </w:r>
    </w:p>
    <w:tbl>
      <w:tblPr>
        <w:tblStyle w:val="TableGrid"/>
        <w:tblW w:type="auto" w:w="0"/>
        <w:tblLook w:firstColumn="1" w:firstRow="1" w:lastColumn="0" w:lastRow="0" w:noHBand="0" w:noVBand="1" w:val="04A0"/>
      </w:tblPr>
      <w:tblGrid>
        <w:gridCol w:w="10166"/>
      </w:tblGrid>
      <w:tr>
        <w:tc>
          <w:tcPr>
            <w:tcW w:type="dxa" w:w="10166"/>
            <w:shd w:fill="D9EAF7"/>
            <w:tcMar>
              <w:top w:w="120" w:type="dxa"/>
              <w:start w:w="140" w:type="dxa"/>
              <w:bottom w:w="120" w:type="dxa"/>
              <w:end w:w="140" w:type="dxa"/>
            </w:tcMar>
          </w:tcPr>
          <w:p>
            <w:r>
              <w:rPr>
                <w:b/>
                <w:color w:val="1F4E79"/>
                <w:sz w:val="22"/>
              </w:rPr>
              <w:t>Ingestion definition</w:t>
              <w:br/>
            </w:r>
            <w:r>
              <w:rPr>
                <w:sz w:val="20"/>
              </w:rPr>
              <w:t>Ingestion logic is the logic that converts source Excel data into validated application data. An ingestion job is the mechanism that runs that logic manually or on a schedule.</w:t>
            </w:r>
          </w:p>
        </w:tc>
      </w:tr>
    </w:tbl>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40"/>
            <w:shd w:fill="D9EAF7"/>
            <w:tcMar>
              <w:top w:w="80" w:type="dxa"/>
              <w:start w:w="90" w:type="dxa"/>
              <w:bottom w:w="80" w:type="dxa"/>
              <w:end w:w="90" w:type="dxa"/>
            </w:tcMar>
          </w:tcPr>
          <w:p>
            <w:pPr>
              <w:jc w:val="center"/>
            </w:pPr>
            <w:r>
              <w:rPr>
                <w:b/>
                <w:color w:val="1F4E79"/>
                <w:sz w:val="18"/>
              </w:rPr>
              <w:t>Ingestion Logic</w:t>
            </w:r>
          </w:p>
        </w:tc>
        <w:tc>
          <w:tcPr>
            <w:tcW w:type="dxa" w:w="5040"/>
            <w:shd w:fill="D9EAF7"/>
            <w:tcMar>
              <w:top w:w="80" w:type="dxa"/>
              <w:start w:w="90" w:type="dxa"/>
              <w:bottom w:w="80" w:type="dxa"/>
              <w:end w:w="90" w:type="dxa"/>
            </w:tcMar>
          </w:tcPr>
          <w:p>
            <w:pPr>
              <w:jc w:val="center"/>
            </w:pPr>
            <w:r>
              <w:rPr>
                <w:b/>
                <w:color w:val="1F4E79"/>
                <w:sz w:val="18"/>
              </w:rPr>
              <w:t>Execution / Job</w:t>
            </w:r>
          </w:p>
        </w:tc>
      </w:tr>
      <w:tr>
        <w:tc>
          <w:tcPr>
            <w:tcW w:type="dxa" w:w="5040"/>
            <w:tcMar>
              <w:top w:w="80" w:type="dxa"/>
              <w:start w:w="90" w:type="dxa"/>
              <w:bottom w:w="80" w:type="dxa"/>
              <w:end w:w="90" w:type="dxa"/>
            </w:tcMar>
            <w:vAlign w:val="top"/>
          </w:tcPr>
          <w:p>
            <w:r>
              <w:rPr>
                <w:sz w:val="18"/>
              </w:rPr>
              <w:t>Read Excel workbook(s)</w:t>
            </w:r>
          </w:p>
        </w:tc>
        <w:tc>
          <w:tcPr>
            <w:tcW w:type="dxa" w:w="5040"/>
            <w:tcMar>
              <w:top w:w="80" w:type="dxa"/>
              <w:start w:w="90" w:type="dxa"/>
              <w:bottom w:w="80" w:type="dxa"/>
              <w:end w:w="90" w:type="dxa"/>
            </w:tcMar>
            <w:vAlign w:val="top"/>
          </w:tcPr>
          <w:p>
            <w:r>
              <w:rPr>
                <w:sz w:val="18"/>
              </w:rPr>
              <w:t>Manual execution during MVP or feasibility phase</w:t>
            </w:r>
          </w:p>
        </w:tc>
      </w:tr>
      <w:tr>
        <w:tc>
          <w:tcPr>
            <w:tcW w:type="dxa" w:w="5040"/>
            <w:tcMar>
              <w:top w:w="80" w:type="dxa"/>
              <w:start w:w="90" w:type="dxa"/>
              <w:bottom w:w="80" w:type="dxa"/>
              <w:end w:w="90" w:type="dxa"/>
            </w:tcMar>
            <w:vAlign w:val="top"/>
          </w:tcPr>
          <w:p>
            <w:r>
              <w:rPr>
                <w:sz w:val="18"/>
              </w:rPr>
              <w:t>Identify source DR / initiative sheet</w:t>
            </w:r>
          </w:p>
        </w:tc>
        <w:tc>
          <w:tcPr>
            <w:tcW w:type="dxa" w:w="5040"/>
            <w:tcMar>
              <w:top w:w="80" w:type="dxa"/>
              <w:start w:w="90" w:type="dxa"/>
              <w:bottom w:w="80" w:type="dxa"/>
              <w:end w:w="90" w:type="dxa"/>
            </w:tcMar>
            <w:vAlign w:val="top"/>
          </w:tcPr>
          <w:p>
            <w:r>
              <w:rPr>
                <w:sz w:val="18"/>
              </w:rPr>
              <w:t>Scheduled execution after the flow is stable</w:t>
            </w:r>
          </w:p>
        </w:tc>
      </w:tr>
      <w:tr>
        <w:tc>
          <w:tcPr>
            <w:tcW w:type="dxa" w:w="5040"/>
            <w:tcMar>
              <w:top w:w="80" w:type="dxa"/>
              <w:start w:w="90" w:type="dxa"/>
              <w:bottom w:w="80" w:type="dxa"/>
              <w:end w:w="90" w:type="dxa"/>
            </w:tcMar>
            <w:vAlign w:val="top"/>
          </w:tcPr>
          <w:p>
            <w:r>
              <w:rPr>
                <w:sz w:val="18"/>
              </w:rPr>
              <w:t>Validate required sheets/headers</w:t>
            </w:r>
          </w:p>
        </w:tc>
        <w:tc>
          <w:tcPr>
            <w:tcW w:type="dxa" w:w="5040"/>
            <w:tcMar>
              <w:top w:w="80" w:type="dxa"/>
              <w:start w:w="90" w:type="dxa"/>
              <w:bottom w:w="80" w:type="dxa"/>
              <w:end w:w="90" w:type="dxa"/>
            </w:tcMar>
            <w:vAlign w:val="top"/>
          </w:tcPr>
          <w:p>
            <w:r>
              <w:rPr>
                <w:sz w:val="18"/>
              </w:rPr>
              <w:t>Windows Task Scheduler or approved Worker/Windows Service</w:t>
            </w:r>
          </w:p>
        </w:tc>
      </w:tr>
      <w:tr>
        <w:tc>
          <w:tcPr>
            <w:tcW w:type="dxa" w:w="5040"/>
            <w:tcMar>
              <w:top w:w="80" w:type="dxa"/>
              <w:start w:w="90" w:type="dxa"/>
              <w:bottom w:w="80" w:type="dxa"/>
              <w:end w:w="90" w:type="dxa"/>
            </w:tcMar>
            <w:vAlign w:val="top"/>
          </w:tcPr>
          <w:p>
            <w:r>
              <w:rPr>
                <w:sz w:val="18"/>
              </w:rPr>
              <w:t>Normalize status/date/customer approval</w:t>
            </w:r>
          </w:p>
        </w:tc>
        <w:tc>
          <w:tcPr>
            <w:tcW w:type="dxa" w:w="5040"/>
            <w:tcMar>
              <w:top w:w="80" w:type="dxa"/>
              <w:start w:w="90" w:type="dxa"/>
              <w:bottom w:w="80" w:type="dxa"/>
              <w:end w:w="90" w:type="dxa"/>
            </w:tcMar>
            <w:vAlign w:val="top"/>
          </w:tcPr>
          <w:p>
            <w:r>
              <w:rPr>
                <w:sz w:val="18"/>
              </w:rPr>
              <w:t>Optional SharePoint retrieval before import</w:t>
            </w:r>
          </w:p>
        </w:tc>
      </w:tr>
      <w:tr>
        <w:tc>
          <w:tcPr>
            <w:tcW w:type="dxa" w:w="5040"/>
            <w:tcMar>
              <w:top w:w="80" w:type="dxa"/>
              <w:start w:w="90" w:type="dxa"/>
              <w:bottom w:w="80" w:type="dxa"/>
              <w:end w:w="90" w:type="dxa"/>
            </w:tcMar>
            <w:vAlign w:val="top"/>
          </w:tcPr>
          <w:p>
            <w:r>
              <w:rPr>
                <w:sz w:val="18"/>
              </w:rPr>
              <w:t>Extract metrics and explanations</w:t>
            </w:r>
          </w:p>
        </w:tc>
        <w:tc>
          <w:tcPr>
            <w:tcW w:type="dxa" w:w="5040"/>
            <w:tcMar>
              <w:top w:w="80" w:type="dxa"/>
              <w:start w:w="90" w:type="dxa"/>
              <w:bottom w:w="80" w:type="dxa"/>
              <w:end w:w="90" w:type="dxa"/>
            </w:tcMar>
            <w:vAlign w:val="top"/>
          </w:tcPr>
          <w:p>
            <w:r>
              <w:rPr>
                <w:sz w:val="18"/>
              </w:rPr>
              <w:t>Operational logging and alerting</w:t>
            </w:r>
          </w:p>
        </w:tc>
      </w:tr>
      <w:tr>
        <w:tc>
          <w:tcPr>
            <w:tcW w:type="dxa" w:w="5040"/>
            <w:tcMar>
              <w:top w:w="80" w:type="dxa"/>
              <w:start w:w="90" w:type="dxa"/>
              <w:bottom w:w="80" w:type="dxa"/>
              <w:end w:w="90" w:type="dxa"/>
            </w:tcMar>
            <w:vAlign w:val="top"/>
          </w:tcPr>
          <w:p>
            <w:r>
              <w:rPr>
                <w:sz w:val="18"/>
              </w:rPr>
              <w:t>Apply approved business rules</w:t>
            </w:r>
          </w:p>
        </w:tc>
        <w:tc>
          <w:tcPr>
            <w:tcW w:type="dxa" w:w="5040"/>
            <w:tcMar>
              <w:top w:w="80" w:type="dxa"/>
              <w:start w:w="90" w:type="dxa"/>
              <w:bottom w:w="80" w:type="dxa"/>
              <w:end w:w="90" w:type="dxa"/>
            </w:tcMar>
            <w:vAlign w:val="top"/>
          </w:tcPr>
          <w:p>
            <w:r>
              <w:rPr>
                <w:sz w:val="18"/>
              </w:rPr>
              <w:t>Do not activate a failed/partial import</w:t>
            </w:r>
          </w:p>
        </w:tc>
      </w:tr>
      <w:tr>
        <w:tc>
          <w:tcPr>
            <w:tcW w:type="dxa" w:w="5040"/>
            <w:tcMar>
              <w:top w:w="80" w:type="dxa"/>
              <w:start w:w="90" w:type="dxa"/>
              <w:bottom w:w="80" w:type="dxa"/>
              <w:end w:w="90" w:type="dxa"/>
            </w:tcMar>
            <w:vAlign w:val="top"/>
          </w:tcPr>
          <w:p>
            <w:r>
              <w:rPr>
                <w:sz w:val="18"/>
              </w:rPr>
              <w:t>Persist normalized records</w:t>
            </w:r>
          </w:p>
        </w:tc>
        <w:tc>
          <w:tcPr>
            <w:tcW w:type="dxa" w:w="5040"/>
            <w:tcMar>
              <w:top w:w="80" w:type="dxa"/>
              <w:start w:w="90" w:type="dxa"/>
              <w:bottom w:w="80" w:type="dxa"/>
              <w:end w:w="90" w:type="dxa"/>
            </w:tcMar>
            <w:vAlign w:val="top"/>
          </w:tcPr>
          <w:p>
            <w:r>
              <w:rPr>
                <w:sz w:val="18"/>
              </w:rPr>
              <w:t>Record import timestamp/source/result</w:t>
            </w:r>
          </w:p>
        </w:tc>
      </w:tr>
    </w:tbl>
    <w:p/>
    <w:p>
      <w:r>
        <w:t>The existing Python extraction implementation is a useful source of proven parsing and normalization behavior. That behavior should be captured in tests and reused conceptually. The new production solution should not depend on the old HTML-generation pipeline.</w:t>
      </w:r>
    </w:p>
    <w:p>
      <w:pPr>
        <w:pStyle w:val="Heading3"/>
      </w:pPr>
      <w:r>
        <w:t>6.6 Ingestion implementation direction</w:t>
      </w:r>
    </w:p>
    <w:p>
      <w:pPr>
        <w:pStyle w:val="ListBullet"/>
        <w:spacing w:after="40"/>
      </w:pPr>
      <w:r>
        <w:t>Feasibility spike: the existing Python extractor may be adapted temporarily to prove the normalized model and database schema.</w:t>
      </w:r>
    </w:p>
    <w:p>
      <w:pPr>
        <w:pStyle w:val="ListBullet"/>
        <w:spacing w:after="40"/>
      </w:pPr>
      <w:r>
        <w:t>Production target: port validated extraction/normalization rules to a dedicated .NET ingestion component if a single-stack deployment is preferred.</w:t>
      </w:r>
    </w:p>
    <w:p>
      <w:pPr>
        <w:pStyle w:val="ListBullet"/>
        <w:spacing w:after="40"/>
      </w:pPr>
      <w:r>
        <w:t>The final choice should be based on parity, maintainability and operational fit, not on preserving the old script for its own sake.</w:t>
      </w:r>
    </w:p>
    <w:p>
      <w:pPr>
        <w:pStyle w:val="Heading2"/>
      </w:pPr>
      <w:r>
        <w:t>6.7 SharePoint integration</w:t>
      </w:r>
    </w:p>
    <w:p>
      <w:r>
        <w:t>SharePoint automation is intentionally separated from dashboard modernization. Microsoft Graph can work with files in SharePoint document libraries, but unattended access requires an approved identity and permissions. Therefore the dashboard MVP should not be blocked if SharePoint application access is not yet approved.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D9EAF7"/>
            <w:tcMar>
              <w:top w:w="80" w:type="dxa"/>
              <w:start w:w="90" w:type="dxa"/>
              <w:bottom w:w="80" w:type="dxa"/>
              <w:end w:w="90" w:type="dxa"/>
            </w:tcMar>
          </w:tcPr>
          <w:p>
            <w:pPr>
              <w:jc w:val="center"/>
            </w:pPr>
            <w:r>
              <w:rPr>
                <w:b/>
                <w:color w:val="1F4E79"/>
                <w:sz w:val="18"/>
              </w:rPr>
              <w:t>Stage</w:t>
            </w:r>
          </w:p>
        </w:tc>
        <w:tc>
          <w:tcPr>
            <w:tcW w:type="dxa" w:w="8064"/>
            <w:shd w:fill="D9EAF7"/>
            <w:tcMar>
              <w:top w:w="80" w:type="dxa"/>
              <w:start w:w="90" w:type="dxa"/>
              <w:bottom w:w="80" w:type="dxa"/>
              <w:end w:w="90" w:type="dxa"/>
            </w:tcMar>
          </w:tcPr>
          <w:p>
            <w:pPr>
              <w:jc w:val="center"/>
            </w:pPr>
            <w:r>
              <w:rPr>
                <w:b/>
                <w:color w:val="1F4E79"/>
                <w:sz w:val="18"/>
              </w:rPr>
              <w:t>Source Handling</w:t>
            </w:r>
          </w:p>
        </w:tc>
      </w:tr>
      <w:tr>
        <w:tc>
          <w:tcPr>
            <w:tcW w:type="dxa" w:w="2016"/>
            <w:tcMar>
              <w:top w:w="80" w:type="dxa"/>
              <w:start w:w="90" w:type="dxa"/>
              <w:bottom w:w="80" w:type="dxa"/>
              <w:end w:w="90" w:type="dxa"/>
            </w:tcMar>
            <w:vAlign w:val="top"/>
          </w:tcPr>
          <w:p>
            <w:r>
              <w:rPr>
                <w:sz w:val="18"/>
              </w:rPr>
              <w:t>MVP</w:t>
            </w:r>
          </w:p>
        </w:tc>
        <w:tc>
          <w:tcPr>
            <w:tcW w:type="dxa" w:w="8064"/>
            <w:tcMar>
              <w:top w:w="80" w:type="dxa"/>
              <w:start w:w="90" w:type="dxa"/>
              <w:bottom w:w="80" w:type="dxa"/>
              <w:end w:w="90" w:type="dxa"/>
            </w:tcMar>
            <w:vAlign w:val="top"/>
          </w:tcPr>
          <w:p>
            <w:r>
              <w:rPr>
                <w:sz w:val="18"/>
              </w:rPr>
              <w:t>Controlled manual download or approved file drop.</w:t>
            </w:r>
          </w:p>
        </w:tc>
      </w:tr>
      <w:tr>
        <w:tc>
          <w:tcPr>
            <w:tcW w:type="dxa" w:w="2016"/>
            <w:tcMar>
              <w:top w:w="80" w:type="dxa"/>
              <w:start w:w="90" w:type="dxa"/>
              <w:bottom w:w="80" w:type="dxa"/>
              <w:end w:w="90" w:type="dxa"/>
            </w:tcMar>
            <w:vAlign w:val="top"/>
          </w:tcPr>
          <w:p>
            <w:r>
              <w:rPr>
                <w:sz w:val="18"/>
              </w:rPr>
              <w:t>Feasibility</w:t>
            </w:r>
          </w:p>
        </w:tc>
        <w:tc>
          <w:tcPr>
            <w:tcW w:type="dxa" w:w="8064"/>
            <w:tcMar>
              <w:top w:w="80" w:type="dxa"/>
              <w:start w:w="90" w:type="dxa"/>
              <w:bottom w:w="80" w:type="dxa"/>
              <w:end w:w="90" w:type="dxa"/>
            </w:tcMar>
            <w:vAlign w:val="top"/>
          </w:tcPr>
          <w:p>
            <w:r>
              <w:rPr>
                <w:sz w:val="18"/>
              </w:rPr>
              <w:t>Validate Microsoft Graph/SharePoint file retrieval, identity and least-privilege permissions.</w:t>
            </w:r>
          </w:p>
        </w:tc>
      </w:tr>
      <w:tr>
        <w:tc>
          <w:tcPr>
            <w:tcW w:type="dxa" w:w="2016"/>
            <w:tcMar>
              <w:top w:w="80" w:type="dxa"/>
              <w:start w:w="90" w:type="dxa"/>
              <w:bottom w:w="80" w:type="dxa"/>
              <w:end w:w="90" w:type="dxa"/>
            </w:tcMar>
            <w:vAlign w:val="top"/>
          </w:tcPr>
          <w:p>
            <w:r>
              <w:rPr>
                <w:sz w:val="18"/>
              </w:rPr>
              <w:t>Automation</w:t>
            </w:r>
          </w:p>
        </w:tc>
        <w:tc>
          <w:tcPr>
            <w:tcW w:type="dxa" w:w="8064"/>
            <w:tcMar>
              <w:top w:w="80" w:type="dxa"/>
              <w:start w:w="90" w:type="dxa"/>
              <w:bottom w:w="80" w:type="dxa"/>
              <w:end w:w="90" w:type="dxa"/>
            </w:tcMar>
            <w:vAlign w:val="top"/>
          </w:tcPr>
          <w:p>
            <w:r>
              <w:rPr>
                <w:sz w:val="18"/>
              </w:rPr>
              <w:t>Scheduled retrieval + ingestion + import audit after approval.</w:t>
            </w:r>
          </w:p>
        </w:tc>
      </w:tr>
    </w:tbl>
    <w:p/>
    <w:p>
      <w:pPr>
        <w:pStyle w:val="Heading2"/>
      </w:pPr>
      <w:r>
        <w:t>6.8 Authentication and authorization</w:t>
      </w:r>
    </w:p>
    <w:p>
      <w:pPr>
        <w:pStyle w:val="ListBullet"/>
        <w:spacing w:after="40"/>
      </w:pPr>
      <w:r>
        <w:t>Use IIS Windows Authentication / Active Directory identities where the internal environment supports it.</w:t>
      </w:r>
    </w:p>
    <w:p>
      <w:pPr>
        <w:pStyle w:val="ListBullet"/>
        <w:spacing w:after="40"/>
      </w:pPr>
      <w:r>
        <w:t>Define application roles/data scopes on the server.</w:t>
      </w:r>
    </w:p>
    <w:p>
      <w:pPr>
        <w:pStyle w:val="ListBullet"/>
        <w:spacing w:after="40"/>
      </w:pPr>
      <w:r>
        <w:t>Apply authorization filters before database results are returned.</w:t>
      </w:r>
    </w:p>
    <w:p>
      <w:pPr>
        <w:pStyle w:val="ListBullet"/>
        <w:spacing w:after="40"/>
      </w:pPr>
      <w:r>
        <w:t>Do not send restricted data to the browser and hide it using JavaScript.</w:t>
      </w:r>
    </w:p>
    <w:p>
      <w:pPr>
        <w:pStyle w:val="ListBullet"/>
        <w:spacing w:after="40"/>
      </w:pPr>
      <w:r>
        <w:t>Broader organizational sharing becomes possible only when server-side access rules are defined and enforced.</w:t>
      </w:r>
    </w:p>
    <w:p>
      <w:pPr>
        <w:pStyle w:val="Heading1"/>
      </w:pPr>
      <w:r>
        <w:t>7. Proposed Logical Data Model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D9EAF7"/>
            <w:tcMar>
              <w:top w:w="80" w:type="dxa"/>
              <w:start w:w="90" w:type="dxa"/>
              <w:bottom w:w="80" w:type="dxa"/>
              <w:end w:w="90" w:type="dxa"/>
            </w:tcMar>
          </w:tcPr>
          <w:p>
            <w:pPr>
              <w:jc w:val="center"/>
            </w:pPr>
            <w:r>
              <w:rPr>
                <w:b/>
                <w:color w:val="1F4E79"/>
                <w:sz w:val="18"/>
              </w:rPr>
              <w:t>Entity</w:t>
            </w:r>
          </w:p>
        </w:tc>
        <w:tc>
          <w:tcPr>
            <w:tcW w:type="dxa" w:w="7488"/>
            <w:shd w:fill="D9EAF7"/>
            <w:tcMar>
              <w:top w:w="80" w:type="dxa"/>
              <w:start w:w="90" w:type="dxa"/>
              <w:bottom w:w="80" w:type="dxa"/>
              <w:end w:w="90" w:type="dxa"/>
            </w:tcMar>
          </w:tcPr>
          <w:p>
            <w:pPr>
              <w:jc w:val="center"/>
            </w:pPr>
            <w:r>
              <w:rPr>
                <w:b/>
                <w:color w:val="1F4E79"/>
                <w:sz w:val="18"/>
              </w:rPr>
              <w:t>Purpose</w:t>
            </w:r>
          </w:p>
        </w:tc>
      </w:tr>
      <w:tr>
        <w:tc>
          <w:tcPr>
            <w:tcW w:type="dxa" w:w="2592"/>
            <w:tcMar>
              <w:top w:w="80" w:type="dxa"/>
              <w:start w:w="90" w:type="dxa"/>
              <w:bottom w:w="80" w:type="dxa"/>
              <w:end w:w="90" w:type="dxa"/>
            </w:tcMar>
            <w:vAlign w:val="top"/>
          </w:tcPr>
          <w:p>
            <w:r>
              <w:rPr>
                <w:sz w:val="18"/>
              </w:rPr>
              <w:t>Initiative</w:t>
            </w:r>
          </w:p>
        </w:tc>
        <w:tc>
          <w:tcPr>
            <w:tcW w:type="dxa" w:w="7488"/>
            <w:tcMar>
              <w:top w:w="80" w:type="dxa"/>
              <w:start w:w="90" w:type="dxa"/>
              <w:bottom w:w="80" w:type="dxa"/>
              <w:end w:w="90" w:type="dxa"/>
            </w:tcMar>
            <w:vAlign w:val="top"/>
          </w:tcPr>
          <w:p>
            <w:r>
              <w:rPr>
                <w:sz w:val="18"/>
              </w:rPr>
              <w:t>Defines the six tracked rollout initiatives and display metadata.</w:t>
            </w:r>
          </w:p>
        </w:tc>
      </w:tr>
      <w:tr>
        <w:tc>
          <w:tcPr>
            <w:tcW w:type="dxa" w:w="2592"/>
            <w:tcMar>
              <w:top w:w="80" w:type="dxa"/>
              <w:start w:w="90" w:type="dxa"/>
              <w:bottom w:w="80" w:type="dxa"/>
              <w:end w:w="90" w:type="dxa"/>
            </w:tcMar>
            <w:vAlign w:val="top"/>
          </w:tcPr>
          <w:p>
            <w:r>
              <w:rPr>
                <w:sz w:val="18"/>
              </w:rPr>
              <w:t>RolloutRecord</w:t>
            </w:r>
          </w:p>
        </w:tc>
        <w:tc>
          <w:tcPr>
            <w:tcW w:type="dxa" w:w="7488"/>
            <w:tcMar>
              <w:top w:w="80" w:type="dxa"/>
              <w:start w:w="90" w:type="dxa"/>
              <w:bottom w:w="80" w:type="dxa"/>
              <w:end w:w="90" w:type="dxa"/>
            </w:tcMar>
            <w:vAlign w:val="top"/>
          </w:tcPr>
          <w:p>
            <w:r>
              <w:rPr>
                <w:sz w:val="18"/>
              </w:rPr>
              <w:t>Org, project, unit, team, PM, DR, approval and phase status/ETA data.</w:t>
            </w:r>
          </w:p>
        </w:tc>
      </w:tr>
      <w:tr>
        <w:tc>
          <w:tcPr>
            <w:tcW w:type="dxa" w:w="2592"/>
            <w:tcMar>
              <w:top w:w="80" w:type="dxa"/>
              <w:start w:w="90" w:type="dxa"/>
              <w:bottom w:w="80" w:type="dxa"/>
              <w:end w:w="90" w:type="dxa"/>
            </w:tcMar>
            <w:vAlign w:val="top"/>
          </w:tcPr>
          <w:p>
            <w:r>
              <w:rPr>
                <w:sz w:val="18"/>
              </w:rPr>
              <w:t>Metric</w:t>
            </w:r>
          </w:p>
        </w:tc>
        <w:tc>
          <w:tcPr>
            <w:tcW w:type="dxa" w:w="7488"/>
            <w:tcMar>
              <w:top w:w="80" w:type="dxa"/>
              <w:start w:w="90" w:type="dxa"/>
              <w:bottom w:w="80" w:type="dxa"/>
              <w:end w:w="90" w:type="dxa"/>
            </w:tcMar>
            <w:vAlign w:val="top"/>
          </w:tcPr>
          <w:p>
            <w:r>
              <w:rPr>
                <w:sz w:val="18"/>
              </w:rPr>
              <w:t>Metric name/category with Pre/Post GenAI values and explanation.</w:t>
            </w:r>
          </w:p>
        </w:tc>
      </w:tr>
      <w:tr>
        <w:tc>
          <w:tcPr>
            <w:tcW w:type="dxa" w:w="2592"/>
            <w:tcMar>
              <w:top w:w="80" w:type="dxa"/>
              <w:start w:w="90" w:type="dxa"/>
              <w:bottom w:w="80" w:type="dxa"/>
              <w:end w:w="90" w:type="dxa"/>
            </w:tcMar>
            <w:vAlign w:val="top"/>
          </w:tcPr>
          <w:p>
            <w:r>
              <w:rPr>
                <w:sz w:val="18"/>
              </w:rPr>
              <w:t>ImportBatch</w:t>
            </w:r>
          </w:p>
        </w:tc>
        <w:tc>
          <w:tcPr>
            <w:tcW w:type="dxa" w:w="7488"/>
            <w:tcMar>
              <w:top w:w="80" w:type="dxa"/>
              <w:start w:w="90" w:type="dxa"/>
              <w:bottom w:w="80" w:type="dxa"/>
              <w:end w:w="90" w:type="dxa"/>
            </w:tcMar>
            <w:vAlign w:val="top"/>
          </w:tcPr>
          <w:p>
            <w:r>
              <w:rPr>
                <w:sz w:val="18"/>
              </w:rPr>
              <w:t>Source file, import timestamp, status, row counts and validation result.</w:t>
            </w:r>
          </w:p>
        </w:tc>
      </w:tr>
      <w:tr>
        <w:tc>
          <w:tcPr>
            <w:tcW w:type="dxa" w:w="2592"/>
            <w:tcMar>
              <w:top w:w="80" w:type="dxa"/>
              <w:start w:w="90" w:type="dxa"/>
              <w:bottom w:w="80" w:type="dxa"/>
              <w:end w:w="90" w:type="dxa"/>
            </w:tcMar>
            <w:vAlign w:val="top"/>
          </w:tcPr>
          <w:p>
            <w:r>
              <w:rPr>
                <w:sz w:val="18"/>
              </w:rPr>
              <w:t>AccessScope (if required)</w:t>
            </w:r>
          </w:p>
        </w:tc>
        <w:tc>
          <w:tcPr>
            <w:tcW w:type="dxa" w:w="7488"/>
            <w:tcMar>
              <w:top w:w="80" w:type="dxa"/>
              <w:start w:w="90" w:type="dxa"/>
              <w:bottom w:w="80" w:type="dxa"/>
              <w:end w:w="90" w:type="dxa"/>
            </w:tcMar>
            <w:vAlign w:val="top"/>
          </w:tcPr>
          <w:p>
            <w:r>
              <w:rPr>
                <w:sz w:val="18"/>
              </w:rPr>
              <w:t>Maps users/groups/roles to allowed data scope.</w:t>
            </w:r>
          </w:p>
        </w:tc>
      </w:tr>
    </w:tbl>
    <w:p/>
    <w:p>
      <w:r>
        <w:t>The final physical schema should be determined during the technical plan. The key objective is normalized/queryable persistence, not a direct copy of the current JSON shape.</w:t>
      </w:r>
    </w:p>
    <w:p>
      <w:pPr>
        <w:pStyle w:val="Heading1"/>
      </w:pPr>
      <w:r>
        <w:t>8. Application Query and API Strategy</w:t>
      </w:r>
    </w:p>
    <w:p>
      <w:pPr>
        <w:pStyle w:val="ListBullet"/>
        <w:spacing w:after="40"/>
      </w:pPr>
      <w:r>
        <w:t>Overview endpoints return calculated summaries, not all row-level data.</w:t>
      </w:r>
    </w:p>
    <w:p>
      <w:pPr>
        <w:pStyle w:val="ListBullet"/>
        <w:spacing w:after="40"/>
      </w:pPr>
      <w:r>
        <w:t>Initiative endpoints accept server-side filters such as status, overdue, text search and page/page size.</w:t>
      </w:r>
    </w:p>
    <w:p>
      <w:pPr>
        <w:pStyle w:val="ListBullet"/>
        <w:spacing w:after="40"/>
      </w:pPr>
      <w:r>
        <w:t>Detail endpoints return metrics explanation, remarks and metric cards only when a row is opened.</w:t>
      </w:r>
    </w:p>
    <w:p>
      <w:pPr>
        <w:pStyle w:val="ListBullet"/>
        <w:spacing w:after="40"/>
      </w:pPr>
      <w:r>
        <w:t>Indexes are created for common filter/search columns after representative query profiling.</w:t>
      </w:r>
    </w:p>
    <w:p>
      <w:pPr>
        <w:pStyle w:val="ListBullet"/>
        <w:spacing w:after="40"/>
      </w:pPr>
      <w:r>
        <w:t>Business calculations that must exactly match the current approved behavior are covered by automated parity tests.</w:t>
      </w:r>
    </w:p>
    <w:p>
      <w:pPr>
        <w:pStyle w:val="Heading1"/>
      </w:pPr>
      <w:r>
        <w:t>9. Deployment and Operational Model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D9EAF7"/>
            <w:tcMar>
              <w:top w:w="80" w:type="dxa"/>
              <w:start w:w="90" w:type="dxa"/>
              <w:bottom w:w="80" w:type="dxa"/>
              <w:end w:w="90" w:type="dxa"/>
            </w:tcMar>
          </w:tcPr>
          <w:p>
            <w:pPr>
              <w:jc w:val="center"/>
            </w:pPr>
            <w:r>
              <w:rPr>
                <w:b/>
                <w:color w:val="1F4E79"/>
                <w:sz w:val="18"/>
              </w:rPr>
              <w:t>Concern</w:t>
            </w:r>
          </w:p>
        </w:tc>
        <w:tc>
          <w:tcPr>
            <w:tcW w:type="dxa" w:w="7776"/>
            <w:shd w:fill="D9EAF7"/>
            <w:tcMar>
              <w:top w:w="80" w:type="dxa"/>
              <w:start w:w="90" w:type="dxa"/>
              <w:bottom w:w="80" w:type="dxa"/>
              <w:end w:w="90" w:type="dxa"/>
            </w:tcMar>
          </w:tcPr>
          <w:p>
            <w:pPr>
              <w:jc w:val="center"/>
            </w:pPr>
            <w:r>
              <w:rPr>
                <w:b/>
                <w:color w:val="1F4E79"/>
                <w:sz w:val="18"/>
              </w:rPr>
              <w:t>Baseline Approach</w:t>
            </w:r>
          </w:p>
        </w:tc>
      </w:tr>
      <w:tr>
        <w:tc>
          <w:tcPr>
            <w:tcW w:type="dxa" w:w="2304"/>
            <w:tcMar>
              <w:top w:w="80" w:type="dxa"/>
              <w:start w:w="90" w:type="dxa"/>
              <w:bottom w:w="80" w:type="dxa"/>
              <w:end w:w="90" w:type="dxa"/>
            </w:tcMar>
            <w:vAlign w:val="top"/>
          </w:tcPr>
          <w:p>
            <w:r>
              <w:rPr>
                <w:sz w:val="18"/>
              </w:rPr>
              <w:t>Hosting</w:t>
            </w:r>
          </w:p>
        </w:tc>
        <w:tc>
          <w:tcPr>
            <w:tcW w:type="dxa" w:w="7776"/>
            <w:tcMar>
              <w:top w:w="80" w:type="dxa"/>
              <w:start w:w="90" w:type="dxa"/>
              <w:bottom w:w="80" w:type="dxa"/>
              <w:end w:w="90" w:type="dxa"/>
            </w:tcMar>
            <w:vAlign w:val="top"/>
          </w:tcPr>
          <w:p>
            <w:r>
              <w:rPr>
                <w:sz w:val="18"/>
              </w:rPr>
              <w:t>ASP.NET Core hosted through existing IIS; React static assets served with the application or approved internal web pattern.</w:t>
            </w:r>
          </w:p>
        </w:tc>
      </w:tr>
      <w:tr>
        <w:tc>
          <w:tcPr>
            <w:tcW w:type="dxa" w:w="2304"/>
            <w:tcMar>
              <w:top w:w="80" w:type="dxa"/>
              <w:start w:w="90" w:type="dxa"/>
              <w:bottom w:w="80" w:type="dxa"/>
              <w:end w:w="90" w:type="dxa"/>
            </w:tcMar>
            <w:vAlign w:val="top"/>
          </w:tcPr>
          <w:p>
            <w:r>
              <w:rPr>
                <w:sz w:val="18"/>
              </w:rPr>
              <w:t>Configuration</w:t>
            </w:r>
          </w:p>
        </w:tc>
        <w:tc>
          <w:tcPr>
            <w:tcW w:type="dxa" w:w="7776"/>
            <w:tcMar>
              <w:top w:w="80" w:type="dxa"/>
              <w:start w:w="90" w:type="dxa"/>
              <w:bottom w:w="80" w:type="dxa"/>
              <w:end w:w="90" w:type="dxa"/>
            </w:tcMar>
            <w:vAlign w:val="top"/>
          </w:tcPr>
          <w:p>
            <w:r>
              <w:rPr>
                <w:sz w:val="18"/>
              </w:rPr>
              <w:t>Environment-specific configuration outside source code; no credentials in repository.</w:t>
            </w:r>
          </w:p>
        </w:tc>
      </w:tr>
      <w:tr>
        <w:tc>
          <w:tcPr>
            <w:tcW w:type="dxa" w:w="2304"/>
            <w:tcMar>
              <w:top w:w="80" w:type="dxa"/>
              <w:start w:w="90" w:type="dxa"/>
              <w:bottom w:w="80" w:type="dxa"/>
              <w:end w:w="90" w:type="dxa"/>
            </w:tcMar>
            <w:vAlign w:val="top"/>
          </w:tcPr>
          <w:p>
            <w:r>
              <w:rPr>
                <w:sz w:val="18"/>
              </w:rPr>
              <w:t>Database</w:t>
            </w:r>
          </w:p>
        </w:tc>
        <w:tc>
          <w:tcPr>
            <w:tcW w:type="dxa" w:w="7776"/>
            <w:tcMar>
              <w:top w:w="80" w:type="dxa"/>
              <w:start w:w="90" w:type="dxa"/>
              <w:bottom w:w="80" w:type="dxa"/>
              <w:end w:w="90" w:type="dxa"/>
            </w:tcMar>
            <w:vAlign w:val="top"/>
          </w:tcPr>
          <w:p>
            <w:r>
              <w:rPr>
                <w:sz w:val="18"/>
              </w:rPr>
              <w:t>Protected local application-data folder for SQLite, or approved existing SQL Server.</w:t>
            </w:r>
          </w:p>
        </w:tc>
      </w:tr>
      <w:tr>
        <w:tc>
          <w:tcPr>
            <w:tcW w:type="dxa" w:w="2304"/>
            <w:tcMar>
              <w:top w:w="80" w:type="dxa"/>
              <w:start w:w="90" w:type="dxa"/>
              <w:bottom w:w="80" w:type="dxa"/>
              <w:end w:w="90" w:type="dxa"/>
            </w:tcMar>
            <w:vAlign w:val="top"/>
          </w:tcPr>
          <w:p>
            <w:r>
              <w:rPr>
                <w:sz w:val="18"/>
              </w:rPr>
              <w:t>Ingestion</w:t>
            </w:r>
          </w:p>
        </w:tc>
        <w:tc>
          <w:tcPr>
            <w:tcW w:type="dxa" w:w="7776"/>
            <w:tcMar>
              <w:top w:w="80" w:type="dxa"/>
              <w:start w:w="90" w:type="dxa"/>
              <w:bottom w:w="80" w:type="dxa"/>
              <w:end w:w="90" w:type="dxa"/>
            </w:tcMar>
            <w:vAlign w:val="top"/>
          </w:tcPr>
          <w:p>
            <w:r>
              <w:rPr>
                <w:sz w:val="18"/>
              </w:rPr>
              <w:t>Manual run first; scheduled task/worker only after import behavior is stable.</w:t>
            </w:r>
          </w:p>
        </w:tc>
      </w:tr>
      <w:tr>
        <w:tc>
          <w:tcPr>
            <w:tcW w:type="dxa" w:w="2304"/>
            <w:tcMar>
              <w:top w:w="80" w:type="dxa"/>
              <w:start w:w="90" w:type="dxa"/>
              <w:bottom w:w="80" w:type="dxa"/>
              <w:end w:w="90" w:type="dxa"/>
            </w:tcMar>
            <w:vAlign w:val="top"/>
          </w:tcPr>
          <w:p>
            <w:r>
              <w:rPr>
                <w:sz w:val="18"/>
              </w:rPr>
              <w:t>Logs</w:t>
            </w:r>
          </w:p>
        </w:tc>
        <w:tc>
          <w:tcPr>
            <w:tcW w:type="dxa" w:w="7776"/>
            <w:tcMar>
              <w:top w:w="80" w:type="dxa"/>
              <w:start w:w="90" w:type="dxa"/>
              <w:bottom w:w="80" w:type="dxa"/>
              <w:end w:w="90" w:type="dxa"/>
            </w:tcMar>
            <w:vAlign w:val="top"/>
          </w:tcPr>
          <w:p>
            <w:r>
              <w:rPr>
                <w:sz w:val="18"/>
              </w:rPr>
              <w:t>Application and ingestion logs written to approved internal location.</w:t>
            </w:r>
          </w:p>
        </w:tc>
      </w:tr>
      <w:tr>
        <w:tc>
          <w:tcPr>
            <w:tcW w:type="dxa" w:w="2304"/>
            <w:tcMar>
              <w:top w:w="80" w:type="dxa"/>
              <w:start w:w="90" w:type="dxa"/>
              <w:bottom w:w="80" w:type="dxa"/>
              <w:end w:w="90" w:type="dxa"/>
            </w:tcMar>
            <w:vAlign w:val="top"/>
          </w:tcPr>
          <w:p>
            <w:r>
              <w:rPr>
                <w:sz w:val="18"/>
              </w:rPr>
              <w:t>Backup</w:t>
            </w:r>
          </w:p>
        </w:tc>
        <w:tc>
          <w:tcPr>
            <w:tcW w:type="dxa" w:w="7776"/>
            <w:tcMar>
              <w:top w:w="80" w:type="dxa"/>
              <w:start w:w="90" w:type="dxa"/>
              <w:bottom w:w="80" w:type="dxa"/>
              <w:end w:w="90" w:type="dxa"/>
            </w:tcMar>
            <w:vAlign w:val="top"/>
          </w:tcPr>
          <w:p>
            <w:r>
              <w:rPr>
                <w:sz w:val="18"/>
              </w:rPr>
              <w:t>Backup/restore procedure for the active database and last-known-good import.</w:t>
            </w:r>
          </w:p>
        </w:tc>
      </w:tr>
      <w:tr>
        <w:tc>
          <w:tcPr>
            <w:tcW w:type="dxa" w:w="2304"/>
            <w:tcMar>
              <w:top w:w="80" w:type="dxa"/>
              <w:start w:w="90" w:type="dxa"/>
              <w:bottom w:w="80" w:type="dxa"/>
              <w:end w:w="90" w:type="dxa"/>
            </w:tcMar>
            <w:vAlign w:val="top"/>
          </w:tcPr>
          <w:p>
            <w:r>
              <w:rPr>
                <w:sz w:val="18"/>
              </w:rPr>
              <w:t>Deployment</w:t>
            </w:r>
          </w:p>
        </w:tc>
        <w:tc>
          <w:tcPr>
            <w:tcW w:type="dxa" w:w="7776"/>
            <w:tcMar>
              <w:top w:w="80" w:type="dxa"/>
              <w:start w:w="90" w:type="dxa"/>
              <w:bottom w:w="80" w:type="dxa"/>
              <w:end w:w="90" w:type="dxa"/>
            </w:tcMar>
            <w:vAlign w:val="top"/>
          </w:tcPr>
          <w:p>
            <w:r>
              <w:rPr>
                <w:sz w:val="18"/>
              </w:rPr>
              <w:t>Versioned application publish with documented rollback.</w:t>
            </w:r>
          </w:p>
        </w:tc>
      </w:tr>
      <w:tr>
        <w:tc>
          <w:tcPr>
            <w:tcW w:type="dxa" w:w="2304"/>
            <w:tcMar>
              <w:top w:w="80" w:type="dxa"/>
              <w:start w:w="90" w:type="dxa"/>
              <w:bottom w:w="80" w:type="dxa"/>
              <w:end w:w="90" w:type="dxa"/>
            </w:tcMar>
            <w:vAlign w:val="top"/>
          </w:tcPr>
          <w:p>
            <w:r>
              <w:rPr>
                <w:sz w:val="18"/>
              </w:rPr>
              <w:t>Monitoring</w:t>
            </w:r>
          </w:p>
        </w:tc>
        <w:tc>
          <w:tcPr>
            <w:tcW w:type="dxa" w:w="7776"/>
            <w:tcMar>
              <w:top w:w="80" w:type="dxa"/>
              <w:start w:w="90" w:type="dxa"/>
              <w:bottom w:w="80" w:type="dxa"/>
              <w:end w:w="90" w:type="dxa"/>
            </w:tcMar>
            <w:vAlign w:val="top"/>
          </w:tcPr>
          <w:p>
            <w:r>
              <w:rPr>
                <w:sz w:val="18"/>
              </w:rPr>
              <w:t>Basic health endpoint/log checks initially; use existing enterprise monitoring if available.</w:t>
            </w:r>
          </w:p>
        </w:tc>
      </w:tr>
    </w:tbl>
    <w:p/>
    <w:p>
      <w:pPr>
        <w:pStyle w:val="Heading1"/>
      </w:pPr>
      <w:r>
        <w:t>10. Migration Strategy</w:t>
      </w:r>
    </w:p>
    <w:p>
      <w:pPr>
        <w:pStyle w:val="ListNumber"/>
        <w:spacing w:after="60"/>
      </w:pPr>
      <w:r>
        <w:t>Freeze the current dashboard as the reference implementation for business behavior.</w:t>
      </w:r>
    </w:p>
    <w:p>
      <w:pPr>
        <w:pStyle w:val="ListNumber"/>
        <w:spacing w:after="60"/>
      </w:pPr>
      <w:r>
        <w:t>Capture representative Excel files and expected dashboard results as parity test data.</w:t>
      </w:r>
    </w:p>
    <w:p>
      <w:pPr>
        <w:pStyle w:val="ListNumber"/>
        <w:spacing w:after="60"/>
      </w:pPr>
      <w:r>
        <w:t>Build the new application in parallel under a separate path/environment.</w:t>
      </w:r>
    </w:p>
    <w:p>
      <w:pPr>
        <w:pStyle w:val="ListNumber"/>
        <w:spacing w:after="60"/>
      </w:pPr>
      <w:r>
        <w:t>Import the same source data into the new persistence model.</w:t>
      </w:r>
    </w:p>
    <w:p>
      <w:pPr>
        <w:pStyle w:val="ListNumber"/>
        <w:spacing w:after="60"/>
      </w:pPr>
      <w:r>
        <w:t>Compare team counts, phase calculations, overdue results, metrics, filters and details between old and new.</w:t>
      </w:r>
    </w:p>
    <w:p>
      <w:pPr>
        <w:pStyle w:val="ListNumber"/>
        <w:spacing w:after="60"/>
      </w:pPr>
      <w:r>
        <w:t>Resolve calculation discrepancies against approved business rules, not by blindly copying old presentation code.</w:t>
      </w:r>
    </w:p>
    <w:p>
      <w:pPr>
        <w:pStyle w:val="ListNumber"/>
        <w:spacing w:after="60"/>
      </w:pPr>
      <w:r>
        <w:t>Run both versions in parallel until acceptance criteria are met.</w:t>
      </w:r>
    </w:p>
    <w:p>
      <w:pPr>
        <w:pStyle w:val="ListNumber"/>
        <w:spacing w:after="60"/>
      </w:pPr>
      <w:r>
        <w:t>Switch users to the modern dashboard while retaining the old dashboard briefly as rollback.</w:t>
      </w:r>
    </w:p>
    <w:p>
      <w:pPr>
        <w:pStyle w:val="ListNumber"/>
        <w:spacing w:after="60"/>
      </w:pPr>
      <w:r>
        <w:t>Retire static HTML generation after the cutover window.</w:t>
      </w:r>
    </w:p>
    <w:p>
      <w:pPr>
        <w:pStyle w:val="Heading1"/>
      </w:pPr>
      <w:r>
        <w:t>11. Work Required Before SDD / Spec Kit</w:t>
      </w:r>
    </w:p>
    <w:p>
      <w:r>
        <w:t>SDD should start after the problem, constraints and feasible architecture are understood. The purpose of pre-SDD work is not to write the implementation spec; it is to remove environment and architecture uncertainty so the specification and plan are grounded.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152"/>
            <w:shd w:fill="D9EAF7"/>
            <w:tcMar>
              <w:top w:w="80" w:type="dxa"/>
              <w:start w:w="90" w:type="dxa"/>
              <w:bottom w:w="80" w:type="dxa"/>
              <w:end w:w="90" w:type="dxa"/>
            </w:tcMar>
          </w:tcPr>
          <w:p>
            <w:pPr>
              <w:jc w:val="center"/>
            </w:pPr>
            <w:r>
              <w:rPr>
                <w:b/>
                <w:color w:val="1F4E79"/>
                <w:sz w:val="18"/>
              </w:rPr>
              <w:t>Phase</w:t>
            </w:r>
          </w:p>
        </w:tc>
        <w:tc>
          <w:tcPr>
            <w:tcW w:type="dxa" w:w="4752"/>
            <w:shd w:fill="D9EAF7"/>
            <w:tcMar>
              <w:top w:w="80" w:type="dxa"/>
              <w:start w:w="90" w:type="dxa"/>
              <w:bottom w:w="80" w:type="dxa"/>
              <w:end w:w="90" w:type="dxa"/>
            </w:tcMar>
          </w:tcPr>
          <w:p>
            <w:pPr>
              <w:jc w:val="center"/>
            </w:pPr>
            <w:r>
              <w:rPr>
                <w:b/>
                <w:color w:val="1F4E79"/>
                <w:sz w:val="18"/>
              </w:rPr>
              <w:t>Activity</w:t>
            </w:r>
          </w:p>
        </w:tc>
        <w:tc>
          <w:tcPr>
            <w:tcW w:type="dxa" w:w="4176"/>
            <w:shd w:fill="D9EAF7"/>
            <w:tcMar>
              <w:top w:w="80" w:type="dxa"/>
              <w:start w:w="90" w:type="dxa"/>
              <w:bottom w:w="80" w:type="dxa"/>
              <w:end w:w="90" w:type="dxa"/>
            </w:tcMar>
          </w:tcPr>
          <w:p>
            <w:pPr>
              <w:jc w:val="center"/>
            </w:pPr>
            <w:r>
              <w:rPr>
                <w:b/>
                <w:color w:val="1F4E79"/>
                <w:sz w:val="18"/>
              </w:rPr>
              <w:t>Output</w:t>
            </w:r>
          </w:p>
        </w:tc>
      </w:tr>
      <w:tr>
        <w:tc>
          <w:tcPr>
            <w:tcW w:type="dxa" w:w="1152"/>
            <w:tcMar>
              <w:top w:w="80" w:type="dxa"/>
              <w:start w:w="90" w:type="dxa"/>
              <w:bottom w:w="80" w:type="dxa"/>
              <w:end w:w="90" w:type="dxa"/>
            </w:tcMar>
            <w:vAlign w:val="top"/>
          </w:tcPr>
          <w:p>
            <w:r>
              <w:rPr>
                <w:sz w:val="18"/>
              </w:rPr>
              <w:t>0</w:t>
            </w:r>
          </w:p>
        </w:tc>
        <w:tc>
          <w:tcPr>
            <w:tcW w:type="dxa" w:w="4752"/>
            <w:tcMar>
              <w:top w:w="80" w:type="dxa"/>
              <w:start w:w="90" w:type="dxa"/>
              <w:bottom w:w="80" w:type="dxa"/>
              <w:end w:w="90" w:type="dxa"/>
            </w:tcMar>
            <w:vAlign w:val="top"/>
          </w:tcPr>
          <w:p>
            <w:r>
              <w:rPr>
                <w:sz w:val="18"/>
              </w:rPr>
              <w:t>Current-state and business-rule baseline</w:t>
            </w:r>
          </w:p>
        </w:tc>
        <w:tc>
          <w:tcPr>
            <w:tcW w:type="dxa" w:w="4176"/>
            <w:tcMar>
              <w:top w:w="80" w:type="dxa"/>
              <w:start w:w="90" w:type="dxa"/>
              <w:bottom w:w="80" w:type="dxa"/>
              <w:end w:w="90" w:type="dxa"/>
            </w:tcMar>
            <w:vAlign w:val="top"/>
          </w:tcPr>
          <w:p>
            <w:r>
              <w:rPr>
                <w:sz w:val="18"/>
              </w:rPr>
              <w:t>Approved capability/rule inventory and parity data.</w:t>
            </w:r>
          </w:p>
        </w:tc>
      </w:tr>
      <w:tr>
        <w:tc>
          <w:tcPr>
            <w:tcW w:type="dxa" w:w="1152"/>
            <w:tcMar>
              <w:top w:w="80" w:type="dxa"/>
              <w:start w:w="90" w:type="dxa"/>
              <w:bottom w:w="80" w:type="dxa"/>
              <w:end w:w="90" w:type="dxa"/>
            </w:tcMar>
            <w:vAlign w:val="top"/>
          </w:tcPr>
          <w:p>
            <w:r>
              <w:rPr>
                <w:sz w:val="18"/>
              </w:rPr>
              <w:t>1</w:t>
            </w:r>
          </w:p>
        </w:tc>
        <w:tc>
          <w:tcPr>
            <w:tcW w:type="dxa" w:w="4752"/>
            <w:tcMar>
              <w:top w:w="80" w:type="dxa"/>
              <w:start w:w="90" w:type="dxa"/>
              <w:bottom w:w="80" w:type="dxa"/>
              <w:end w:w="90" w:type="dxa"/>
            </w:tcMar>
            <w:vAlign w:val="top"/>
          </w:tcPr>
          <w:p>
            <w:r>
              <w:rPr>
                <w:sz w:val="18"/>
              </w:rPr>
              <w:t>Infrastructure/security discovery</w:t>
            </w:r>
          </w:p>
        </w:tc>
        <w:tc>
          <w:tcPr>
            <w:tcW w:type="dxa" w:w="4176"/>
            <w:tcMar>
              <w:top w:w="80" w:type="dxa"/>
              <w:start w:w="90" w:type="dxa"/>
              <w:bottom w:w="80" w:type="dxa"/>
              <w:end w:w="90" w:type="dxa"/>
            </w:tcMar>
            <w:vAlign w:val="top"/>
          </w:tcPr>
          <w:p>
            <w:r>
              <w:rPr>
                <w:sz w:val="18"/>
              </w:rPr>
              <w:t>IIS, runtime, authentication, storage, DB, deployment and scheduling constraint matrix.</w:t>
            </w:r>
          </w:p>
        </w:tc>
      </w:tr>
      <w:tr>
        <w:tc>
          <w:tcPr>
            <w:tcW w:type="dxa" w:w="1152"/>
            <w:tcMar>
              <w:top w:w="80" w:type="dxa"/>
              <w:start w:w="90" w:type="dxa"/>
              <w:bottom w:w="80" w:type="dxa"/>
              <w:end w:w="90" w:type="dxa"/>
            </w:tcMar>
            <w:vAlign w:val="top"/>
          </w:tcPr>
          <w:p>
            <w:r>
              <w:rPr>
                <w:sz w:val="18"/>
              </w:rPr>
              <w:t>2</w:t>
            </w:r>
          </w:p>
        </w:tc>
        <w:tc>
          <w:tcPr>
            <w:tcW w:type="dxa" w:w="4752"/>
            <w:tcMar>
              <w:top w:w="80" w:type="dxa"/>
              <w:start w:w="90" w:type="dxa"/>
              <w:bottom w:w="80" w:type="dxa"/>
              <w:end w:w="90" w:type="dxa"/>
            </w:tcMar>
            <w:vAlign w:val="top"/>
          </w:tcPr>
          <w:p>
            <w:r>
              <w:rPr>
                <w:sz w:val="18"/>
              </w:rPr>
              <w:t>Feasibility spikes</w:t>
            </w:r>
          </w:p>
        </w:tc>
        <w:tc>
          <w:tcPr>
            <w:tcW w:type="dxa" w:w="4176"/>
            <w:tcMar>
              <w:top w:w="80" w:type="dxa"/>
              <w:start w:w="90" w:type="dxa"/>
              <w:bottom w:w="80" w:type="dxa"/>
              <w:end w:w="90" w:type="dxa"/>
            </w:tcMar>
            <w:vAlign w:val="top"/>
          </w:tcPr>
          <w:p>
            <w:r>
              <w:rPr>
                <w:sz w:val="18"/>
              </w:rPr>
              <w:t>Evidence for IIS hosting, Windows Auth, persistence, representative query performance, Excel ingestion and optional SharePoint retrieval.</w:t>
            </w:r>
          </w:p>
        </w:tc>
      </w:tr>
      <w:tr>
        <w:tc>
          <w:tcPr>
            <w:tcW w:type="dxa" w:w="1152"/>
            <w:tcMar>
              <w:top w:w="80" w:type="dxa"/>
              <w:start w:w="90" w:type="dxa"/>
              <w:bottom w:w="80" w:type="dxa"/>
              <w:end w:w="90" w:type="dxa"/>
            </w:tcMar>
            <w:vAlign w:val="top"/>
          </w:tcPr>
          <w:p>
            <w:r>
              <w:rPr>
                <w:sz w:val="18"/>
              </w:rPr>
              <w:t>Gate</w:t>
            </w:r>
          </w:p>
        </w:tc>
        <w:tc>
          <w:tcPr>
            <w:tcW w:type="dxa" w:w="4752"/>
            <w:tcMar>
              <w:top w:w="80" w:type="dxa"/>
              <w:start w:w="90" w:type="dxa"/>
              <w:bottom w:w="80" w:type="dxa"/>
              <w:end w:w="90" w:type="dxa"/>
            </w:tcMar>
            <w:vAlign w:val="top"/>
          </w:tcPr>
          <w:p>
            <w:r>
              <w:rPr>
                <w:sz w:val="18"/>
              </w:rPr>
              <w:t>Architecture decision</w:t>
            </w:r>
          </w:p>
        </w:tc>
        <w:tc>
          <w:tcPr>
            <w:tcW w:type="dxa" w:w="4176"/>
            <w:tcMar>
              <w:top w:w="80" w:type="dxa"/>
              <w:start w:w="90" w:type="dxa"/>
              <w:bottom w:w="80" w:type="dxa"/>
              <w:end w:w="90" w:type="dxa"/>
            </w:tcMar>
            <w:vAlign w:val="top"/>
          </w:tcPr>
          <w:p>
            <w:r>
              <w:rPr>
                <w:sz w:val="18"/>
              </w:rPr>
              <w:t>Architecture Decision Record (ADR) with baseline and fallbacks.</w:t>
            </w:r>
          </w:p>
        </w:tc>
      </w:tr>
      <w:tr>
        <w:tc>
          <w:tcPr>
            <w:tcW w:type="dxa" w:w="1152"/>
            <w:tcMar>
              <w:top w:w="80" w:type="dxa"/>
              <w:start w:w="90" w:type="dxa"/>
              <w:bottom w:w="80" w:type="dxa"/>
              <w:end w:w="90" w:type="dxa"/>
            </w:tcMar>
            <w:vAlign w:val="top"/>
          </w:tcPr>
          <w:p>
            <w:r>
              <w:rPr>
                <w:sz w:val="18"/>
              </w:rPr>
              <w:t>3</w:t>
            </w:r>
          </w:p>
        </w:tc>
        <w:tc>
          <w:tcPr>
            <w:tcW w:type="dxa" w:w="4752"/>
            <w:tcMar>
              <w:top w:w="80" w:type="dxa"/>
              <w:start w:w="90" w:type="dxa"/>
              <w:bottom w:w="80" w:type="dxa"/>
              <w:end w:w="90" w:type="dxa"/>
            </w:tcMar>
            <w:vAlign w:val="top"/>
          </w:tcPr>
          <w:p>
            <w:r>
              <w:rPr>
                <w:sz w:val="18"/>
              </w:rPr>
              <w:t>SDD initialization</w:t>
            </w:r>
          </w:p>
        </w:tc>
        <w:tc>
          <w:tcPr>
            <w:tcW w:type="dxa" w:w="4176"/>
            <w:tcMar>
              <w:top w:w="80" w:type="dxa"/>
              <w:start w:w="90" w:type="dxa"/>
              <w:bottom w:w="80" w:type="dxa"/>
              <w:end w:w="90" w:type="dxa"/>
            </w:tcMar>
            <w:vAlign w:val="top"/>
          </w:tcPr>
          <w:p>
            <w:r>
              <w:rPr>
                <w:sz w:val="18"/>
              </w:rPr>
              <w:t>Spec Kit project constitution and first feature specification.</w:t>
            </w:r>
          </w:p>
        </w:tc>
      </w:tr>
    </w:tbl>
    <w:p/>
    <w:p>
      <w:pPr>
        <w:pStyle w:val="Heading2"/>
      </w:pPr>
      <w:r>
        <w:t>11.1 Feasibility spikes</w:t>
      </w:r>
    </w:p>
    <w:p>
      <w:pPr>
        <w:pStyle w:val="ListBullet"/>
        <w:spacing w:after="40"/>
      </w:pPr>
      <w:r>
        <w:t>Host a minimal ASP.NET Core application on the target/representative IIS server.</w:t>
      </w:r>
    </w:p>
    <w:p>
      <w:pPr>
        <w:pStyle w:val="ListBullet"/>
        <w:spacing w:after="40"/>
      </w:pPr>
      <w:r>
        <w:t>Verify Windows Authentication and identity propagation.</w:t>
      </w:r>
    </w:p>
    <w:p>
      <w:pPr>
        <w:pStyle w:val="ListBullet"/>
        <w:spacing w:after="40"/>
      </w:pPr>
      <w:r>
        <w:t>Create/read/update a representative SQLite database on the server; if policy rejects SQLite, validate the existing SQL Server path.</w:t>
      </w:r>
    </w:p>
    <w:p>
      <w:pPr>
        <w:pStyle w:val="ListBullet"/>
        <w:spacing w:after="40"/>
      </w:pPr>
      <w:r>
        <w:t>Import representative Excel files into the proposed relational model and compare normalized results.</w:t>
      </w:r>
    </w:p>
    <w:p>
      <w:pPr>
        <w:pStyle w:val="ListBullet"/>
        <w:spacing w:after="40"/>
      </w:pPr>
      <w:r>
        <w:t>Run representative server-side filter/paging queries at realistic data volumes.</w:t>
      </w:r>
    </w:p>
    <w:p>
      <w:pPr>
        <w:pStyle w:val="ListBullet"/>
        <w:spacing w:after="40"/>
      </w:pPr>
      <w:r>
        <w:t>Validate SharePoint/Graph access separately if the necessary identity/permissions can be obtained without delaying the core modernization.</w:t>
      </w:r>
    </w:p>
    <w:p>
      <w:pPr>
        <w:pStyle w:val="Heading1"/>
      </w:pPr>
      <w:r>
        <w:t>12. SDD / GitHub Spec Kit Adoption</w:t>
      </w:r>
    </w:p>
    <w:p>
      <w:r>
        <w:t>After the architecture gate, implementation is driven through Spec-Driven Development. GitHub Spec Kit separates product intent from technical planning: the specification focuses on what is required and why, while the technical plan introduces the chosen stack and architecture.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D9EAF7"/>
            <w:tcMar>
              <w:top w:w="80" w:type="dxa"/>
              <w:start w:w="90" w:type="dxa"/>
              <w:bottom w:w="80" w:type="dxa"/>
              <w:end w:w="90" w:type="dxa"/>
            </w:tcMar>
          </w:tcPr>
          <w:p>
            <w:pPr>
              <w:jc w:val="center"/>
            </w:pPr>
            <w:r>
              <w:rPr>
                <w:b/>
                <w:color w:val="1F4E79"/>
                <w:sz w:val="18"/>
              </w:rPr>
              <w:t>Spec Kit Step</w:t>
            </w:r>
          </w:p>
        </w:tc>
        <w:tc>
          <w:tcPr>
            <w:tcW w:type="dxa" w:w="7200"/>
            <w:shd w:fill="D9EAF7"/>
            <w:tcMar>
              <w:top w:w="80" w:type="dxa"/>
              <w:start w:w="90" w:type="dxa"/>
              <w:bottom w:w="80" w:type="dxa"/>
              <w:end w:w="90" w:type="dxa"/>
            </w:tcMar>
          </w:tcPr>
          <w:p>
            <w:pPr>
              <w:jc w:val="center"/>
            </w:pPr>
            <w:r>
              <w:rPr>
                <w:b/>
                <w:color w:val="1F4E79"/>
                <w:sz w:val="18"/>
              </w:rPr>
              <w:t>Purpose in RLLOT Modernization</w:t>
            </w:r>
          </w:p>
        </w:tc>
      </w:tr>
      <w:tr>
        <w:tc>
          <w:tcPr>
            <w:tcW w:type="dxa" w:w="2880"/>
            <w:tcMar>
              <w:top w:w="80" w:type="dxa"/>
              <w:start w:w="90" w:type="dxa"/>
              <w:bottom w:w="80" w:type="dxa"/>
              <w:end w:w="90" w:type="dxa"/>
            </w:tcMar>
            <w:vAlign w:val="top"/>
          </w:tcPr>
          <w:p>
            <w:r>
              <w:rPr>
                <w:sz w:val="18"/>
              </w:rPr>
              <w:t>/speckit.constitution</w:t>
            </w:r>
          </w:p>
        </w:tc>
        <w:tc>
          <w:tcPr>
            <w:tcW w:type="dxa" w:w="7200"/>
            <w:tcMar>
              <w:top w:w="80" w:type="dxa"/>
              <w:start w:w="90" w:type="dxa"/>
              <w:bottom w:w="80" w:type="dxa"/>
              <w:end w:w="90" w:type="dxa"/>
            </w:tcMar>
            <w:vAlign w:val="top"/>
          </w:tcPr>
          <w:p>
            <w:r>
              <w:rPr>
                <w:sz w:val="18"/>
              </w:rPr>
              <w:t>Establish project-wide principles and non-negotiable engineering rules.</w:t>
            </w:r>
          </w:p>
        </w:tc>
      </w:tr>
      <w:tr>
        <w:tc>
          <w:tcPr>
            <w:tcW w:type="dxa" w:w="2880"/>
            <w:tcMar>
              <w:top w:w="80" w:type="dxa"/>
              <w:start w:w="90" w:type="dxa"/>
              <w:bottom w:w="80" w:type="dxa"/>
              <w:end w:w="90" w:type="dxa"/>
            </w:tcMar>
            <w:vAlign w:val="top"/>
          </w:tcPr>
          <w:p>
            <w:r>
              <w:rPr>
                <w:sz w:val="18"/>
              </w:rPr>
              <w:t>/speckit.specify</w:t>
            </w:r>
          </w:p>
        </w:tc>
        <w:tc>
          <w:tcPr>
            <w:tcW w:type="dxa" w:w="7200"/>
            <w:tcMar>
              <w:top w:w="80" w:type="dxa"/>
              <w:start w:w="90" w:type="dxa"/>
              <w:bottom w:w="80" w:type="dxa"/>
              <w:end w:w="90" w:type="dxa"/>
            </w:tcMar>
            <w:vAlign w:val="top"/>
          </w:tcPr>
          <w:p>
            <w:r>
              <w:rPr>
                <w:sz w:val="18"/>
              </w:rPr>
              <w:t>Describe feature behavior, users, outcomes and acceptance criteria without prematurely specifying technology.</w:t>
            </w:r>
          </w:p>
        </w:tc>
      </w:tr>
      <w:tr>
        <w:tc>
          <w:tcPr>
            <w:tcW w:type="dxa" w:w="2880"/>
            <w:tcMar>
              <w:top w:w="80" w:type="dxa"/>
              <w:start w:w="90" w:type="dxa"/>
              <w:bottom w:w="80" w:type="dxa"/>
              <w:end w:w="90" w:type="dxa"/>
            </w:tcMar>
            <w:vAlign w:val="top"/>
          </w:tcPr>
          <w:p>
            <w:r>
              <w:rPr>
                <w:sz w:val="18"/>
              </w:rPr>
              <w:t>/speckit.clarify</w:t>
            </w:r>
          </w:p>
        </w:tc>
        <w:tc>
          <w:tcPr>
            <w:tcW w:type="dxa" w:w="7200"/>
            <w:tcMar>
              <w:top w:w="80" w:type="dxa"/>
              <w:start w:w="90" w:type="dxa"/>
              <w:bottom w:w="80" w:type="dxa"/>
              <w:end w:w="90" w:type="dxa"/>
            </w:tcMar>
            <w:vAlign w:val="top"/>
          </w:tcPr>
          <w:p>
            <w:r>
              <w:rPr>
                <w:sz w:val="18"/>
              </w:rPr>
              <w:t>Resolve ambiguous business rules, access behavior, calculation edge cases and acceptance conditions.</w:t>
            </w:r>
          </w:p>
        </w:tc>
      </w:tr>
      <w:tr>
        <w:tc>
          <w:tcPr>
            <w:tcW w:type="dxa" w:w="2880"/>
            <w:tcMar>
              <w:top w:w="80" w:type="dxa"/>
              <w:start w:w="90" w:type="dxa"/>
              <w:bottom w:w="80" w:type="dxa"/>
              <w:end w:w="90" w:type="dxa"/>
            </w:tcMar>
            <w:vAlign w:val="top"/>
          </w:tcPr>
          <w:p>
            <w:r>
              <w:rPr>
                <w:sz w:val="18"/>
              </w:rPr>
              <w:t>/speckit.plan</w:t>
            </w:r>
          </w:p>
        </w:tc>
        <w:tc>
          <w:tcPr>
            <w:tcW w:type="dxa" w:w="7200"/>
            <w:tcMar>
              <w:top w:w="80" w:type="dxa"/>
              <w:start w:w="90" w:type="dxa"/>
              <w:bottom w:w="80" w:type="dxa"/>
              <w:end w:w="90" w:type="dxa"/>
            </w:tcMar>
            <w:vAlign w:val="top"/>
          </w:tcPr>
          <w:p>
            <w:r>
              <w:rPr>
                <w:sz w:val="18"/>
              </w:rPr>
              <w:t>Apply the validated architecture and technical decisions.</w:t>
            </w:r>
          </w:p>
        </w:tc>
      </w:tr>
      <w:tr>
        <w:tc>
          <w:tcPr>
            <w:tcW w:type="dxa" w:w="2880"/>
            <w:tcMar>
              <w:top w:w="80" w:type="dxa"/>
              <w:start w:w="90" w:type="dxa"/>
              <w:bottom w:w="80" w:type="dxa"/>
              <w:end w:w="90" w:type="dxa"/>
            </w:tcMar>
            <w:vAlign w:val="top"/>
          </w:tcPr>
          <w:p>
            <w:r>
              <w:rPr>
                <w:sz w:val="18"/>
              </w:rPr>
              <w:t>/speckit.checklist</w:t>
            </w:r>
          </w:p>
        </w:tc>
        <w:tc>
          <w:tcPr>
            <w:tcW w:type="dxa" w:w="7200"/>
            <w:tcMar>
              <w:top w:w="80" w:type="dxa"/>
              <w:start w:w="90" w:type="dxa"/>
              <w:bottom w:w="80" w:type="dxa"/>
              <w:end w:w="90" w:type="dxa"/>
            </w:tcMar>
            <w:vAlign w:val="top"/>
          </w:tcPr>
          <w:p>
            <w:r>
              <w:rPr>
                <w:sz w:val="18"/>
              </w:rPr>
              <w:t>Optional quality gate for completeness, security, parity and operability requirements.</w:t>
            </w:r>
          </w:p>
        </w:tc>
      </w:tr>
      <w:tr>
        <w:tc>
          <w:tcPr>
            <w:tcW w:type="dxa" w:w="2880"/>
            <w:tcMar>
              <w:top w:w="80" w:type="dxa"/>
              <w:start w:w="90" w:type="dxa"/>
              <w:bottom w:w="80" w:type="dxa"/>
              <w:end w:w="90" w:type="dxa"/>
            </w:tcMar>
            <w:vAlign w:val="top"/>
          </w:tcPr>
          <w:p>
            <w:r>
              <w:rPr>
                <w:sz w:val="18"/>
              </w:rPr>
              <w:t>/speckit.tasks</w:t>
            </w:r>
          </w:p>
        </w:tc>
        <w:tc>
          <w:tcPr>
            <w:tcW w:type="dxa" w:w="7200"/>
            <w:tcMar>
              <w:top w:w="80" w:type="dxa"/>
              <w:start w:w="90" w:type="dxa"/>
              <w:bottom w:w="80" w:type="dxa"/>
              <w:end w:w="90" w:type="dxa"/>
            </w:tcMar>
            <w:vAlign w:val="top"/>
          </w:tcPr>
          <w:p>
            <w:r>
              <w:rPr>
                <w:sz w:val="18"/>
              </w:rPr>
              <w:t>Create an actionable dependency-ordered implementation task list.</w:t>
            </w:r>
          </w:p>
        </w:tc>
      </w:tr>
      <w:tr>
        <w:tc>
          <w:tcPr>
            <w:tcW w:type="dxa" w:w="2880"/>
            <w:tcMar>
              <w:top w:w="80" w:type="dxa"/>
              <w:start w:w="90" w:type="dxa"/>
              <w:bottom w:w="80" w:type="dxa"/>
              <w:end w:w="90" w:type="dxa"/>
            </w:tcMar>
            <w:vAlign w:val="top"/>
          </w:tcPr>
          <w:p>
            <w:r>
              <w:rPr>
                <w:sz w:val="18"/>
              </w:rPr>
              <w:t>/speckit.analyze</w:t>
            </w:r>
          </w:p>
        </w:tc>
        <w:tc>
          <w:tcPr>
            <w:tcW w:type="dxa" w:w="7200"/>
            <w:tcMar>
              <w:top w:w="80" w:type="dxa"/>
              <w:start w:w="90" w:type="dxa"/>
              <w:bottom w:w="80" w:type="dxa"/>
              <w:end w:w="90" w:type="dxa"/>
            </w:tcMar>
            <w:vAlign w:val="top"/>
          </w:tcPr>
          <w:p>
            <w:r>
              <w:rPr>
                <w:sz w:val="18"/>
              </w:rPr>
              <w:t>Check spec/plan/tasks for gaps, conflicts and coverage before implementation.</w:t>
            </w:r>
          </w:p>
        </w:tc>
      </w:tr>
      <w:tr>
        <w:tc>
          <w:tcPr>
            <w:tcW w:type="dxa" w:w="2880"/>
            <w:tcMar>
              <w:top w:w="80" w:type="dxa"/>
              <w:start w:w="90" w:type="dxa"/>
              <w:bottom w:w="80" w:type="dxa"/>
              <w:end w:w="90" w:type="dxa"/>
            </w:tcMar>
            <w:vAlign w:val="top"/>
          </w:tcPr>
          <w:p>
            <w:r>
              <w:rPr>
                <w:sz w:val="18"/>
              </w:rPr>
              <w:t>/speckit.implement</w:t>
            </w:r>
          </w:p>
        </w:tc>
        <w:tc>
          <w:tcPr>
            <w:tcW w:type="dxa" w:w="7200"/>
            <w:tcMar>
              <w:top w:w="80" w:type="dxa"/>
              <w:start w:w="90" w:type="dxa"/>
              <w:bottom w:w="80" w:type="dxa"/>
              <w:end w:w="90" w:type="dxa"/>
            </w:tcMar>
            <w:vAlign w:val="top"/>
          </w:tcPr>
          <w:p>
            <w:r>
              <w:rPr>
                <w:sz w:val="18"/>
              </w:rPr>
              <w:t>Execute the implementation tasks.</w:t>
            </w:r>
          </w:p>
        </w:tc>
      </w:tr>
      <w:tr>
        <w:tc>
          <w:tcPr>
            <w:tcW w:type="dxa" w:w="2880"/>
            <w:tcMar>
              <w:top w:w="80" w:type="dxa"/>
              <w:start w:w="90" w:type="dxa"/>
              <w:bottom w:w="80" w:type="dxa"/>
              <w:end w:w="90" w:type="dxa"/>
            </w:tcMar>
            <w:vAlign w:val="top"/>
          </w:tcPr>
          <w:p>
            <w:r>
              <w:rPr>
                <w:sz w:val="18"/>
              </w:rPr>
              <w:t>/speckit.converge</w:t>
            </w:r>
          </w:p>
        </w:tc>
        <w:tc>
          <w:tcPr>
            <w:tcW w:type="dxa" w:w="7200"/>
            <w:tcMar>
              <w:top w:w="80" w:type="dxa"/>
              <w:start w:w="90" w:type="dxa"/>
              <w:bottom w:w="80" w:type="dxa"/>
              <w:end w:w="90" w:type="dxa"/>
            </w:tcMar>
            <w:vAlign w:val="top"/>
          </w:tcPr>
          <w:p>
            <w:r>
              <w:rPr>
                <w:sz w:val="18"/>
              </w:rPr>
              <w:t>Verify the completed code against spec/plan/tasks and close remaining gaps.</w:t>
            </w:r>
          </w:p>
        </w:tc>
      </w:tr>
    </w:tbl>
    <w:p/>
    <w:p>
      <w:pPr>
        <w:pStyle w:val="Heading2"/>
      </w:pPr>
      <w:r>
        <w:t>12.1 Proposed constitution principles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D9EAF7"/>
            <w:tcMar>
              <w:top w:w="80" w:type="dxa"/>
              <w:start w:w="90" w:type="dxa"/>
              <w:bottom w:w="80" w:type="dxa"/>
              <w:end w:w="90" w:type="dxa"/>
            </w:tcMar>
          </w:tcPr>
          <w:p>
            <w:pPr>
              <w:jc w:val="center"/>
            </w:pPr>
            <w:r>
              <w:rPr>
                <w:b/>
                <w:color w:val="1F4E79"/>
                <w:sz w:val="18"/>
              </w:rPr>
              <w:t>Principle</w:t>
            </w:r>
          </w:p>
        </w:tc>
        <w:tc>
          <w:tcPr>
            <w:tcW w:type="dxa" w:w="6912"/>
            <w:shd w:fill="D9EAF7"/>
            <w:tcMar>
              <w:top w:w="80" w:type="dxa"/>
              <w:start w:w="90" w:type="dxa"/>
              <w:bottom w:w="80" w:type="dxa"/>
              <w:end w:w="90" w:type="dxa"/>
            </w:tcMar>
          </w:tcPr>
          <w:p>
            <w:pPr>
              <w:jc w:val="center"/>
            </w:pPr>
            <w:r>
              <w:rPr>
                <w:b/>
                <w:color w:val="1F4E79"/>
                <w:sz w:val="18"/>
              </w:rPr>
              <w:t>Rule</w:t>
            </w:r>
          </w:p>
        </w:tc>
      </w:tr>
      <w:tr>
        <w:tc>
          <w:tcPr>
            <w:tcW w:type="dxa" w:w="3168"/>
            <w:tcMar>
              <w:top w:w="80" w:type="dxa"/>
              <w:start w:w="90" w:type="dxa"/>
              <w:bottom w:w="80" w:type="dxa"/>
              <w:end w:w="90" w:type="dxa"/>
            </w:tcMar>
            <w:vAlign w:val="top"/>
          </w:tcPr>
          <w:p>
            <w:r>
              <w:rPr>
                <w:sz w:val="18"/>
              </w:rPr>
              <w:t>Zero Incremental Cost</w:t>
            </w:r>
          </w:p>
        </w:tc>
        <w:tc>
          <w:tcPr>
            <w:tcW w:type="dxa" w:w="6912"/>
            <w:tcMar>
              <w:top w:w="80" w:type="dxa"/>
              <w:start w:w="90" w:type="dxa"/>
              <w:bottom w:w="80" w:type="dxa"/>
              <w:end w:w="90" w:type="dxa"/>
            </w:tcMar>
            <w:vAlign w:val="top"/>
          </w:tcPr>
          <w:p>
            <w:r>
              <w:rPr>
                <w:sz w:val="18"/>
              </w:rPr>
              <w:t>The first production baseline must reuse approved existing infrastructure wherever feasible.</w:t>
            </w:r>
          </w:p>
        </w:tc>
      </w:tr>
      <w:tr>
        <w:tc>
          <w:tcPr>
            <w:tcW w:type="dxa" w:w="3168"/>
            <w:tcMar>
              <w:top w:w="80" w:type="dxa"/>
              <w:start w:w="90" w:type="dxa"/>
              <w:bottom w:w="80" w:type="dxa"/>
              <w:end w:w="90" w:type="dxa"/>
            </w:tcMar>
            <w:vAlign w:val="top"/>
          </w:tcPr>
          <w:p>
            <w:r>
              <w:rPr>
                <w:sz w:val="18"/>
              </w:rPr>
              <w:t>Dynamic Data Access</w:t>
            </w:r>
          </w:p>
        </w:tc>
        <w:tc>
          <w:tcPr>
            <w:tcW w:type="dxa" w:w="6912"/>
            <w:tcMar>
              <w:top w:w="80" w:type="dxa"/>
              <w:start w:w="90" w:type="dxa"/>
              <w:bottom w:w="80" w:type="dxa"/>
              <w:end w:w="90" w:type="dxa"/>
            </w:tcMar>
            <w:vAlign w:val="top"/>
          </w:tcPr>
          <w:p>
            <w:r>
              <w:rPr>
                <w:sz w:val="18"/>
              </w:rPr>
              <w:t>The browser must not receive the full historical dataset when only a subset is required.</w:t>
            </w:r>
          </w:p>
        </w:tc>
      </w:tr>
      <w:tr>
        <w:tc>
          <w:tcPr>
            <w:tcW w:type="dxa" w:w="3168"/>
            <w:tcMar>
              <w:top w:w="80" w:type="dxa"/>
              <w:start w:w="90" w:type="dxa"/>
              <w:bottom w:w="80" w:type="dxa"/>
              <w:end w:w="90" w:type="dxa"/>
            </w:tcMar>
            <w:vAlign w:val="top"/>
          </w:tcPr>
          <w:p>
            <w:r>
              <w:rPr>
                <w:sz w:val="18"/>
              </w:rPr>
              <w:t>Server-Side Security</w:t>
            </w:r>
          </w:p>
        </w:tc>
        <w:tc>
          <w:tcPr>
            <w:tcW w:type="dxa" w:w="6912"/>
            <w:tcMar>
              <w:top w:w="80" w:type="dxa"/>
              <w:start w:w="90" w:type="dxa"/>
              <w:bottom w:w="80" w:type="dxa"/>
              <w:end w:w="90" w:type="dxa"/>
            </w:tcMar>
            <w:vAlign w:val="top"/>
          </w:tcPr>
          <w:p>
            <w:r>
              <w:rPr>
                <w:sz w:val="18"/>
              </w:rPr>
              <w:t>UI filtering must never be treated as authorization.</w:t>
            </w:r>
          </w:p>
        </w:tc>
      </w:tr>
      <w:tr>
        <w:tc>
          <w:tcPr>
            <w:tcW w:type="dxa" w:w="3168"/>
            <w:tcMar>
              <w:top w:w="80" w:type="dxa"/>
              <w:start w:w="90" w:type="dxa"/>
              <w:bottom w:w="80" w:type="dxa"/>
              <w:end w:w="90" w:type="dxa"/>
            </w:tcMar>
            <w:vAlign w:val="top"/>
          </w:tcPr>
          <w:p>
            <w:r>
              <w:rPr>
                <w:sz w:val="18"/>
              </w:rPr>
              <w:t>Business Rule Preservation</w:t>
            </w:r>
          </w:p>
        </w:tc>
        <w:tc>
          <w:tcPr>
            <w:tcW w:type="dxa" w:w="6912"/>
            <w:tcMar>
              <w:top w:w="80" w:type="dxa"/>
              <w:start w:w="90" w:type="dxa"/>
              <w:bottom w:w="80" w:type="dxa"/>
              <w:end w:w="90" w:type="dxa"/>
            </w:tcMar>
            <w:vAlign w:val="top"/>
          </w:tcPr>
          <w:p>
            <w:r>
              <w:rPr>
                <w:sz w:val="18"/>
              </w:rPr>
              <w:t>Approved calculations and normalization rules remain equivalent unless explicitly changed.</w:t>
            </w:r>
          </w:p>
        </w:tc>
      </w:tr>
      <w:tr>
        <w:tc>
          <w:tcPr>
            <w:tcW w:type="dxa" w:w="3168"/>
            <w:tcMar>
              <w:top w:w="80" w:type="dxa"/>
              <w:start w:w="90" w:type="dxa"/>
              <w:bottom w:w="80" w:type="dxa"/>
              <w:end w:w="90" w:type="dxa"/>
            </w:tcMar>
            <w:vAlign w:val="top"/>
          </w:tcPr>
          <w:p>
            <w:r>
              <w:rPr>
                <w:sz w:val="18"/>
              </w:rPr>
              <w:t>Separation of Concerns</w:t>
            </w:r>
          </w:p>
        </w:tc>
        <w:tc>
          <w:tcPr>
            <w:tcW w:type="dxa" w:w="6912"/>
            <w:tcMar>
              <w:top w:w="80" w:type="dxa"/>
              <w:start w:w="90" w:type="dxa"/>
              <w:bottom w:w="80" w:type="dxa"/>
              <w:end w:w="90" w:type="dxa"/>
            </w:tcMar>
            <w:vAlign w:val="top"/>
          </w:tcPr>
          <w:p>
            <w:r>
              <w:rPr>
                <w:sz w:val="18"/>
              </w:rPr>
              <w:t>Ingestion, persistence, application/domain logic and UI remain independent.</w:t>
            </w:r>
          </w:p>
        </w:tc>
      </w:tr>
      <w:tr>
        <w:tc>
          <w:tcPr>
            <w:tcW w:type="dxa" w:w="3168"/>
            <w:tcMar>
              <w:top w:w="80" w:type="dxa"/>
              <w:start w:w="90" w:type="dxa"/>
              <w:bottom w:w="80" w:type="dxa"/>
              <w:end w:w="90" w:type="dxa"/>
            </w:tcMar>
            <w:vAlign w:val="top"/>
          </w:tcPr>
          <w:p>
            <w:r>
              <w:rPr>
                <w:sz w:val="18"/>
              </w:rPr>
              <w:t>Testable Business Logic</w:t>
            </w:r>
          </w:p>
        </w:tc>
        <w:tc>
          <w:tcPr>
            <w:tcW w:type="dxa" w:w="6912"/>
            <w:tcMar>
              <w:top w:w="80" w:type="dxa"/>
              <w:start w:w="90" w:type="dxa"/>
              <w:bottom w:w="80" w:type="dxa"/>
              <w:end w:w="90" w:type="dxa"/>
            </w:tcMar>
            <w:vAlign w:val="top"/>
          </w:tcPr>
          <w:p>
            <w:r>
              <w:rPr>
                <w:sz w:val="18"/>
              </w:rPr>
              <w:t>Normalization and metric calculations require automated tests against approved examples.</w:t>
            </w:r>
          </w:p>
        </w:tc>
      </w:tr>
      <w:tr>
        <w:tc>
          <w:tcPr>
            <w:tcW w:type="dxa" w:w="3168"/>
            <w:tcMar>
              <w:top w:w="80" w:type="dxa"/>
              <w:start w:w="90" w:type="dxa"/>
              <w:bottom w:w="80" w:type="dxa"/>
              <w:end w:w="90" w:type="dxa"/>
            </w:tcMar>
            <w:vAlign w:val="top"/>
          </w:tcPr>
          <w:p>
            <w:r>
              <w:rPr>
                <w:sz w:val="18"/>
              </w:rPr>
              <w:t>Incremental Delivery</w:t>
            </w:r>
          </w:p>
        </w:tc>
        <w:tc>
          <w:tcPr>
            <w:tcW w:type="dxa" w:w="6912"/>
            <w:tcMar>
              <w:top w:w="80" w:type="dxa"/>
              <w:start w:w="90" w:type="dxa"/>
              <w:bottom w:w="80" w:type="dxa"/>
              <w:end w:w="90" w:type="dxa"/>
            </w:tcMar>
            <w:vAlign w:val="top"/>
          </w:tcPr>
          <w:p>
            <w:r>
              <w:rPr>
                <w:sz w:val="18"/>
              </w:rPr>
              <w:t>Modernization is delivered and validated in bounded features.</w:t>
            </w:r>
          </w:p>
        </w:tc>
      </w:tr>
      <w:tr>
        <w:tc>
          <w:tcPr>
            <w:tcW w:type="dxa" w:w="3168"/>
            <w:tcMar>
              <w:top w:w="80" w:type="dxa"/>
              <w:start w:w="90" w:type="dxa"/>
              <w:bottom w:w="80" w:type="dxa"/>
              <w:end w:w="90" w:type="dxa"/>
            </w:tcMar>
            <w:vAlign w:val="top"/>
          </w:tcPr>
          <w:p>
            <w:r>
              <w:rPr>
                <w:sz w:val="18"/>
              </w:rPr>
              <w:t>Operational Safety</w:t>
            </w:r>
          </w:p>
        </w:tc>
        <w:tc>
          <w:tcPr>
            <w:tcW w:type="dxa" w:w="6912"/>
            <w:tcMar>
              <w:top w:w="80" w:type="dxa"/>
              <w:start w:w="90" w:type="dxa"/>
              <w:bottom w:w="80" w:type="dxa"/>
              <w:end w:w="90" w:type="dxa"/>
            </w:tcMar>
            <w:vAlign w:val="top"/>
          </w:tcPr>
          <w:p>
            <w:r>
              <w:rPr>
                <w:sz w:val="18"/>
              </w:rPr>
              <w:t>Invalid imports must not replace the last-known-good data.</w:t>
            </w:r>
          </w:p>
        </w:tc>
      </w:tr>
    </w:tbl>
    <w:p/>
    <w:p>
      <w:pPr>
        <w:pStyle w:val="Heading2"/>
      </w:pPr>
      <w:r>
        <w:t>12.2 What belongs in /speckit.specify</w:t>
      </w:r>
    </w:p>
    <w:p>
      <w:pPr>
        <w:pStyle w:val="ListBullet"/>
        <w:spacing w:after="40"/>
      </w:pPr>
      <w:r>
        <w:t>Who uses the dashboard and what they need to accomplish.</w:t>
      </w:r>
    </w:p>
    <w:p>
      <w:pPr>
        <w:pStyle w:val="ListBullet"/>
        <w:spacing w:after="40"/>
      </w:pPr>
      <w:r>
        <w:t>Overview, initiative, team-status, overdue, metrics and detail behaviors.</w:t>
      </w:r>
    </w:p>
    <w:p>
      <w:pPr>
        <w:pStyle w:val="ListBullet"/>
        <w:spacing w:after="40"/>
      </w:pPr>
      <w:r>
        <w:t>Search/filter/paging expectations.</w:t>
      </w:r>
    </w:p>
    <w:p>
      <w:pPr>
        <w:pStyle w:val="ListBullet"/>
        <w:spacing w:after="40"/>
      </w:pPr>
      <w:r>
        <w:t>Data-access and authorization outcomes.</w:t>
      </w:r>
    </w:p>
    <w:p>
      <w:pPr>
        <w:pStyle w:val="ListBullet"/>
        <w:spacing w:after="40"/>
      </w:pPr>
      <w:r>
        <w:t>Business-rule parity requirements.</w:t>
      </w:r>
    </w:p>
    <w:p>
      <w:pPr>
        <w:pStyle w:val="ListBullet"/>
        <w:spacing w:after="40"/>
      </w:pPr>
      <w:r>
        <w:t>Zero-additional-cost constraint as a requirement.</w:t>
      </w:r>
    </w:p>
    <w:p>
      <w:pPr>
        <w:pStyle w:val="ListBullet"/>
        <w:spacing w:after="40"/>
      </w:pPr>
      <w:r>
        <w:t>Acceptance criteria and measurable outcomes.</w:t>
      </w:r>
    </w:p>
    <w:p>
      <w:r>
        <w:t>Example technology-neutral specification intent:</w:t>
      </w:r>
    </w:p>
    <w:tbl>
      <w:tblPr>
        <w:tblStyle w:val="TableGrid"/>
        <w:tblW w:type="auto" w:w="0"/>
        <w:tblLook w:firstColumn="1" w:firstRow="1" w:lastColumn="0" w:lastRow="0" w:noHBand="0" w:noVBand="1" w:val="04A0"/>
      </w:tblPr>
      <w:tblGrid>
        <w:gridCol w:w="10166"/>
      </w:tblGrid>
      <w:tr>
        <w:tc>
          <w:tcPr>
            <w:tcW w:type="dxa" w:w="10166"/>
            <w:shd w:fill="D9EAF7"/>
            <w:tcMar>
              <w:top w:w="120" w:type="dxa"/>
              <w:start w:w="140" w:type="dxa"/>
              <w:bottom w:w="120" w:type="dxa"/>
              <w:end w:w="140" w:type="dxa"/>
            </w:tcMar>
          </w:tcPr>
          <w:p>
            <w:r>
              <w:rPr>
                <w:b/>
                <w:color w:val="1F4E79"/>
                <w:sz w:val="22"/>
              </w:rPr>
              <w:t>Example</w:t>
              <w:br/>
            </w:r>
            <w:r>
              <w:rPr>
                <w:sz w:val="20"/>
              </w:rPr>
              <w:t>Build an internal Production Rollout Dashboard that allows authorized users to monitor GenAI SDLC rollout progress across six initiatives. Users must be able to view overview and initiative progress, team-level status, overdue items, approved metrics and details. Users must be able to search and filter rollout information without loading the complete historical dataset into the browser. The solution must preserve approved rollout calculations and only return information the user is authorized to access. The first implementation must introduce no additional infrastructure/service cost.</w:t>
            </w:r>
          </w:p>
        </w:tc>
      </w:tr>
    </w:tbl>
    <w:p/>
    <w:p>
      <w:pPr>
        <w:pStyle w:val="Heading2"/>
      </w:pPr>
      <w:r>
        <w:t>12.3 What belongs in /speckit.plan</w:t>
      </w:r>
    </w:p>
    <w:p>
      <w:pPr>
        <w:pStyle w:val="ListBullet"/>
        <w:spacing w:after="40"/>
      </w:pPr>
      <w:r>
        <w:t>React application structure.</w:t>
      </w:r>
    </w:p>
    <w:p>
      <w:pPr>
        <w:pStyle w:val="ListBullet"/>
        <w:spacing w:after="40"/>
      </w:pPr>
      <w:r>
        <w:t>ASP.NET Core application/API boundaries.</w:t>
      </w:r>
    </w:p>
    <w:p>
      <w:pPr>
        <w:pStyle w:val="ListBullet"/>
        <w:spacing w:after="40"/>
      </w:pPr>
      <w:r>
        <w:t>IIS hosting and Windows Authentication configuration.</w:t>
      </w:r>
    </w:p>
    <w:p>
      <w:pPr>
        <w:pStyle w:val="ListBullet"/>
        <w:spacing w:after="40"/>
      </w:pPr>
      <w:r>
        <w:t>SQLite or approved existing SQL Server.</w:t>
      </w:r>
    </w:p>
    <w:p>
      <w:pPr>
        <w:pStyle w:val="ListBullet"/>
        <w:spacing w:after="40"/>
      </w:pPr>
      <w:r>
        <w:t>EF Core schema and migration/data-access approach.</w:t>
      </w:r>
    </w:p>
    <w:p>
      <w:pPr>
        <w:pStyle w:val="ListBullet"/>
        <w:spacing w:after="40"/>
      </w:pPr>
      <w:r>
        <w:t>Ingestion implementation and import transaction strategy.</w:t>
      </w:r>
    </w:p>
    <w:p>
      <w:pPr>
        <w:pStyle w:val="ListBullet"/>
        <w:spacing w:after="40"/>
      </w:pPr>
      <w:r>
        <w:t>SharePoint integration approach when approved.</w:t>
      </w:r>
    </w:p>
    <w:p>
      <w:pPr>
        <w:pStyle w:val="ListBullet"/>
        <w:spacing w:after="40"/>
      </w:pPr>
      <w:r>
        <w:t>Logging, backup, deployment and rollback.</w:t>
      </w:r>
    </w:p>
    <w:p>
      <w:pPr>
        <w:pStyle w:val="ListBullet"/>
        <w:spacing w:after="40"/>
      </w:pPr>
      <w:r>
        <w:t>Performance strategy for server-side filters, paging and aggregates.</w:t>
      </w:r>
    </w:p>
    <w:p>
      <w:pPr>
        <w:pStyle w:val="Heading1"/>
      </w:pPr>
      <w:r>
        <w:t>13. Feature Decomposition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shd w:fill="D9EAF7"/>
            <w:tcMar>
              <w:top w:w="80" w:type="dxa"/>
              <w:start w:w="90" w:type="dxa"/>
              <w:bottom w:w="80" w:type="dxa"/>
              <w:end w:w="90" w:type="dxa"/>
            </w:tcMar>
          </w:tcPr>
          <w:p>
            <w:pPr>
              <w:jc w:val="center"/>
            </w:pPr>
            <w:r>
              <w:rPr>
                <w:b/>
                <w:color w:val="1F4E79"/>
                <w:sz w:val="18"/>
              </w:rPr>
              <w:t>Feature</w:t>
            </w:r>
          </w:p>
        </w:tc>
        <w:tc>
          <w:tcPr>
            <w:tcW w:type="dxa" w:w="6624"/>
            <w:shd w:fill="D9EAF7"/>
            <w:tcMar>
              <w:top w:w="80" w:type="dxa"/>
              <w:start w:w="90" w:type="dxa"/>
              <w:bottom w:w="80" w:type="dxa"/>
              <w:end w:w="90" w:type="dxa"/>
            </w:tcMar>
          </w:tcPr>
          <w:p>
            <w:pPr>
              <w:jc w:val="center"/>
            </w:pPr>
            <w:r>
              <w:rPr>
                <w:b/>
                <w:color w:val="1F4E79"/>
                <w:sz w:val="18"/>
              </w:rPr>
              <w:t>Scope</w:t>
            </w:r>
          </w:p>
        </w:tc>
      </w:tr>
      <w:tr>
        <w:tc>
          <w:tcPr>
            <w:tcW w:type="dxa" w:w="3456"/>
            <w:tcMar>
              <w:top w:w="80" w:type="dxa"/>
              <w:start w:w="90" w:type="dxa"/>
              <w:bottom w:w="80" w:type="dxa"/>
              <w:end w:w="90" w:type="dxa"/>
            </w:tcMar>
            <w:vAlign w:val="top"/>
          </w:tcPr>
          <w:p>
            <w:r>
              <w:rPr>
                <w:sz w:val="18"/>
              </w:rPr>
              <w:t>001 - Application Foundation</w:t>
            </w:r>
          </w:p>
        </w:tc>
        <w:tc>
          <w:tcPr>
            <w:tcW w:type="dxa" w:w="6624"/>
            <w:tcMar>
              <w:top w:w="80" w:type="dxa"/>
              <w:start w:w="90" w:type="dxa"/>
              <w:bottom w:w="80" w:type="dxa"/>
              <w:end w:w="90" w:type="dxa"/>
            </w:tcMar>
            <w:vAlign w:val="top"/>
          </w:tcPr>
          <w:p>
            <w:r>
              <w:rPr>
                <w:sz w:val="18"/>
              </w:rPr>
              <w:t>New application shell, authenticated entry point, overview and six-initiative navigation.</w:t>
            </w:r>
          </w:p>
        </w:tc>
      </w:tr>
      <w:tr>
        <w:tc>
          <w:tcPr>
            <w:tcW w:type="dxa" w:w="3456"/>
            <w:tcMar>
              <w:top w:w="80" w:type="dxa"/>
              <w:start w:w="90" w:type="dxa"/>
              <w:bottom w:w="80" w:type="dxa"/>
              <w:end w:w="90" w:type="dxa"/>
            </w:tcMar>
            <w:vAlign w:val="top"/>
          </w:tcPr>
          <w:p>
            <w:r>
              <w:rPr>
                <w:sz w:val="18"/>
              </w:rPr>
              <w:t>002 - Rollout Data Exploration</w:t>
            </w:r>
          </w:p>
        </w:tc>
        <w:tc>
          <w:tcPr>
            <w:tcW w:type="dxa" w:w="6624"/>
            <w:tcMar>
              <w:top w:w="80" w:type="dxa"/>
              <w:start w:w="90" w:type="dxa"/>
              <w:bottom w:w="80" w:type="dxa"/>
              <w:end w:w="90" w:type="dxa"/>
            </w:tcMar>
            <w:vAlign w:val="top"/>
          </w:tcPr>
          <w:p>
            <w:r>
              <w:rPr>
                <w:sz w:val="18"/>
              </w:rPr>
              <w:t>Server-side filtering, search, paging and team detail retrieval.</w:t>
            </w:r>
          </w:p>
        </w:tc>
      </w:tr>
      <w:tr>
        <w:tc>
          <w:tcPr>
            <w:tcW w:type="dxa" w:w="3456"/>
            <w:tcMar>
              <w:top w:w="80" w:type="dxa"/>
              <w:start w:w="90" w:type="dxa"/>
              <w:bottom w:w="80" w:type="dxa"/>
              <w:end w:w="90" w:type="dxa"/>
            </w:tcMar>
            <w:vAlign w:val="top"/>
          </w:tcPr>
          <w:p>
            <w:r>
              <w:rPr>
                <w:sz w:val="18"/>
              </w:rPr>
              <w:t>003 - Rollout Data Ingestion</w:t>
            </w:r>
          </w:p>
        </w:tc>
        <w:tc>
          <w:tcPr>
            <w:tcW w:type="dxa" w:w="6624"/>
            <w:tcMar>
              <w:top w:w="80" w:type="dxa"/>
              <w:start w:w="90" w:type="dxa"/>
              <w:bottom w:w="80" w:type="dxa"/>
              <w:end w:w="90" w:type="dxa"/>
            </w:tcMar>
            <w:vAlign w:val="top"/>
          </w:tcPr>
          <w:p>
            <w:r>
              <w:rPr>
                <w:sz w:val="18"/>
              </w:rPr>
              <w:t>Excel validation, normalization, persistence and import history.</w:t>
            </w:r>
          </w:p>
        </w:tc>
      </w:tr>
      <w:tr>
        <w:tc>
          <w:tcPr>
            <w:tcW w:type="dxa" w:w="3456"/>
            <w:tcMar>
              <w:top w:w="80" w:type="dxa"/>
              <w:start w:w="90" w:type="dxa"/>
              <w:bottom w:w="80" w:type="dxa"/>
              <w:end w:w="90" w:type="dxa"/>
            </w:tcMar>
            <w:vAlign w:val="top"/>
          </w:tcPr>
          <w:p>
            <w:r>
              <w:rPr>
                <w:sz w:val="18"/>
              </w:rPr>
              <w:t>004 - Rollout Metrics and Progress</w:t>
            </w:r>
          </w:p>
        </w:tc>
        <w:tc>
          <w:tcPr>
            <w:tcW w:type="dxa" w:w="6624"/>
            <w:tcMar>
              <w:top w:w="80" w:type="dxa"/>
              <w:start w:w="90" w:type="dxa"/>
              <w:bottom w:w="80" w:type="dxa"/>
              <w:end w:w="90" w:type="dxa"/>
            </w:tcMar>
            <w:vAlign w:val="top"/>
          </w:tcPr>
          <w:p>
            <w:r>
              <w:rPr>
                <w:sz w:val="18"/>
              </w:rPr>
              <w:t>Phase completion, overall progress, overdue and approved metric calculations.</w:t>
            </w:r>
          </w:p>
        </w:tc>
      </w:tr>
      <w:tr>
        <w:tc>
          <w:tcPr>
            <w:tcW w:type="dxa" w:w="3456"/>
            <w:tcMar>
              <w:top w:w="80" w:type="dxa"/>
              <w:start w:w="90" w:type="dxa"/>
              <w:bottom w:w="80" w:type="dxa"/>
              <w:end w:w="90" w:type="dxa"/>
            </w:tcMar>
            <w:vAlign w:val="top"/>
          </w:tcPr>
          <w:p>
            <w:r>
              <w:rPr>
                <w:sz w:val="18"/>
              </w:rPr>
              <w:t>005 - Authentication and Authorization</w:t>
            </w:r>
          </w:p>
        </w:tc>
        <w:tc>
          <w:tcPr>
            <w:tcW w:type="dxa" w:w="6624"/>
            <w:tcMar>
              <w:top w:w="80" w:type="dxa"/>
              <w:start w:w="90" w:type="dxa"/>
              <w:bottom w:w="80" w:type="dxa"/>
              <w:end w:w="90" w:type="dxa"/>
            </w:tcMar>
            <w:vAlign w:val="top"/>
          </w:tcPr>
          <w:p>
            <w:r>
              <w:rPr>
                <w:sz w:val="18"/>
              </w:rPr>
              <w:t>Windows authentication and server-side data-access rules.</w:t>
            </w:r>
          </w:p>
        </w:tc>
      </w:tr>
      <w:tr>
        <w:tc>
          <w:tcPr>
            <w:tcW w:type="dxa" w:w="3456"/>
            <w:tcMar>
              <w:top w:w="80" w:type="dxa"/>
              <w:start w:w="90" w:type="dxa"/>
              <w:bottom w:w="80" w:type="dxa"/>
              <w:end w:w="90" w:type="dxa"/>
            </w:tcMar>
            <w:vAlign w:val="top"/>
          </w:tcPr>
          <w:p>
            <w:r>
              <w:rPr>
                <w:sz w:val="18"/>
              </w:rPr>
              <w:t>006 - SharePoint Integration</w:t>
            </w:r>
          </w:p>
        </w:tc>
        <w:tc>
          <w:tcPr>
            <w:tcW w:type="dxa" w:w="6624"/>
            <w:tcMar>
              <w:top w:w="80" w:type="dxa"/>
              <w:start w:w="90" w:type="dxa"/>
              <w:bottom w:w="80" w:type="dxa"/>
              <w:end w:w="90" w:type="dxa"/>
            </w:tcMar>
            <w:vAlign w:val="top"/>
          </w:tcPr>
          <w:p>
            <w:r>
              <w:rPr>
                <w:sz w:val="18"/>
              </w:rPr>
              <w:t>Approved automated file retrieval and scheduling.</w:t>
            </w:r>
          </w:p>
        </w:tc>
      </w:tr>
      <w:tr>
        <w:tc>
          <w:tcPr>
            <w:tcW w:type="dxa" w:w="3456"/>
            <w:tcMar>
              <w:top w:w="80" w:type="dxa"/>
              <w:start w:w="90" w:type="dxa"/>
              <w:bottom w:w="80" w:type="dxa"/>
              <w:end w:w="90" w:type="dxa"/>
            </w:tcMar>
            <w:vAlign w:val="top"/>
          </w:tcPr>
          <w:p>
            <w:r>
              <w:rPr>
                <w:sz w:val="18"/>
              </w:rPr>
              <w:t>007 - Production Readiness</w:t>
            </w:r>
          </w:p>
        </w:tc>
        <w:tc>
          <w:tcPr>
            <w:tcW w:type="dxa" w:w="6624"/>
            <w:tcMar>
              <w:top w:w="80" w:type="dxa"/>
              <w:start w:w="90" w:type="dxa"/>
              <w:bottom w:w="80" w:type="dxa"/>
              <w:end w:w="90" w:type="dxa"/>
            </w:tcMar>
            <w:vAlign w:val="top"/>
          </w:tcPr>
          <w:p>
            <w:r>
              <w:rPr>
                <w:sz w:val="18"/>
              </w:rPr>
              <w:t>Logging, backup, deployment, rollback, monitoring, performance and operational runbook.</w:t>
            </w:r>
          </w:p>
        </w:tc>
      </w:tr>
    </w:tbl>
    <w:p/>
    <w:p>
      <w:pPr>
        <w:pStyle w:val="Heading1"/>
      </w:pPr>
      <w:r>
        <w:t>14. Implementation Roadmap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shd w:fill="D9EAF7"/>
            <w:tcMar>
              <w:top w:w="80" w:type="dxa"/>
              <w:start w:w="90" w:type="dxa"/>
              <w:bottom w:w="80" w:type="dxa"/>
              <w:end w:w="90" w:type="dxa"/>
            </w:tcMar>
          </w:tcPr>
          <w:p>
            <w:pPr>
              <w:jc w:val="center"/>
            </w:pPr>
            <w:r>
              <w:rPr>
                <w:b/>
                <w:color w:val="1F4E79"/>
                <w:sz w:val="18"/>
              </w:rPr>
              <w:t>Stage</w:t>
            </w:r>
          </w:p>
        </w:tc>
        <w:tc>
          <w:tcPr>
            <w:tcW w:type="dxa" w:w="4896"/>
            <w:shd w:fill="D9EAF7"/>
            <w:tcMar>
              <w:top w:w="80" w:type="dxa"/>
              <w:start w:w="90" w:type="dxa"/>
              <w:bottom w:w="80" w:type="dxa"/>
              <w:end w:w="90" w:type="dxa"/>
            </w:tcMar>
          </w:tcPr>
          <w:p>
            <w:pPr>
              <w:jc w:val="center"/>
            </w:pPr>
            <w:r>
              <w:rPr>
                <w:b/>
                <w:color w:val="1F4E79"/>
                <w:sz w:val="18"/>
              </w:rPr>
              <w:t>Scope</w:t>
            </w:r>
          </w:p>
        </w:tc>
        <w:tc>
          <w:tcPr>
            <w:tcW w:type="dxa" w:w="2880"/>
            <w:shd w:fill="D9EAF7"/>
            <w:tcMar>
              <w:top w:w="80" w:type="dxa"/>
              <w:start w:w="90" w:type="dxa"/>
              <w:bottom w:w="80" w:type="dxa"/>
              <w:end w:w="90" w:type="dxa"/>
            </w:tcMar>
          </w:tcPr>
          <w:p>
            <w:pPr>
              <w:jc w:val="center"/>
            </w:pPr>
            <w:r>
              <w:rPr>
                <w:b/>
                <w:color w:val="1F4E79"/>
                <w:sz w:val="18"/>
              </w:rPr>
              <w:t>Exit Criteria</w:t>
            </w:r>
          </w:p>
        </w:tc>
      </w:tr>
      <w:tr>
        <w:tc>
          <w:tcPr>
            <w:tcW w:type="dxa" w:w="2592"/>
            <w:tcMar>
              <w:top w:w="80" w:type="dxa"/>
              <w:start w:w="90" w:type="dxa"/>
              <w:bottom w:w="80" w:type="dxa"/>
              <w:end w:w="90" w:type="dxa"/>
            </w:tcMar>
            <w:vAlign w:val="top"/>
          </w:tcPr>
          <w:p>
            <w:r>
              <w:rPr>
                <w:sz w:val="18"/>
              </w:rPr>
              <w:t>Stage 1 - Baseline</w:t>
            </w:r>
          </w:p>
        </w:tc>
        <w:tc>
          <w:tcPr>
            <w:tcW w:type="dxa" w:w="4896"/>
            <w:tcMar>
              <w:top w:w="80" w:type="dxa"/>
              <w:start w:w="90" w:type="dxa"/>
              <w:bottom w:w="80" w:type="dxa"/>
              <w:end w:w="90" w:type="dxa"/>
            </w:tcMar>
            <w:vAlign w:val="top"/>
          </w:tcPr>
          <w:p>
            <w:r>
              <w:rPr>
                <w:sz w:val="18"/>
              </w:rPr>
              <w:t>Confirm existing functionality, calculations, source data, users and missing documentation.</w:t>
            </w:r>
          </w:p>
        </w:tc>
        <w:tc>
          <w:tcPr>
            <w:tcW w:type="dxa" w:w="2880"/>
            <w:tcMar>
              <w:top w:w="80" w:type="dxa"/>
              <w:start w:w="90" w:type="dxa"/>
              <w:bottom w:w="80" w:type="dxa"/>
              <w:end w:w="90" w:type="dxa"/>
            </w:tcMar>
            <w:vAlign w:val="top"/>
          </w:tcPr>
          <w:p>
            <w:r>
              <w:rPr>
                <w:sz w:val="18"/>
              </w:rPr>
              <w:t>Functional baseline and parity dataset agreed.</w:t>
            </w:r>
          </w:p>
        </w:tc>
      </w:tr>
      <w:tr>
        <w:tc>
          <w:tcPr>
            <w:tcW w:type="dxa" w:w="2592"/>
            <w:tcMar>
              <w:top w:w="80" w:type="dxa"/>
              <w:start w:w="90" w:type="dxa"/>
              <w:bottom w:w="80" w:type="dxa"/>
              <w:end w:w="90" w:type="dxa"/>
            </w:tcMar>
            <w:vAlign w:val="top"/>
          </w:tcPr>
          <w:p>
            <w:r>
              <w:rPr>
                <w:sz w:val="18"/>
              </w:rPr>
              <w:t>Stage 2 - Environment Validation</w:t>
            </w:r>
          </w:p>
        </w:tc>
        <w:tc>
          <w:tcPr>
            <w:tcW w:type="dxa" w:w="4896"/>
            <w:tcMar>
              <w:top w:w="80" w:type="dxa"/>
              <w:start w:w="90" w:type="dxa"/>
              <w:bottom w:w="80" w:type="dxa"/>
              <w:end w:w="90" w:type="dxa"/>
            </w:tcMar>
            <w:vAlign w:val="top"/>
          </w:tcPr>
          <w:p>
            <w:r>
              <w:rPr>
                <w:sz w:val="18"/>
              </w:rPr>
              <w:t>IIS/.NET, authentication, persistence, permissions, deployment and scheduling checks.</w:t>
            </w:r>
          </w:p>
        </w:tc>
        <w:tc>
          <w:tcPr>
            <w:tcW w:type="dxa" w:w="2880"/>
            <w:tcMar>
              <w:top w:w="80" w:type="dxa"/>
              <w:start w:w="90" w:type="dxa"/>
              <w:bottom w:w="80" w:type="dxa"/>
              <w:end w:w="90" w:type="dxa"/>
            </w:tcMar>
            <w:vAlign w:val="top"/>
          </w:tcPr>
          <w:p>
            <w:r>
              <w:rPr>
                <w:sz w:val="18"/>
              </w:rPr>
              <w:t>Constraint matrix complete.</w:t>
            </w:r>
          </w:p>
        </w:tc>
      </w:tr>
      <w:tr>
        <w:tc>
          <w:tcPr>
            <w:tcW w:type="dxa" w:w="2592"/>
            <w:tcMar>
              <w:top w:w="80" w:type="dxa"/>
              <w:start w:w="90" w:type="dxa"/>
              <w:bottom w:w="80" w:type="dxa"/>
              <w:end w:w="90" w:type="dxa"/>
            </w:tcMar>
            <w:vAlign w:val="top"/>
          </w:tcPr>
          <w:p>
            <w:r>
              <w:rPr>
                <w:sz w:val="18"/>
              </w:rPr>
              <w:t>Stage 3 - Technical Spikes</w:t>
            </w:r>
          </w:p>
        </w:tc>
        <w:tc>
          <w:tcPr>
            <w:tcW w:type="dxa" w:w="4896"/>
            <w:tcMar>
              <w:top w:w="80" w:type="dxa"/>
              <w:start w:w="90" w:type="dxa"/>
              <w:bottom w:w="80" w:type="dxa"/>
              <w:end w:w="90" w:type="dxa"/>
            </w:tcMar>
            <w:vAlign w:val="top"/>
          </w:tcPr>
          <w:p>
            <w:r>
              <w:rPr>
                <w:sz w:val="18"/>
              </w:rPr>
              <w:t>Minimal IIS app, Windows Auth, DB, Excel import and representative queries.</w:t>
            </w:r>
          </w:p>
        </w:tc>
        <w:tc>
          <w:tcPr>
            <w:tcW w:type="dxa" w:w="2880"/>
            <w:tcMar>
              <w:top w:w="80" w:type="dxa"/>
              <w:start w:w="90" w:type="dxa"/>
              <w:bottom w:w="80" w:type="dxa"/>
              <w:end w:w="90" w:type="dxa"/>
            </w:tcMar>
            <w:vAlign w:val="top"/>
          </w:tcPr>
          <w:p>
            <w:r>
              <w:rPr>
                <w:sz w:val="18"/>
              </w:rPr>
              <w:t>Core architecture proven.</w:t>
            </w:r>
          </w:p>
        </w:tc>
      </w:tr>
      <w:tr>
        <w:tc>
          <w:tcPr>
            <w:tcW w:type="dxa" w:w="2592"/>
            <w:tcMar>
              <w:top w:w="80" w:type="dxa"/>
              <w:start w:w="90" w:type="dxa"/>
              <w:bottom w:w="80" w:type="dxa"/>
              <w:end w:w="90" w:type="dxa"/>
            </w:tcMar>
            <w:vAlign w:val="top"/>
          </w:tcPr>
          <w:p>
            <w:r>
              <w:rPr>
                <w:sz w:val="18"/>
              </w:rPr>
              <w:t>Stage 4 - Architecture Gate</w:t>
            </w:r>
          </w:p>
        </w:tc>
        <w:tc>
          <w:tcPr>
            <w:tcW w:type="dxa" w:w="4896"/>
            <w:tcMar>
              <w:top w:w="80" w:type="dxa"/>
              <w:start w:w="90" w:type="dxa"/>
              <w:bottom w:w="80" w:type="dxa"/>
              <w:end w:w="90" w:type="dxa"/>
            </w:tcMar>
            <w:vAlign w:val="top"/>
          </w:tcPr>
          <w:p>
            <w:r>
              <w:rPr>
                <w:sz w:val="18"/>
              </w:rPr>
              <w:t>Select SQLite vs existing SQL Server and Python-spike vs .NET production ingestion direction.</w:t>
            </w:r>
          </w:p>
        </w:tc>
        <w:tc>
          <w:tcPr>
            <w:tcW w:type="dxa" w:w="2880"/>
            <w:tcMar>
              <w:top w:w="80" w:type="dxa"/>
              <w:start w:w="90" w:type="dxa"/>
              <w:bottom w:w="80" w:type="dxa"/>
              <w:end w:w="90" w:type="dxa"/>
            </w:tcMar>
            <w:vAlign w:val="top"/>
          </w:tcPr>
          <w:p>
            <w:r>
              <w:rPr>
                <w:sz w:val="18"/>
              </w:rPr>
              <w:t>ADR approved.</w:t>
            </w:r>
          </w:p>
        </w:tc>
      </w:tr>
      <w:tr>
        <w:tc>
          <w:tcPr>
            <w:tcW w:type="dxa" w:w="2592"/>
            <w:tcMar>
              <w:top w:w="80" w:type="dxa"/>
              <w:start w:w="90" w:type="dxa"/>
              <w:bottom w:w="80" w:type="dxa"/>
              <w:end w:w="90" w:type="dxa"/>
            </w:tcMar>
            <w:vAlign w:val="top"/>
          </w:tcPr>
          <w:p>
            <w:r>
              <w:rPr>
                <w:sz w:val="18"/>
              </w:rPr>
              <w:t>Stage 5 - SDD Initialization</w:t>
            </w:r>
          </w:p>
        </w:tc>
        <w:tc>
          <w:tcPr>
            <w:tcW w:type="dxa" w:w="4896"/>
            <w:tcMar>
              <w:top w:w="80" w:type="dxa"/>
              <w:start w:w="90" w:type="dxa"/>
              <w:bottom w:w="80" w:type="dxa"/>
              <w:end w:w="90" w:type="dxa"/>
            </w:tcMar>
            <w:vAlign w:val="top"/>
          </w:tcPr>
          <w:p>
            <w:r>
              <w:rPr>
                <w:sz w:val="18"/>
              </w:rPr>
              <w:t>Create constitution and first bounded feature specification.</w:t>
            </w:r>
          </w:p>
        </w:tc>
        <w:tc>
          <w:tcPr>
            <w:tcW w:type="dxa" w:w="2880"/>
            <w:tcMar>
              <w:top w:w="80" w:type="dxa"/>
              <w:start w:w="90" w:type="dxa"/>
              <w:bottom w:w="80" w:type="dxa"/>
              <w:end w:w="90" w:type="dxa"/>
            </w:tcMar>
            <w:vAlign w:val="top"/>
          </w:tcPr>
          <w:p>
            <w:r>
              <w:rPr>
                <w:sz w:val="18"/>
              </w:rPr>
              <w:t>Spec Kit artifacts ready.</w:t>
            </w:r>
          </w:p>
        </w:tc>
      </w:tr>
      <w:tr>
        <w:tc>
          <w:tcPr>
            <w:tcW w:type="dxa" w:w="2592"/>
            <w:tcMar>
              <w:top w:w="80" w:type="dxa"/>
              <w:start w:w="90" w:type="dxa"/>
              <w:bottom w:w="80" w:type="dxa"/>
              <w:end w:w="90" w:type="dxa"/>
            </w:tcMar>
            <w:vAlign w:val="top"/>
          </w:tcPr>
          <w:p>
            <w:r>
              <w:rPr>
                <w:sz w:val="18"/>
              </w:rPr>
              <w:t>Stage 6 - Dynamic MVP</w:t>
            </w:r>
          </w:p>
        </w:tc>
        <w:tc>
          <w:tcPr>
            <w:tcW w:type="dxa" w:w="4896"/>
            <w:tcMar>
              <w:top w:w="80" w:type="dxa"/>
              <w:start w:w="90" w:type="dxa"/>
              <w:bottom w:w="80" w:type="dxa"/>
              <w:end w:w="90" w:type="dxa"/>
            </w:tcMar>
            <w:vAlign w:val="top"/>
          </w:tcPr>
          <w:p>
            <w:r>
              <w:rPr>
                <w:sz w:val="18"/>
              </w:rPr>
              <w:t>Read-only dynamic dashboard with parity for highest-value current capabilities.</w:t>
            </w:r>
          </w:p>
        </w:tc>
        <w:tc>
          <w:tcPr>
            <w:tcW w:type="dxa" w:w="2880"/>
            <w:tcMar>
              <w:top w:w="80" w:type="dxa"/>
              <w:start w:w="90" w:type="dxa"/>
              <w:bottom w:w="80" w:type="dxa"/>
              <w:end w:w="90" w:type="dxa"/>
            </w:tcMar>
            <w:vAlign w:val="top"/>
          </w:tcPr>
          <w:p>
            <w:r>
              <w:rPr>
                <w:sz w:val="18"/>
              </w:rPr>
              <w:t>MVP running in parallel.</w:t>
            </w:r>
          </w:p>
        </w:tc>
      </w:tr>
      <w:tr>
        <w:tc>
          <w:tcPr>
            <w:tcW w:type="dxa" w:w="2592"/>
            <w:tcMar>
              <w:top w:w="80" w:type="dxa"/>
              <w:start w:w="90" w:type="dxa"/>
              <w:bottom w:w="80" w:type="dxa"/>
              <w:end w:w="90" w:type="dxa"/>
            </w:tcMar>
            <w:vAlign w:val="top"/>
          </w:tcPr>
          <w:p>
            <w:r>
              <w:rPr>
                <w:sz w:val="18"/>
              </w:rPr>
              <w:t>Stage 7 - Data Automation</w:t>
            </w:r>
          </w:p>
        </w:tc>
        <w:tc>
          <w:tcPr>
            <w:tcW w:type="dxa" w:w="4896"/>
            <w:tcMar>
              <w:top w:w="80" w:type="dxa"/>
              <w:start w:w="90" w:type="dxa"/>
              <w:bottom w:w="80" w:type="dxa"/>
              <w:end w:w="90" w:type="dxa"/>
            </w:tcMar>
            <w:vAlign w:val="top"/>
          </w:tcPr>
          <w:p>
            <w:r>
              <w:rPr>
                <w:sz w:val="18"/>
              </w:rPr>
              <w:t>Automate source retrieval/import where approvals allow.</w:t>
            </w:r>
          </w:p>
        </w:tc>
        <w:tc>
          <w:tcPr>
            <w:tcW w:type="dxa" w:w="2880"/>
            <w:tcMar>
              <w:top w:w="80" w:type="dxa"/>
              <w:start w:w="90" w:type="dxa"/>
              <w:bottom w:w="80" w:type="dxa"/>
              <w:end w:w="90" w:type="dxa"/>
            </w:tcMar>
            <w:vAlign w:val="top"/>
          </w:tcPr>
          <w:p>
            <w:r>
              <w:rPr>
                <w:sz w:val="18"/>
              </w:rPr>
              <w:t>Scheduled reliable refresh.</w:t>
            </w:r>
          </w:p>
        </w:tc>
      </w:tr>
      <w:tr>
        <w:tc>
          <w:tcPr>
            <w:tcW w:type="dxa" w:w="2592"/>
            <w:tcMar>
              <w:top w:w="80" w:type="dxa"/>
              <w:start w:w="90" w:type="dxa"/>
              <w:bottom w:w="80" w:type="dxa"/>
              <w:end w:w="90" w:type="dxa"/>
            </w:tcMar>
            <w:vAlign w:val="top"/>
          </w:tcPr>
          <w:p>
            <w:r>
              <w:rPr>
                <w:sz w:val="18"/>
              </w:rPr>
              <w:t>Stage 8 - Access and Enhancements</w:t>
            </w:r>
          </w:p>
        </w:tc>
        <w:tc>
          <w:tcPr>
            <w:tcW w:type="dxa" w:w="4896"/>
            <w:tcMar>
              <w:top w:w="80" w:type="dxa"/>
              <w:start w:w="90" w:type="dxa"/>
              <w:bottom w:w="80" w:type="dxa"/>
              <w:end w:w="90" w:type="dxa"/>
            </w:tcMar>
            <w:vAlign w:val="top"/>
          </w:tcPr>
          <w:p>
            <w:r>
              <w:rPr>
                <w:sz w:val="18"/>
              </w:rPr>
              <w:t>Server-side scope rules and approved usability enhancements.</w:t>
            </w:r>
          </w:p>
        </w:tc>
        <w:tc>
          <w:tcPr>
            <w:tcW w:type="dxa" w:w="2880"/>
            <w:tcMar>
              <w:top w:w="80" w:type="dxa"/>
              <w:start w:w="90" w:type="dxa"/>
              <w:bottom w:w="80" w:type="dxa"/>
              <w:end w:w="90" w:type="dxa"/>
            </w:tcMar>
            <w:vAlign w:val="top"/>
          </w:tcPr>
          <w:p>
            <w:r>
              <w:rPr>
                <w:sz w:val="18"/>
              </w:rPr>
              <w:t>Required access model complete.</w:t>
            </w:r>
          </w:p>
        </w:tc>
      </w:tr>
      <w:tr>
        <w:tc>
          <w:tcPr>
            <w:tcW w:type="dxa" w:w="2592"/>
            <w:tcMar>
              <w:top w:w="80" w:type="dxa"/>
              <w:start w:w="90" w:type="dxa"/>
              <w:bottom w:w="80" w:type="dxa"/>
              <w:end w:w="90" w:type="dxa"/>
            </w:tcMar>
            <w:vAlign w:val="top"/>
          </w:tcPr>
          <w:p>
            <w:r>
              <w:rPr>
                <w:sz w:val="18"/>
              </w:rPr>
              <w:t>Stage 9 - Parallel Validation</w:t>
            </w:r>
          </w:p>
        </w:tc>
        <w:tc>
          <w:tcPr>
            <w:tcW w:type="dxa" w:w="4896"/>
            <w:tcMar>
              <w:top w:w="80" w:type="dxa"/>
              <w:start w:w="90" w:type="dxa"/>
              <w:bottom w:w="80" w:type="dxa"/>
              <w:end w:w="90" w:type="dxa"/>
            </w:tcMar>
            <w:vAlign w:val="top"/>
          </w:tcPr>
          <w:p>
            <w:r>
              <w:rPr>
                <w:sz w:val="18"/>
              </w:rPr>
              <w:t>Compare current and modern dashboards using same source data.</w:t>
            </w:r>
          </w:p>
        </w:tc>
        <w:tc>
          <w:tcPr>
            <w:tcW w:type="dxa" w:w="2880"/>
            <w:tcMar>
              <w:top w:w="80" w:type="dxa"/>
              <w:start w:w="90" w:type="dxa"/>
              <w:bottom w:w="80" w:type="dxa"/>
              <w:end w:w="90" w:type="dxa"/>
            </w:tcMar>
            <w:vAlign w:val="top"/>
          </w:tcPr>
          <w:p>
            <w:r>
              <w:rPr>
                <w:sz w:val="18"/>
              </w:rPr>
              <w:t>Parity/acceptance achieved.</w:t>
            </w:r>
          </w:p>
        </w:tc>
      </w:tr>
      <w:tr>
        <w:tc>
          <w:tcPr>
            <w:tcW w:type="dxa" w:w="2592"/>
            <w:tcMar>
              <w:top w:w="80" w:type="dxa"/>
              <w:start w:w="90" w:type="dxa"/>
              <w:bottom w:w="80" w:type="dxa"/>
              <w:end w:w="90" w:type="dxa"/>
            </w:tcMar>
            <w:vAlign w:val="top"/>
          </w:tcPr>
          <w:p>
            <w:r>
              <w:rPr>
                <w:sz w:val="18"/>
              </w:rPr>
              <w:t>Stage 10 - Cutover</w:t>
            </w:r>
          </w:p>
        </w:tc>
        <w:tc>
          <w:tcPr>
            <w:tcW w:type="dxa" w:w="4896"/>
            <w:tcMar>
              <w:top w:w="80" w:type="dxa"/>
              <w:start w:w="90" w:type="dxa"/>
              <w:bottom w:w="80" w:type="dxa"/>
              <w:end w:w="90" w:type="dxa"/>
            </w:tcMar>
            <w:vAlign w:val="top"/>
          </w:tcPr>
          <w:p>
            <w:r>
              <w:rPr>
                <w:sz w:val="18"/>
              </w:rPr>
              <w:t>Switch primary usage and retain rollback window.</w:t>
            </w:r>
          </w:p>
        </w:tc>
        <w:tc>
          <w:tcPr>
            <w:tcW w:type="dxa" w:w="2880"/>
            <w:tcMar>
              <w:top w:w="80" w:type="dxa"/>
              <w:start w:w="90" w:type="dxa"/>
              <w:bottom w:w="80" w:type="dxa"/>
              <w:end w:w="90" w:type="dxa"/>
            </w:tcMar>
            <w:vAlign w:val="top"/>
          </w:tcPr>
          <w:p>
            <w:r>
              <w:rPr>
                <w:sz w:val="18"/>
              </w:rPr>
              <w:t>Static HTML pipeline retired after stability period.</w:t>
            </w:r>
          </w:p>
        </w:tc>
      </w:tr>
    </w:tbl>
    <w:p/>
    <w:p>
      <w:pPr>
        <w:pStyle w:val="Heading1"/>
      </w:pPr>
      <w:r>
        <w:t>15. Architecture Decision Gates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D9EAF7"/>
            <w:tcMar>
              <w:top w:w="80" w:type="dxa"/>
              <w:start w:w="90" w:type="dxa"/>
              <w:bottom w:w="80" w:type="dxa"/>
              <w:end w:w="90" w:type="dxa"/>
            </w:tcMar>
          </w:tcPr>
          <w:p>
            <w:pPr>
              <w:jc w:val="center"/>
            </w:pPr>
            <w:r>
              <w:rPr>
                <w:b/>
                <w:color w:val="1F4E79"/>
                <w:sz w:val="18"/>
              </w:rPr>
              <w:t>Decision Gate</w:t>
            </w:r>
          </w:p>
        </w:tc>
        <w:tc>
          <w:tcPr>
            <w:tcW w:type="dxa" w:w="5184"/>
            <w:shd w:fill="D9EAF7"/>
            <w:tcMar>
              <w:top w:w="80" w:type="dxa"/>
              <w:start w:w="90" w:type="dxa"/>
              <w:bottom w:w="80" w:type="dxa"/>
              <w:end w:w="90" w:type="dxa"/>
            </w:tcMar>
          </w:tcPr>
          <w:p>
            <w:pPr>
              <w:jc w:val="center"/>
            </w:pPr>
            <w:r>
              <w:rPr>
                <w:b/>
                <w:color w:val="1F4E79"/>
                <w:sz w:val="18"/>
              </w:rPr>
              <w:t>Pass Condition</w:t>
            </w:r>
          </w:p>
        </w:tc>
        <w:tc>
          <w:tcPr>
            <w:tcW w:type="dxa" w:w="3456"/>
            <w:shd w:fill="D9EAF7"/>
            <w:tcMar>
              <w:top w:w="80" w:type="dxa"/>
              <w:start w:w="90" w:type="dxa"/>
              <w:bottom w:w="80" w:type="dxa"/>
              <w:end w:w="90" w:type="dxa"/>
            </w:tcMar>
          </w:tcPr>
          <w:p>
            <w:pPr>
              <w:jc w:val="center"/>
            </w:pPr>
            <w:r>
              <w:rPr>
                <w:b/>
                <w:color w:val="1F4E79"/>
                <w:sz w:val="18"/>
              </w:rPr>
              <w:t>Fallback</w:t>
            </w:r>
          </w:p>
        </w:tc>
      </w:tr>
      <w:tr>
        <w:tc>
          <w:tcPr>
            <w:tcW w:type="dxa" w:w="2160"/>
            <w:tcMar>
              <w:top w:w="80" w:type="dxa"/>
              <w:start w:w="90" w:type="dxa"/>
              <w:bottom w:w="80" w:type="dxa"/>
              <w:end w:w="90" w:type="dxa"/>
            </w:tcMar>
            <w:vAlign w:val="top"/>
          </w:tcPr>
          <w:p>
            <w:r>
              <w:rPr>
                <w:sz w:val="18"/>
              </w:rPr>
              <w:t>IIS hosting</w:t>
            </w:r>
          </w:p>
        </w:tc>
        <w:tc>
          <w:tcPr>
            <w:tcW w:type="dxa" w:w="5184"/>
            <w:tcMar>
              <w:top w:w="80" w:type="dxa"/>
              <w:start w:w="90" w:type="dxa"/>
              <w:bottom w:w="80" w:type="dxa"/>
              <w:end w:w="90" w:type="dxa"/>
            </w:tcMar>
            <w:vAlign w:val="top"/>
          </w:tcPr>
          <w:p>
            <w:r>
              <w:rPr>
                <w:sz w:val="18"/>
              </w:rPr>
              <w:t>ASP.NET Core is supported on the existing server with an approved deployment route.</w:t>
            </w:r>
          </w:p>
        </w:tc>
        <w:tc>
          <w:tcPr>
            <w:tcW w:type="dxa" w:w="3456"/>
            <w:tcMar>
              <w:top w:w="80" w:type="dxa"/>
              <w:start w:w="90" w:type="dxa"/>
              <w:bottom w:w="80" w:type="dxa"/>
              <w:end w:w="90" w:type="dxa"/>
            </w:tcMar>
            <w:vAlign w:val="top"/>
          </w:tcPr>
          <w:p>
            <w:r>
              <w:rPr>
                <w:sz w:val="18"/>
              </w:rPr>
              <w:t>Use another already-approved internal host only if it remains zero incremental cost.</w:t>
            </w:r>
          </w:p>
        </w:tc>
      </w:tr>
      <w:tr>
        <w:tc>
          <w:tcPr>
            <w:tcW w:type="dxa" w:w="2160"/>
            <w:tcMar>
              <w:top w:w="80" w:type="dxa"/>
              <w:start w:w="90" w:type="dxa"/>
              <w:bottom w:w="80" w:type="dxa"/>
              <w:end w:w="90" w:type="dxa"/>
            </w:tcMar>
            <w:vAlign w:val="top"/>
          </w:tcPr>
          <w:p>
            <w:r>
              <w:rPr>
                <w:sz w:val="18"/>
              </w:rPr>
              <w:t>Authentication</w:t>
            </w:r>
          </w:p>
        </w:tc>
        <w:tc>
          <w:tcPr>
            <w:tcW w:type="dxa" w:w="5184"/>
            <w:tcMar>
              <w:top w:w="80" w:type="dxa"/>
              <w:start w:w="90" w:type="dxa"/>
              <w:bottom w:w="80" w:type="dxa"/>
              <w:end w:w="90" w:type="dxa"/>
            </w:tcMar>
            <w:vAlign w:val="top"/>
          </w:tcPr>
          <w:p>
            <w:r>
              <w:rPr>
                <w:sz w:val="18"/>
              </w:rPr>
              <w:t>Windows Authentication/AD works for intended users.</w:t>
            </w:r>
          </w:p>
        </w:tc>
        <w:tc>
          <w:tcPr>
            <w:tcW w:type="dxa" w:w="3456"/>
            <w:tcMar>
              <w:top w:w="80" w:type="dxa"/>
              <w:start w:w="90" w:type="dxa"/>
              <w:bottom w:w="80" w:type="dxa"/>
              <w:end w:w="90" w:type="dxa"/>
            </w:tcMar>
            <w:vAlign w:val="top"/>
          </w:tcPr>
          <w:p>
            <w:r>
              <w:rPr>
                <w:sz w:val="18"/>
              </w:rPr>
              <w:t>Use another approved corporate identity mechanism; do not build a custom credential store.</w:t>
            </w:r>
          </w:p>
        </w:tc>
      </w:tr>
      <w:tr>
        <w:tc>
          <w:tcPr>
            <w:tcW w:type="dxa" w:w="2160"/>
            <w:tcMar>
              <w:top w:w="80" w:type="dxa"/>
              <w:start w:w="90" w:type="dxa"/>
              <w:bottom w:w="80" w:type="dxa"/>
              <w:end w:w="90" w:type="dxa"/>
            </w:tcMar>
            <w:vAlign w:val="top"/>
          </w:tcPr>
          <w:p>
            <w:r>
              <w:rPr>
                <w:sz w:val="18"/>
              </w:rPr>
              <w:t>Persistence</w:t>
            </w:r>
          </w:p>
        </w:tc>
        <w:tc>
          <w:tcPr>
            <w:tcW w:type="dxa" w:w="5184"/>
            <w:tcMar>
              <w:top w:w="80" w:type="dxa"/>
              <w:start w:w="90" w:type="dxa"/>
              <w:bottom w:w="80" w:type="dxa"/>
              <w:end w:w="90" w:type="dxa"/>
            </w:tcMar>
            <w:vAlign w:val="top"/>
          </w:tcPr>
          <w:p>
            <w:r>
              <w:rPr>
                <w:sz w:val="18"/>
              </w:rPr>
              <w:t>SQLite is accepted and performs for representative workload, or an existing SQL Server is available.</w:t>
            </w:r>
          </w:p>
        </w:tc>
        <w:tc>
          <w:tcPr>
            <w:tcW w:type="dxa" w:w="3456"/>
            <w:tcMar>
              <w:top w:w="80" w:type="dxa"/>
              <w:start w:w="90" w:type="dxa"/>
              <w:bottom w:w="80" w:type="dxa"/>
              <w:end w:w="90" w:type="dxa"/>
            </w:tcMar>
            <w:vAlign w:val="top"/>
          </w:tcPr>
          <w:p>
            <w:r>
              <w:rPr>
                <w:sz w:val="18"/>
              </w:rPr>
              <w:t>Select the approved option and capture the reason in the ADR.</w:t>
            </w:r>
          </w:p>
        </w:tc>
      </w:tr>
      <w:tr>
        <w:tc>
          <w:tcPr>
            <w:tcW w:type="dxa" w:w="2160"/>
            <w:tcMar>
              <w:top w:w="80" w:type="dxa"/>
              <w:start w:w="90" w:type="dxa"/>
              <w:bottom w:w="80" w:type="dxa"/>
              <w:end w:w="90" w:type="dxa"/>
            </w:tcMar>
            <w:vAlign w:val="top"/>
          </w:tcPr>
          <w:p>
            <w:r>
              <w:rPr>
                <w:sz w:val="18"/>
              </w:rPr>
              <w:t>Ingestion</w:t>
            </w:r>
          </w:p>
        </w:tc>
        <w:tc>
          <w:tcPr>
            <w:tcW w:type="dxa" w:w="5184"/>
            <w:tcMar>
              <w:top w:w="80" w:type="dxa"/>
              <w:start w:w="90" w:type="dxa"/>
              <w:bottom w:w="80" w:type="dxa"/>
              <w:end w:w="90" w:type="dxa"/>
            </w:tcMar>
            <w:vAlign w:val="top"/>
          </w:tcPr>
          <w:p>
            <w:r>
              <w:rPr>
                <w:sz w:val="18"/>
              </w:rPr>
              <w:t>Representative Excel imports reliably and normalized results match the approved baseline.</w:t>
            </w:r>
          </w:p>
        </w:tc>
        <w:tc>
          <w:tcPr>
            <w:tcW w:type="dxa" w:w="3456"/>
            <w:tcMar>
              <w:top w:w="80" w:type="dxa"/>
              <w:start w:w="90" w:type="dxa"/>
              <w:bottom w:w="80" w:type="dxa"/>
              <w:end w:w="90" w:type="dxa"/>
            </w:tcMar>
            <w:vAlign w:val="top"/>
          </w:tcPr>
          <w:p>
            <w:r>
              <w:rPr>
                <w:sz w:val="18"/>
              </w:rPr>
              <w:t>Keep manual source handoff while resolving ingestion; do not automate unreliable imports.</w:t>
            </w:r>
          </w:p>
        </w:tc>
      </w:tr>
      <w:tr>
        <w:tc>
          <w:tcPr>
            <w:tcW w:type="dxa" w:w="2160"/>
            <w:tcMar>
              <w:top w:w="80" w:type="dxa"/>
              <w:start w:w="90" w:type="dxa"/>
              <w:bottom w:w="80" w:type="dxa"/>
              <w:end w:w="90" w:type="dxa"/>
            </w:tcMar>
            <w:vAlign w:val="top"/>
          </w:tcPr>
          <w:p>
            <w:r>
              <w:rPr>
                <w:sz w:val="18"/>
              </w:rPr>
              <w:t>SharePoint</w:t>
            </w:r>
          </w:p>
        </w:tc>
        <w:tc>
          <w:tcPr>
            <w:tcW w:type="dxa" w:w="5184"/>
            <w:tcMar>
              <w:top w:w="80" w:type="dxa"/>
              <w:start w:w="90" w:type="dxa"/>
              <w:bottom w:w="80" w:type="dxa"/>
              <w:end w:w="90" w:type="dxa"/>
            </w:tcMar>
            <w:vAlign w:val="top"/>
          </w:tcPr>
          <w:p>
            <w:r>
              <w:rPr>
                <w:sz w:val="18"/>
              </w:rPr>
              <w:t>Approved identity and permissions exist for automatic retrieval.</w:t>
            </w:r>
          </w:p>
        </w:tc>
        <w:tc>
          <w:tcPr>
            <w:tcW w:type="dxa" w:w="3456"/>
            <w:tcMar>
              <w:top w:w="80" w:type="dxa"/>
              <w:start w:w="90" w:type="dxa"/>
              <w:bottom w:w="80" w:type="dxa"/>
              <w:end w:w="90" w:type="dxa"/>
            </w:tcMar>
            <w:vAlign w:val="top"/>
          </w:tcPr>
          <w:p>
            <w:r>
              <w:rPr>
                <w:sz w:val="18"/>
              </w:rPr>
              <w:t>Retain controlled manual/file-drop ingestion initially.</w:t>
            </w:r>
          </w:p>
        </w:tc>
      </w:tr>
      <w:tr>
        <w:tc>
          <w:tcPr>
            <w:tcW w:type="dxa" w:w="2160"/>
            <w:tcMar>
              <w:top w:w="80" w:type="dxa"/>
              <w:start w:w="90" w:type="dxa"/>
              <w:bottom w:w="80" w:type="dxa"/>
              <w:end w:w="90" w:type="dxa"/>
            </w:tcMar>
            <w:vAlign w:val="top"/>
          </w:tcPr>
          <w:p>
            <w:r>
              <w:rPr>
                <w:sz w:val="18"/>
              </w:rPr>
              <w:t>Security</w:t>
            </w:r>
          </w:p>
        </w:tc>
        <w:tc>
          <w:tcPr>
            <w:tcW w:type="dxa" w:w="5184"/>
            <w:tcMar>
              <w:top w:w="80" w:type="dxa"/>
              <w:start w:w="90" w:type="dxa"/>
              <w:bottom w:w="80" w:type="dxa"/>
              <w:end w:w="90" w:type="dxa"/>
            </w:tcMar>
            <w:vAlign w:val="top"/>
          </w:tcPr>
          <w:p>
            <w:r>
              <w:rPr>
                <w:sz w:val="18"/>
              </w:rPr>
              <w:t>Restricted data is filtered server-side before response.</w:t>
            </w:r>
          </w:p>
        </w:tc>
        <w:tc>
          <w:tcPr>
            <w:tcW w:type="dxa" w:w="3456"/>
            <w:tcMar>
              <w:top w:w="80" w:type="dxa"/>
              <w:start w:w="90" w:type="dxa"/>
              <w:bottom w:w="80" w:type="dxa"/>
              <w:end w:w="90" w:type="dxa"/>
            </w:tcMar>
            <w:vAlign w:val="top"/>
          </w:tcPr>
          <w:p>
            <w:r>
              <w:rPr>
                <w:sz w:val="18"/>
              </w:rPr>
              <w:t>Do not expand access until the rule is implemented.</w:t>
            </w:r>
          </w:p>
        </w:tc>
      </w:tr>
      <w:tr>
        <w:tc>
          <w:tcPr>
            <w:tcW w:type="dxa" w:w="2160"/>
            <w:tcMar>
              <w:top w:w="80" w:type="dxa"/>
              <w:start w:w="90" w:type="dxa"/>
              <w:bottom w:w="80" w:type="dxa"/>
              <w:end w:w="90" w:type="dxa"/>
            </w:tcMar>
            <w:vAlign w:val="top"/>
          </w:tcPr>
          <w:p>
            <w:r>
              <w:rPr>
                <w:sz w:val="18"/>
              </w:rPr>
              <w:t>Parity</w:t>
            </w:r>
          </w:p>
        </w:tc>
        <w:tc>
          <w:tcPr>
            <w:tcW w:type="dxa" w:w="5184"/>
            <w:tcMar>
              <w:top w:w="80" w:type="dxa"/>
              <w:start w:w="90" w:type="dxa"/>
              <w:bottom w:w="80" w:type="dxa"/>
              <w:end w:w="90" w:type="dxa"/>
            </w:tcMar>
            <w:vAlign w:val="top"/>
          </w:tcPr>
          <w:p>
            <w:r>
              <w:rPr>
                <w:sz w:val="18"/>
              </w:rPr>
              <w:t>Required calculations and must-have dashboard behavior match approved expectations.</w:t>
            </w:r>
          </w:p>
        </w:tc>
        <w:tc>
          <w:tcPr>
            <w:tcW w:type="dxa" w:w="3456"/>
            <w:tcMar>
              <w:top w:w="80" w:type="dxa"/>
              <w:start w:w="90" w:type="dxa"/>
              <w:bottom w:w="80" w:type="dxa"/>
              <w:end w:w="90" w:type="dxa"/>
            </w:tcMar>
            <w:vAlign w:val="top"/>
          </w:tcPr>
          <w:p>
            <w:r>
              <w:rPr>
                <w:sz w:val="18"/>
              </w:rPr>
              <w:t>Continue parallel run and resolve discrepancies before cutover.</w:t>
            </w:r>
          </w:p>
        </w:tc>
      </w:tr>
    </w:tbl>
    <w:p/>
    <w:p>
      <w:pPr>
        <w:pStyle w:val="Heading1"/>
      </w:pPr>
      <w:r>
        <w:t>16. Key Risks and Mitigations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600"/>
            <w:shd w:fill="D9EAF7"/>
            <w:tcMar>
              <w:top w:w="80" w:type="dxa"/>
              <w:start w:w="90" w:type="dxa"/>
              <w:bottom w:w="80" w:type="dxa"/>
              <w:end w:w="90" w:type="dxa"/>
            </w:tcMar>
          </w:tcPr>
          <w:p>
            <w:pPr>
              <w:jc w:val="center"/>
            </w:pPr>
            <w:r>
              <w:rPr>
                <w:b/>
                <w:color w:val="1F4E79"/>
                <w:sz w:val="18"/>
              </w:rPr>
              <w:t>Risk</w:t>
            </w:r>
          </w:p>
        </w:tc>
        <w:tc>
          <w:tcPr>
            <w:tcW w:type="dxa" w:w="6768"/>
            <w:shd w:fill="D9EAF7"/>
            <w:tcMar>
              <w:top w:w="80" w:type="dxa"/>
              <w:start w:w="90" w:type="dxa"/>
              <w:bottom w:w="80" w:type="dxa"/>
              <w:end w:w="90" w:type="dxa"/>
            </w:tcMar>
          </w:tcPr>
          <w:p>
            <w:pPr>
              <w:jc w:val="center"/>
            </w:pPr>
            <w:r>
              <w:rPr>
                <w:b/>
                <w:color w:val="1F4E79"/>
                <w:sz w:val="18"/>
              </w:rPr>
              <w:t>Mitigation</w:t>
            </w:r>
          </w:p>
        </w:tc>
      </w:tr>
      <w:tr>
        <w:tc>
          <w:tcPr>
            <w:tcW w:type="dxa" w:w="3600"/>
            <w:tcMar>
              <w:top w:w="80" w:type="dxa"/>
              <w:start w:w="90" w:type="dxa"/>
              <w:bottom w:w="80" w:type="dxa"/>
              <w:end w:w="90" w:type="dxa"/>
            </w:tcMar>
            <w:vAlign w:val="top"/>
          </w:tcPr>
          <w:p>
            <w:r>
              <w:rPr>
                <w:sz w:val="18"/>
              </w:rPr>
              <w:t>Hidden or undocumented business rules</w:t>
            </w:r>
          </w:p>
        </w:tc>
        <w:tc>
          <w:tcPr>
            <w:tcW w:type="dxa" w:w="6768"/>
            <w:tcMar>
              <w:top w:w="80" w:type="dxa"/>
              <w:start w:w="90" w:type="dxa"/>
              <w:bottom w:w="80" w:type="dxa"/>
              <w:end w:w="90" w:type="dxa"/>
            </w:tcMar>
            <w:vAlign w:val="top"/>
          </w:tcPr>
          <w:p>
            <w:r>
              <w:rPr>
                <w:sz w:val="18"/>
              </w:rPr>
              <w:t>Recover missing source details and establish golden/parity test data before implementation.</w:t>
            </w:r>
          </w:p>
        </w:tc>
      </w:tr>
      <w:tr>
        <w:tc>
          <w:tcPr>
            <w:tcW w:type="dxa" w:w="3600"/>
            <w:tcMar>
              <w:top w:w="80" w:type="dxa"/>
              <w:start w:w="90" w:type="dxa"/>
              <w:bottom w:w="80" w:type="dxa"/>
              <w:end w:w="90" w:type="dxa"/>
            </w:tcMar>
            <w:vAlign w:val="top"/>
          </w:tcPr>
          <w:p>
            <w:r>
              <w:rPr>
                <w:sz w:val="18"/>
              </w:rPr>
              <w:t>SQLite rejected by infrastructure/security policy</w:t>
            </w:r>
          </w:p>
        </w:tc>
        <w:tc>
          <w:tcPr>
            <w:tcW w:type="dxa" w:w="6768"/>
            <w:tcMar>
              <w:top w:w="80" w:type="dxa"/>
              <w:start w:w="90" w:type="dxa"/>
              <w:bottom w:w="80" w:type="dxa"/>
              <w:end w:w="90" w:type="dxa"/>
            </w:tcMar>
            <w:vAlign w:val="top"/>
          </w:tcPr>
          <w:p>
            <w:r>
              <w:rPr>
                <w:sz w:val="18"/>
              </w:rPr>
              <w:t>Use an already-provisioned enterprise SQL Server at no incremental cost.</w:t>
            </w:r>
          </w:p>
        </w:tc>
      </w:tr>
      <w:tr>
        <w:tc>
          <w:tcPr>
            <w:tcW w:type="dxa" w:w="3600"/>
            <w:tcMar>
              <w:top w:w="80" w:type="dxa"/>
              <w:start w:w="90" w:type="dxa"/>
              <w:bottom w:w="80" w:type="dxa"/>
              <w:end w:w="90" w:type="dxa"/>
            </w:tcMar>
            <w:vAlign w:val="top"/>
          </w:tcPr>
          <w:p>
            <w:r>
              <w:rPr>
                <w:sz w:val="18"/>
              </w:rPr>
              <w:t>SharePoint permissions delayed</w:t>
            </w:r>
          </w:p>
        </w:tc>
        <w:tc>
          <w:tcPr>
            <w:tcW w:type="dxa" w:w="6768"/>
            <w:tcMar>
              <w:top w:w="80" w:type="dxa"/>
              <w:start w:w="90" w:type="dxa"/>
              <w:bottom w:w="80" w:type="dxa"/>
              <w:end w:w="90" w:type="dxa"/>
            </w:tcMar>
            <w:vAlign w:val="top"/>
          </w:tcPr>
          <w:p>
            <w:r>
              <w:rPr>
                <w:sz w:val="18"/>
              </w:rPr>
              <w:t>Do not block the MVP; use controlled manual/file-drop ingestion first.</w:t>
            </w:r>
          </w:p>
        </w:tc>
      </w:tr>
      <w:tr>
        <w:tc>
          <w:tcPr>
            <w:tcW w:type="dxa" w:w="3600"/>
            <w:tcMar>
              <w:top w:w="80" w:type="dxa"/>
              <w:start w:w="90" w:type="dxa"/>
              <w:bottom w:w="80" w:type="dxa"/>
              <w:end w:w="90" w:type="dxa"/>
            </w:tcMar>
            <w:vAlign w:val="top"/>
          </w:tcPr>
          <w:p>
            <w:r>
              <w:rPr>
                <w:sz w:val="18"/>
              </w:rPr>
              <w:t>Behavior changes while porting extraction logic</w:t>
            </w:r>
          </w:p>
        </w:tc>
        <w:tc>
          <w:tcPr>
            <w:tcW w:type="dxa" w:w="6768"/>
            <w:tcMar>
              <w:top w:w="80" w:type="dxa"/>
              <w:start w:w="90" w:type="dxa"/>
              <w:bottom w:w="80" w:type="dxa"/>
              <w:end w:w="90" w:type="dxa"/>
            </w:tcMar>
            <w:vAlign w:val="top"/>
          </w:tcPr>
          <w:p>
            <w:r>
              <w:rPr>
                <w:sz w:val="18"/>
              </w:rPr>
              <w:t>Test new normalized output against representative results from the current extractor.</w:t>
            </w:r>
          </w:p>
        </w:tc>
      </w:tr>
      <w:tr>
        <w:tc>
          <w:tcPr>
            <w:tcW w:type="dxa" w:w="3600"/>
            <w:tcMar>
              <w:top w:w="80" w:type="dxa"/>
              <w:start w:w="90" w:type="dxa"/>
              <w:bottom w:w="80" w:type="dxa"/>
              <w:end w:w="90" w:type="dxa"/>
            </w:tcMar>
            <w:vAlign w:val="top"/>
          </w:tcPr>
          <w:p>
            <w:r>
              <w:rPr>
                <w:sz w:val="18"/>
              </w:rPr>
              <w:t>New solution grows into a broad platform redesign</w:t>
            </w:r>
          </w:p>
        </w:tc>
        <w:tc>
          <w:tcPr>
            <w:tcW w:type="dxa" w:w="6768"/>
            <w:tcMar>
              <w:top w:w="80" w:type="dxa"/>
              <w:start w:w="90" w:type="dxa"/>
              <w:bottom w:w="80" w:type="dxa"/>
              <w:end w:w="90" w:type="dxa"/>
            </w:tcMar>
            <w:vAlign w:val="top"/>
          </w:tcPr>
          <w:p>
            <w:r>
              <w:rPr>
                <w:sz w:val="18"/>
              </w:rPr>
              <w:t>Keep the first delivery read-only, parity-focused and feature-bounded.</w:t>
            </w:r>
          </w:p>
        </w:tc>
      </w:tr>
      <w:tr>
        <w:tc>
          <w:tcPr>
            <w:tcW w:type="dxa" w:w="3600"/>
            <w:tcMar>
              <w:top w:w="80" w:type="dxa"/>
              <w:start w:w="90" w:type="dxa"/>
              <w:bottom w:w="80" w:type="dxa"/>
              <w:end w:w="90" w:type="dxa"/>
            </w:tcMar>
            <w:vAlign w:val="top"/>
          </w:tcPr>
          <w:p>
            <w:r>
              <w:rPr>
                <w:sz w:val="18"/>
              </w:rPr>
              <w:t>Authorization model remains unclear</w:t>
            </w:r>
          </w:p>
        </w:tc>
        <w:tc>
          <w:tcPr>
            <w:tcW w:type="dxa" w:w="6768"/>
            <w:tcMar>
              <w:top w:w="80" w:type="dxa"/>
              <w:start w:w="90" w:type="dxa"/>
              <w:bottom w:w="80" w:type="dxa"/>
              <w:end w:w="90" w:type="dxa"/>
            </w:tcMar>
            <w:vAlign w:val="top"/>
          </w:tcPr>
          <w:p>
            <w:r>
              <w:rPr>
                <w:sz w:val="18"/>
              </w:rPr>
              <w:t>Resolve access scope during discovery and /speckit.clarify before broad rollout.</w:t>
            </w:r>
          </w:p>
        </w:tc>
      </w:tr>
      <w:tr>
        <w:tc>
          <w:tcPr>
            <w:tcW w:type="dxa" w:w="3600"/>
            <w:tcMar>
              <w:top w:w="80" w:type="dxa"/>
              <w:start w:w="90" w:type="dxa"/>
              <w:bottom w:w="80" w:type="dxa"/>
              <w:end w:w="90" w:type="dxa"/>
            </w:tcMar>
            <w:vAlign w:val="top"/>
          </w:tcPr>
          <w:p>
            <w:r>
              <w:rPr>
                <w:sz w:val="18"/>
              </w:rPr>
              <w:t>Failed import replaces valid production data</w:t>
            </w:r>
          </w:p>
        </w:tc>
        <w:tc>
          <w:tcPr>
            <w:tcW w:type="dxa" w:w="6768"/>
            <w:tcMar>
              <w:top w:w="80" w:type="dxa"/>
              <w:start w:w="90" w:type="dxa"/>
              <w:bottom w:w="80" w:type="dxa"/>
              <w:end w:w="90" w:type="dxa"/>
            </w:tcMar>
            <w:vAlign w:val="top"/>
          </w:tcPr>
          <w:p>
            <w:r>
              <w:rPr>
                <w:sz w:val="18"/>
              </w:rPr>
              <w:t>Use validation, transaction/staging, import history and last-known-good recovery.</w:t>
            </w:r>
          </w:p>
        </w:tc>
      </w:tr>
      <w:tr>
        <w:tc>
          <w:tcPr>
            <w:tcW w:type="dxa" w:w="3600"/>
            <w:tcMar>
              <w:top w:w="80" w:type="dxa"/>
              <w:start w:w="90" w:type="dxa"/>
              <w:bottom w:w="80" w:type="dxa"/>
              <w:end w:w="90" w:type="dxa"/>
            </w:tcMar>
            <w:vAlign w:val="top"/>
          </w:tcPr>
          <w:p>
            <w:r>
              <w:rPr>
                <w:sz w:val="18"/>
              </w:rPr>
              <w:t>Large SDD scope becomes difficult to execute</w:t>
            </w:r>
          </w:p>
        </w:tc>
        <w:tc>
          <w:tcPr>
            <w:tcW w:type="dxa" w:w="6768"/>
            <w:tcMar>
              <w:top w:w="80" w:type="dxa"/>
              <w:start w:w="90" w:type="dxa"/>
              <w:bottom w:w="80" w:type="dxa"/>
              <w:end w:w="90" w:type="dxa"/>
            </w:tcMar>
            <w:vAlign w:val="top"/>
          </w:tcPr>
          <w:p>
            <w:r>
              <w:rPr>
                <w:sz w:val="18"/>
              </w:rPr>
              <w:t>Split the roadmap into bounded feature specs rather than one monolithic specification.</w:t>
            </w:r>
          </w:p>
        </w:tc>
      </w:tr>
    </w:tbl>
    <w:p/>
    <w:p>
      <w:pPr>
        <w:pStyle w:val="Heading1"/>
      </w:pPr>
      <w:r>
        <w:t>17. Success Criteria</w:t>
      </w:r>
    </w:p>
    <w:p>
      <w:pPr>
        <w:pStyle w:val="ListBullet"/>
        <w:spacing w:after="40"/>
      </w:pPr>
      <w:r>
        <w:t>No generated monolithic dashboard HTML is required for normal operation.</w:t>
      </w:r>
    </w:p>
    <w:p>
      <w:pPr>
        <w:pStyle w:val="ListBullet"/>
        <w:spacing w:after="40"/>
      </w:pPr>
      <w:r>
        <w:t>Common dashboard requests load only the required data and remain responsive as history grows.</w:t>
      </w:r>
    </w:p>
    <w:p>
      <w:pPr>
        <w:pStyle w:val="ListBullet"/>
        <w:spacing w:after="40"/>
      </w:pPr>
      <w:r>
        <w:t>Approved existing calculations produce equivalent results against the parity dataset.</w:t>
      </w:r>
    </w:p>
    <w:p>
      <w:pPr>
        <w:pStyle w:val="ListBullet"/>
        <w:spacing w:after="40"/>
      </w:pPr>
      <w:r>
        <w:t>Authentication is integrated with the approved internal identity model.</w:t>
      </w:r>
    </w:p>
    <w:p>
      <w:pPr>
        <w:pStyle w:val="ListBullet"/>
        <w:spacing w:after="40"/>
      </w:pPr>
      <w:r>
        <w:t>Authorization is enforced before restricted records are returned.</w:t>
      </w:r>
    </w:p>
    <w:p>
      <w:pPr>
        <w:pStyle w:val="ListBullet"/>
        <w:spacing w:after="40"/>
      </w:pPr>
      <w:r>
        <w:t>Excel import is repeatable, validated and auditable.</w:t>
      </w:r>
    </w:p>
    <w:p>
      <w:pPr>
        <w:pStyle w:val="ListBullet"/>
        <w:spacing w:after="40"/>
      </w:pPr>
      <w:r>
        <w:t>A failed import does not remove the last-known-good dataset.</w:t>
      </w:r>
    </w:p>
    <w:p>
      <w:pPr>
        <w:pStyle w:val="ListBullet"/>
        <w:spacing w:after="40"/>
      </w:pPr>
      <w:r>
        <w:t>The baseline solution introduces no new paid infrastructure/service cost.</w:t>
      </w:r>
    </w:p>
    <w:p>
      <w:pPr>
        <w:pStyle w:val="ListBullet"/>
        <w:spacing w:after="40"/>
      </w:pPr>
      <w:r>
        <w:t>The new dashboard can run in parallel with the current solution until acceptance.</w:t>
      </w:r>
    </w:p>
    <w:p>
      <w:pPr>
        <w:pStyle w:val="ListBullet"/>
        <w:spacing w:after="40"/>
      </w:pPr>
      <w:r>
        <w:t>SDD artifacts clearly trace requirements through plan, tasks and implementation.</w:t>
      </w:r>
    </w:p>
    <w:p>
      <w:pPr>
        <w:pStyle w:val="Heading1"/>
      </w:pPr>
      <w:r>
        <w:t>18. Open Questions to Resolve During Discovery</w:t>
      </w:r>
    </w:p>
    <w:p>
      <w:pPr>
        <w:pStyle w:val="Heading2"/>
      </w:pPr>
      <w:r>
        <w:t>18.1 Infrastructure / IIS</w:t>
      </w:r>
    </w:p>
    <w:p>
      <w:pPr>
        <w:pStyle w:val="ListBullet"/>
        <w:spacing w:after="40"/>
      </w:pPr>
      <w:r>
        <w:t>Can the existing server host the required supported ASP.NET Core runtime through IIS?</w:t>
      </w:r>
    </w:p>
    <w:p>
      <w:pPr>
        <w:pStyle w:val="ListBullet"/>
        <w:spacing w:after="40"/>
      </w:pPr>
      <w:r>
        <w:t>Is Windows Authentication enabled and approved for this site?</w:t>
      </w:r>
    </w:p>
    <w:p>
      <w:pPr>
        <w:pStyle w:val="ListBullet"/>
        <w:spacing w:after="40"/>
      </w:pPr>
      <w:r>
        <w:t>Can the application have protected data/log/import folders with controlled write permissions?</w:t>
      </w:r>
    </w:p>
    <w:p>
      <w:pPr>
        <w:pStyle w:val="ListBullet"/>
        <w:spacing w:after="40"/>
      </w:pPr>
      <w:r>
        <w:t>Is SQLite allowed on the application server?</w:t>
      </w:r>
    </w:p>
    <w:p>
      <w:pPr>
        <w:pStyle w:val="ListBullet"/>
        <w:spacing w:after="40"/>
      </w:pPr>
      <w:r>
        <w:t>Is an existing SQL Server/database already available for this workload at no incremental cost?</w:t>
      </w:r>
    </w:p>
    <w:p>
      <w:pPr>
        <w:pStyle w:val="ListBullet"/>
        <w:spacing w:after="40"/>
      </w:pPr>
      <w:r>
        <w:t>What is the approved deployment and rollback process?</w:t>
      </w:r>
    </w:p>
    <w:p>
      <w:pPr>
        <w:pStyle w:val="ListBullet"/>
        <w:spacing w:after="40"/>
      </w:pPr>
      <w:r>
        <w:t>Can Windows Task Scheduler or a .NET Worker/Windows Service be used for daily ingestion?</w:t>
      </w:r>
    </w:p>
    <w:p>
      <w:pPr>
        <w:pStyle w:val="Heading2"/>
      </w:pPr>
      <w:r>
        <w:t>18.2 Data / SharePoint</w:t>
      </w:r>
    </w:p>
    <w:p>
      <w:pPr>
        <w:pStyle w:val="ListBullet"/>
        <w:spacing w:after="40"/>
      </w:pPr>
      <w:r>
        <w:t>What is the authoritative SharePoint file location and exact production workbook pattern?</w:t>
      </w:r>
    </w:p>
    <w:p>
      <w:pPr>
        <w:pStyle w:val="ListBullet"/>
        <w:spacing w:after="40"/>
      </w:pPr>
      <w:r>
        <w:t>Is the source one workbook or multiple per-DR workbooks in the live process?</w:t>
      </w:r>
    </w:p>
    <w:p>
      <w:pPr>
        <w:pStyle w:val="ListBullet"/>
        <w:spacing w:after="40"/>
      </w:pPr>
      <w:r>
        <w:t>Can a service/application identity retrieve the files?</w:t>
      </w:r>
    </w:p>
    <w:p>
      <w:pPr>
        <w:pStyle w:val="ListBullet"/>
        <w:spacing w:after="40"/>
      </w:pPr>
      <w:r>
        <w:t>What Microsoft Graph/SharePoint permission approval path is required?</w:t>
      </w:r>
    </w:p>
    <w:p>
      <w:pPr>
        <w:pStyle w:val="ListBullet"/>
        <w:spacing w:after="40"/>
      </w:pPr>
      <w:r>
        <w:t>What is the required history-retention period?</w:t>
      </w:r>
    </w:p>
    <w:p>
      <w:pPr>
        <w:pStyle w:val="ListBullet"/>
        <w:spacing w:after="40"/>
      </w:pPr>
      <w:r>
        <w:t>How should invalid files, renamed sheets or missing columns be handled?</w:t>
      </w:r>
    </w:p>
    <w:p>
      <w:pPr>
        <w:pStyle w:val="Heading2"/>
      </w:pPr>
      <w:r>
        <w:t>18.3 Security / Access</w:t>
      </w:r>
    </w:p>
    <w:p>
      <w:pPr>
        <w:pStyle w:val="ListBullet"/>
        <w:spacing w:after="40"/>
      </w:pPr>
      <w:r>
        <w:t>Which user groups may access the application?</w:t>
      </w:r>
    </w:p>
    <w:p>
      <w:pPr>
        <w:pStyle w:val="ListBullet"/>
        <w:spacing w:after="40"/>
      </w:pPr>
      <w:r>
        <w:t>Is access organization-wide or restricted by DR, manager, team, project or another hierarchy?</w:t>
      </w:r>
    </w:p>
    <w:p>
      <w:pPr>
        <w:pStyle w:val="ListBullet"/>
        <w:spacing w:after="40"/>
      </w:pPr>
      <w:r>
        <w:t>Can AD groups represent application roles/scopes?</w:t>
      </w:r>
    </w:p>
    <w:p>
      <w:pPr>
        <w:pStyle w:val="ListBullet"/>
        <w:spacing w:after="40"/>
      </w:pPr>
      <w:r>
        <w:t>Is row/data-level authorization required in the MVP or before wider rollout?</w:t>
      </w:r>
    </w:p>
    <w:p>
      <w:pPr>
        <w:pStyle w:val="ListBullet"/>
        <w:spacing w:after="40"/>
      </w:pPr>
      <w:r>
        <w:t>What audit/logging requirements apply?</w:t>
      </w:r>
    </w:p>
    <w:p>
      <w:pPr>
        <w:pStyle w:val="Heading2"/>
      </w:pPr>
      <w:r>
        <w:t>18.4 Business</w:t>
      </w:r>
    </w:p>
    <w:p>
      <w:pPr>
        <w:pStyle w:val="ListBullet"/>
        <w:spacing w:after="40"/>
      </w:pPr>
      <w:r>
        <w:t>Which existing behaviors are mandatory for first-release parity?</w:t>
      </w:r>
    </w:p>
    <w:p>
      <w:pPr>
        <w:pStyle w:val="ListBullet"/>
        <w:spacing w:after="40"/>
      </w:pPr>
      <w:r>
        <w:t>Are all current calculation rules approved, including the known pre=0/multi-sprint metric gap?</w:t>
      </w:r>
    </w:p>
    <w:p>
      <w:pPr>
        <w:pStyle w:val="ListBullet"/>
        <w:spacing w:after="40"/>
      </w:pPr>
      <w:r>
        <w:t>Which filters and drill-downs are highest priority?</w:t>
      </w:r>
    </w:p>
    <w:p>
      <w:pPr>
        <w:pStyle w:val="ListBullet"/>
        <w:spacing w:after="40"/>
      </w:pPr>
      <w:r>
        <w:t>What refresh delay after Excel updates is acceptable?</w:t>
      </w:r>
    </w:p>
    <w:p>
      <w:pPr>
        <w:pStyle w:val="ListBullet"/>
        <w:spacing w:after="40"/>
      </w:pPr>
      <w:r>
        <w:t>What response-time target is expected for common dashboard interactions?</w:t>
      </w:r>
    </w:p>
    <w:p>
      <w:pPr>
        <w:pStyle w:val="Heading1"/>
      </w:pPr>
      <w:r>
        <w:t>19. Recommended Baseline</w:t>
      </w:r>
    </w:p>
    <w:tbl>
      <w:tblPr>
        <w:tblStyle w:val="TableGrid"/>
        <w:tblW w:type="auto" w:w="0"/>
        <w:tblLook w:firstColumn="1" w:firstRow="1" w:lastColumn="0" w:lastRow="0" w:noHBand="0" w:noVBand="1" w:val="04A0"/>
      </w:tblPr>
      <w:tblGrid>
        <w:gridCol w:w="10166"/>
      </w:tblGrid>
      <w:tr>
        <w:tc>
          <w:tcPr>
            <w:tcW w:type="dxa" w:w="10166"/>
            <w:shd w:fill="E2F0D9"/>
            <w:tcMar>
              <w:top w:w="120" w:type="dxa"/>
              <w:start w:w="140" w:type="dxa"/>
              <w:bottom w:w="120" w:type="dxa"/>
              <w:end w:w="140" w:type="dxa"/>
            </w:tcMar>
          </w:tcPr>
          <w:p>
            <w:r>
              <w:rPr>
                <w:b/>
                <w:color w:val="1F4E79"/>
                <w:sz w:val="22"/>
              </w:rPr>
              <w:t>Recommended baseline architecture</w:t>
              <w:br/>
            </w:r>
            <w:r>
              <w:rPr>
                <w:sz w:val="20"/>
              </w:rPr>
              <w:t>React UI + ASP.NET Core server-side application + existing IIS + Windows Authentication where approved + SQLite on the application server as the zero-infrastructure persistence baseline + dedicated Excel ingestion component. Use an existing SQL Server instead of SQLite when it is already provisioned at no incremental cost or required by enterprise policy. Keep SharePoint retrieval manual/controlled until automated access is approved. After feasibility and architecture gates are complete, implement the modernization through GitHub Spec Kit using constitution, specify, clarify, plan, tasks, analyze, implement and converge.</w:t>
            </w:r>
          </w:p>
        </w:tc>
      </w:tr>
    </w:tbl>
    <w:p/>
    <w:p>
      <w:pPr>
        <w:pStyle w:val="Heading1"/>
      </w:pPr>
      <w:r>
        <w:t>Appendix A. Business Behavior Baseline</w:t>
      </w:r>
    </w:p>
    <w:p>
      <w:pPr>
        <w:pStyle w:val="ListBullet"/>
        <w:spacing w:after="40"/>
      </w:pPr>
      <w:r>
        <w:t>Six initiative sheets: Backend Unit Testing, Generate Test Cases, Generate PostMan Scripts, Frontend Unit Testing, Integration Testing and Vulnerability Discovery.</w:t>
      </w:r>
    </w:p>
    <w:p>
      <w:pPr>
        <w:pStyle w:val="ListBullet"/>
        <w:spacing w:after="40"/>
      </w:pPr>
      <w:r>
        <w:t>Status normalization includes Completed, In Progress, Open, TBD, NA, On Hold and Not Filled.</w:t>
      </w:r>
    </w:p>
    <w:p>
      <w:pPr>
        <w:pStyle w:val="ListBullet"/>
        <w:spacing w:after="40"/>
      </w:pPr>
      <w:r>
        <w:t>Customer Approval has additional normalization including Approved and Rejected.</w:t>
      </w:r>
    </w:p>
    <w:p>
      <w:pPr>
        <w:pStyle w:val="ListBullet"/>
        <w:spacing w:after="40"/>
      </w:pPr>
      <w:r>
        <w:t>Overall progress is based on completion percentage across Phase 1, Phase 2 and Phase 3 using the approved denominator rules.</w:t>
      </w:r>
    </w:p>
    <w:p>
      <w:pPr>
        <w:pStyle w:val="ListBullet"/>
        <w:spacing w:after="40"/>
      </w:pPr>
      <w:r>
        <w:t>Overdue applies to Open/In Progress records when the ETA is earlier than the current date.</w:t>
      </w:r>
    </w:p>
    <w:p>
      <w:pPr>
        <w:pStyle w:val="ListBullet"/>
        <w:spacing w:after="40"/>
      </w:pPr>
      <w:r>
        <w:t>Metrics include Productivity, Quality and Coverage categories with Pre/Post GenAI handling.</w:t>
      </w:r>
    </w:p>
    <w:p>
      <w:pPr>
        <w:pStyle w:val="ListBullet"/>
        <w:spacing w:after="40"/>
      </w:pPr>
      <w:r>
        <w:t>Coverage and selected Quality measures display post averages rather than improvement percentage.</w:t>
      </w:r>
    </w:p>
    <w:p>
      <w:pPr>
        <w:pStyle w:val="ListBullet"/>
        <w:spacing w:after="40"/>
      </w:pPr>
      <w:r>
        <w:t>Current known gap: the documented multi-sprint proxy-baseline behavior for pre=0 is not implemented in the current code.</w:t>
      </w:r>
    </w:p>
    <w:p>
      <w:pPr>
        <w:pStyle w:val="ListBullet"/>
        <w:spacing w:after="40"/>
      </w:pPr>
      <w:r>
        <w:t>Current UI behavior includes overview cards, filters/search, phase progress, metrics summary, team detail table and detail drawer.</w:t>
      </w:r>
    </w:p>
    <w:p>
      <w:pPr>
        <w:pStyle w:val="Heading1"/>
      </w:pPr>
      <w:r>
        <w:t>Appendix B. Source References</w:t>
      </w:r>
    </w:p>
    <w:p>
      <w:r>
        <w:t>The architecture and SDD guidance in this document was validated against the following primary documentation:</w:t>
      </w:r>
    </w:p>
    <w:p>
      <w:pPr>
        <w:spacing w:after="40"/>
      </w:pPr>
      <w:r>
        <w:t xml:space="preserve">1. GitHub Spec Kit repository and command workflow: </w:t>
      </w:r>
      <w:hyperlink r:id="rId11">
        <w:r>
          <w:rPr>
            <w:color w:val="0563C1"/>
            <w:u w:val="single"/>
          </w:rPr>
          <w:t>https://github.com/github/spec-kit</w:t>
        </w:r>
      </w:hyperlink>
    </w:p>
    <w:p>
      <w:pPr>
        <w:spacing w:after="40"/>
      </w:pPr>
      <w:r>
        <w:t xml:space="preserve">2. GitHub Spec Kit quickstart: </w:t>
      </w:r>
      <w:hyperlink r:id="rId12">
        <w:r>
          <w:rPr>
            <w:color w:val="0563C1"/>
            <w:u w:val="single"/>
          </w:rPr>
          <w:t>https://github.com/github/spec-kit/blob/main/docs/quickstart.md</w:t>
        </w:r>
      </w:hyperlink>
    </w:p>
    <w:p>
      <w:pPr>
        <w:spacing w:after="40"/>
      </w:pPr>
      <w:r>
        <w:t xml:space="preserve">3. Host ASP.NET Core on Windows with IIS - Microsoft Learn: </w:t>
      </w:r>
      <w:hyperlink r:id="rId13">
        <w:r>
          <w:rPr>
            <w:color w:val="0563C1"/>
            <w:u w:val="single"/>
          </w:rPr>
          <w:t>https://learn.microsoft.com/en-us/aspnet/core/host-and-deploy/iis/</w:t>
        </w:r>
      </w:hyperlink>
    </w:p>
    <w:p>
      <w:pPr>
        <w:spacing w:after="40"/>
      </w:pPr>
      <w:r>
        <w:t xml:space="preserve">4. Configure Windows Authentication in ASP.NET Core - Microsoft Learn: </w:t>
      </w:r>
      <w:hyperlink r:id="rId14">
        <w:r>
          <w:rPr>
            <w:color w:val="0563C1"/>
            <w:u w:val="single"/>
          </w:rPr>
          <w:t>https://learn.microsoft.com/en-us/aspnet/core/security/authentication/windowsauth</w:t>
        </w:r>
      </w:hyperlink>
    </w:p>
    <w:p>
      <w:pPr>
        <w:spacing w:after="40"/>
      </w:pPr>
      <w:r>
        <w:t xml:space="preserve">5. EF Core SQLite Provider - Microsoft Learn: </w:t>
      </w:r>
      <w:hyperlink r:id="rId15">
        <w:r>
          <w:rPr>
            <w:color w:val="0563C1"/>
            <w:u w:val="single"/>
          </w:rPr>
          <w:t>https://learn.microsoft.com/en-us/ef/core/providers/sqlite/</w:t>
        </w:r>
      </w:hyperlink>
    </w:p>
    <w:p>
      <w:pPr>
        <w:spacing w:after="40"/>
      </w:pPr>
      <w:r>
        <w:t xml:space="preserve">6. SQLite Is Serverless - SQLite.org: </w:t>
      </w:r>
      <w:hyperlink r:id="rId16">
        <w:r>
          <w:rPr>
            <w:color w:val="0563C1"/>
            <w:u w:val="single"/>
          </w:rPr>
          <w:t>https://www.sqlite.org/serverless.html</w:t>
        </w:r>
      </w:hyperlink>
    </w:p>
    <w:p>
      <w:pPr>
        <w:spacing w:after="40"/>
      </w:pPr>
      <w:r>
        <w:t xml:space="preserve">7. About SQLite / single-file database characteristics - SQLite.org: </w:t>
      </w:r>
      <w:hyperlink r:id="rId17">
        <w:r>
          <w:rPr>
            <w:color w:val="0563C1"/>
            <w:u w:val="single"/>
          </w:rPr>
          <w:t>https://www.sqlite.org/about.html</w:t>
        </w:r>
      </w:hyperlink>
    </w:p>
    <w:p>
      <w:pPr>
        <w:spacing w:after="40"/>
      </w:pPr>
      <w:r>
        <w:t xml:space="preserve">8. Appropriate Uses for SQLite - SQLite.org: </w:t>
      </w:r>
      <w:hyperlink r:id="rId18">
        <w:r>
          <w:rPr>
            <w:color w:val="0563C1"/>
            <w:u w:val="single"/>
          </w:rPr>
          <w:t>https://www.sqlite.org/whentouse.html</w:t>
        </w:r>
      </w:hyperlink>
    </w:p>
    <w:p>
      <w:pPr>
        <w:spacing w:after="40"/>
      </w:pPr>
      <w:r>
        <w:t xml:space="preserve">9. Microsoft Graph driveItem resource (SharePoint/OneDrive files): </w:t>
      </w:r>
      <w:hyperlink r:id="rId19">
        <w:r>
          <w:rPr>
            <w:color w:val="0563C1"/>
            <w:u w:val="single"/>
          </w:rPr>
          <w:t>https://learn.microsoft.com/en-us/graph/api/resources/driveitem</w:t>
        </w:r>
      </w:hyperlink>
    </w:p>
    <w:p>
      <w:pPr>
        <w:spacing w:after="40"/>
      </w:pPr>
      <w:r>
        <w:t xml:space="preserve">10. Working with files in Microsoft Graph: </w:t>
      </w:r>
      <w:hyperlink r:id="rId20">
        <w:r>
          <w:rPr>
            <w:color w:val="0563C1"/>
            <w:u w:val="single"/>
          </w:rPr>
          <w:t>https://learn.microsoft.com/en-us/graph/api/resources/onedrive</w:t>
        </w:r>
      </w:hyperlink>
    </w:p>
    <w:p>
      <w:pPr>
        <w:spacing w:after="40"/>
      </w:pPr>
      <w:r>
        <w:t xml:space="preserve">11. .NET Worker Services - Microsoft Learn: </w:t>
      </w:r>
      <w:hyperlink r:id="rId21">
        <w:r>
          <w:rPr>
            <w:color w:val="0563C1"/>
            <w:u w:val="single"/>
          </w:rPr>
          <w:t>https://learn.microsoft.com/en-us/dotnet/core/extensions/workers</w:t>
        </w:r>
      </w:hyperlink>
    </w:p>
    <w:p/>
    <w:p>
      <w:r>
        <w:t>Project baseline source: RLLOT_Dashboard_SDD.md, reconstructed from the current dashboard implementation documentation.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RLLOT Production Rollout Dashboard | Modernization Approach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D2D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Flow">
    <w:name w:val="CodeFlow"/>
    <w:pPr>
      <w:spacing w:after="20"/>
      <w:ind w:left="288"/>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github/spec-kit" TargetMode="External"/><Relationship Id="rId12" Type="http://schemas.openxmlformats.org/officeDocument/2006/relationships/hyperlink" Target="https://github.com/github/spec-kit/blob/main/docs/quickstart.md" TargetMode="External"/><Relationship Id="rId13" Type="http://schemas.openxmlformats.org/officeDocument/2006/relationships/hyperlink" Target="https://learn.microsoft.com/en-us/aspnet/core/host-and-deploy/iis/" TargetMode="External"/><Relationship Id="rId14" Type="http://schemas.openxmlformats.org/officeDocument/2006/relationships/hyperlink" Target="https://learn.microsoft.com/en-us/aspnet/core/security/authentication/windowsauth" TargetMode="External"/><Relationship Id="rId15" Type="http://schemas.openxmlformats.org/officeDocument/2006/relationships/hyperlink" Target="https://learn.microsoft.com/en-us/ef/core/providers/sqlite/" TargetMode="External"/><Relationship Id="rId16" Type="http://schemas.openxmlformats.org/officeDocument/2006/relationships/hyperlink" Target="https://www.sqlite.org/serverless.html" TargetMode="External"/><Relationship Id="rId17" Type="http://schemas.openxmlformats.org/officeDocument/2006/relationships/hyperlink" Target="https://www.sqlite.org/about.html" TargetMode="External"/><Relationship Id="rId18" Type="http://schemas.openxmlformats.org/officeDocument/2006/relationships/hyperlink" Target="https://www.sqlite.org/whentouse.html" TargetMode="External"/><Relationship Id="rId19" Type="http://schemas.openxmlformats.org/officeDocument/2006/relationships/hyperlink" Target="https://learn.microsoft.com/en-us/graph/api/resources/driveitem" TargetMode="External"/><Relationship Id="rId20" Type="http://schemas.openxmlformats.org/officeDocument/2006/relationships/hyperlink" Target="https://learn.microsoft.com/en-us/graph/api/resources/onedrive" TargetMode="External"/><Relationship Id="rId21" Type="http://schemas.openxmlformats.org/officeDocument/2006/relationships/hyperlink" Target="https://learn.microsoft.com/en-us/dotnet/core/extensions/work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