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56"/>
        </w:rPr>
        <w:t>RLLOT SDD Pilot</w:t>
      </w:r>
    </w:p>
    <w:p>
      <w:pPr>
        <w:jc w:val="center"/>
      </w:pPr>
      <w:r>
        <w:rPr>
          <w:rFonts w:ascii="Aptos" w:hAnsi="Aptos"/>
          <w:b/>
          <w:color w:val="1F4E78"/>
          <w:sz w:val="30"/>
        </w:rPr>
        <w:t>Manager Review — Approach, Execution Evidence, Problems Caught, and Learnings</w:t>
      </w:r>
    </w:p>
    <w:p>
      <w:pPr>
        <w:spacing w:before="200"/>
        <w:jc w:val="center"/>
      </w:pPr>
      <w:r>
        <w:rPr>
          <w:rFonts w:ascii="Aptos" w:hAnsi="Aptos"/>
          <w:color w:val="4B5563"/>
          <w:sz w:val="21"/>
        </w:rPr>
        <w:t>Production Rollout Dashboard Modernization | GitHub Spec Kit / Spec-Driven Development Pilot</w:t>
      </w:r>
    </w:p>
    <w:tbl>
      <w:tblPr>
        <w:tblW w:type="auto" w:w="0"/>
        <w:jc w:val="center"/>
        <w:tblLook w:firstColumn="1" w:firstRow="1" w:lastColumn="0" w:lastRow="0" w:noHBand="0" w:noVBand="1" w:val="04A0"/>
      </w:tblPr>
      <w:tblGrid>
        <w:gridCol w:w="10224"/>
      </w:tblGrid>
      <w:tr>
        <w:tc>
          <w:tcPr>
            <w:tcW w:type="dxa" w:w="10224"/>
            <w:shd w:fill="EEF5FB"/>
            <w:tcMar>
              <w:top w:w="130" w:type="dxa"/>
              <w:start w:w="170" w:type="dxa"/>
              <w:bottom w:w="130" w:type="dxa"/>
              <w:end w:w="170" w:type="dxa"/>
            </w:tcMar>
            <w:tcBorders>
              <w:top w:val="single" w:sz="6" w:space="0" w:color="1F4E78"/>
              <w:left w:val="single" w:sz="6" w:space="0" w:color="1F4E78"/>
              <w:bottom w:val="single" w:sz="6" w:space="0" w:color="1F4E78"/>
              <w:right w:val="single" w:sz="6" w:space="0" w:color="1F4E78"/>
            </w:tcBorders>
          </w:tcPr>
          <w:p>
            <w:pPr>
              <w:spacing w:after="60"/>
            </w:pPr>
            <w:r>
              <w:rPr>
                <w:rFonts w:ascii="Aptos" w:hAnsi="Aptos"/>
                <w:b/>
                <w:color w:val="1F4E78"/>
                <w:sz w:val="21"/>
              </w:rPr>
              <w:t>Core message</w:t>
            </w:r>
          </w:p>
          <w:p>
            <w:pPr>
              <w:spacing w:after="0"/>
            </w:pPr>
            <w:r>
              <w:rPr>
                <w:rFonts w:ascii="Aptos" w:hAnsi="Aptos"/>
                <w:sz w:val="20"/>
              </w:rPr>
              <w:t>This pilot is not a test of how quickly AI can generate code. It is a test of whether a high-level requirement can be converted into explicit, reviewable, traceable decisions before implementation—and whether those artifacts help reduce hidden assumptions and rework.</w:t>
            </w:r>
          </w:p>
        </w:tc>
      </w:tr>
    </w:tbl>
    <w:p>
      <w:pPr>
        <w:spacing w:after="20"/>
      </w:pPr>
    </w:p>
    <w:p>
      <w:pPr>
        <w:spacing w:before="320"/>
        <w:jc w:val="center"/>
      </w:pPr>
      <w:r>
        <w:rPr>
          <w:rFonts w:ascii="Aptos" w:hAnsi="Aptos"/>
          <w:color w:val="6B7280"/>
          <w:sz w:val="19"/>
        </w:rPr>
        <w:t>Status captured: 18 Aug 2026</w:t>
      </w:r>
    </w:p>
    <w:p>
      <w:pPr>
        <w:jc w:val="center"/>
      </w:pPr>
      <w:r>
        <w:rPr>
          <w:rFonts w:ascii="Aptos" w:hAnsi="Aptos"/>
          <w:color w:val="6B7280"/>
          <w:sz w:val="19"/>
        </w:rPr>
        <w:t>Primary execution feature: 001 — Controlled Excel Import, Validation, and Active Dataset</w:t>
      </w:r>
      <w:r>
        <w:br w:type="page"/>
      </w:r>
    </w:p>
    <w:p>
      <w:pPr>
        <w:pStyle w:val="Heading1"/>
      </w:pPr>
      <w:r>
        <w:t>1. Executive Summary</w:t>
      </w:r>
    </w:p>
    <w:p>
      <w:r>
        <w:rPr>
          <w:rFonts w:ascii="Aptos" w:hAnsi="Aptos"/>
          <w:b/>
        </w:rPr>
        <w:t xml:space="preserve">What was tested. </w:t>
      </w:r>
      <w:r>
        <w:rPr>
          <w:rFonts w:ascii="Aptos" w:hAnsi="Aptos"/>
        </w:rPr>
        <w:t>A real RLLOT modernization requirement was used as a controlled Spec-Driven Development experiment. The target implementation is greenfield, but the existing dashboard and Excel process are used as domain evidence—not as a design template.</w:t>
      </w:r>
    </w:p>
    <w:p>
      <w:r>
        <w:rPr>
          <w:rFonts w:ascii="Aptos" w:hAnsi="Aptos"/>
          <w:b/>
        </w:rPr>
        <w:t xml:space="preserve">What happened. </w:t>
      </w:r>
      <w:r>
        <w:rPr>
          <w:rFonts w:ascii="Aptos" w:hAnsi="Aptos"/>
        </w:rPr>
        <w:t>The workflow intentionally moved through discovery, constitution, specification, clarification, technical planning, cross-artifact review, and readiness gates before implementation. Those gates repeatedly exposed missing business rules, incorrect AI assumptions, and contradictions between artifacts.</w:t>
      </w:r>
    </w:p>
    <w:p>
      <w:r>
        <w:rPr>
          <w:rFonts w:ascii="Aptos" w:hAnsi="Aptos"/>
          <w:b/>
        </w:rPr>
        <w:t xml:space="preserve">Why Feature 001 took longer than expected. </w:t>
      </w:r>
      <w:r>
        <w:rPr>
          <w:rFonts w:ascii="Aptos" w:hAnsi="Aptos"/>
        </w:rPr>
        <w:t>Feature 001 is the data foundation for every downstream dashboard feature and the first feature used to establish the SDD working model. The time was spent converting previously implicit Excel behavior into explicit rules, correcting generated assumptions, and establishing reusable architecture/testing patterns—not simply writing documentation.</w:t>
      </w:r>
    </w:p>
    <w:tbl>
      <w:tblPr>
        <w:tblW w:type="auto" w:w="0"/>
        <w:jc w:val="center"/>
        <w:tblLook w:firstColumn="1" w:firstRow="1" w:lastColumn="0" w:lastRow="0" w:noHBand="0" w:noVBand="1" w:val="04A0"/>
      </w:tblPr>
      <w:tblGrid>
        <w:gridCol w:w="10224"/>
      </w:tblGrid>
      <w:tr>
        <w:tc>
          <w:tcPr>
            <w:tcW w:type="dxa" w:w="10224"/>
            <w:shd w:fill="FFF4E5"/>
            <w:tcMar>
              <w:top w:w="130" w:type="dxa"/>
              <w:start w:w="170" w:type="dxa"/>
              <w:bottom w:w="130" w:type="dxa"/>
              <w:end w:w="170" w:type="dxa"/>
            </w:tcMar>
            <w:tcBorders>
              <w:top w:val="single" w:sz="6" w:space="0" w:color="C26A00"/>
              <w:left w:val="single" w:sz="6" w:space="0" w:color="C26A00"/>
              <w:bottom w:val="single" w:sz="6" w:space="0" w:color="C26A00"/>
              <w:right w:val="single" w:sz="6" w:space="0" w:color="C26A00"/>
            </w:tcBorders>
          </w:tcPr>
          <w:p>
            <w:pPr>
              <w:spacing w:after="60"/>
            </w:pPr>
            <w:r>
              <w:rPr>
                <w:rFonts w:ascii="Aptos" w:hAnsi="Aptos"/>
                <w:b/>
                <w:color w:val="C26A00"/>
                <w:sz w:val="21"/>
              </w:rPr>
              <w:t>Manager takeaway</w:t>
            </w:r>
          </w:p>
          <w:p>
            <w:pPr>
              <w:spacing w:after="0"/>
            </w:pPr>
            <w:r>
              <w:rPr>
                <w:rFonts w:ascii="Aptos" w:hAnsi="Aptos"/>
                <w:sz w:val="20"/>
              </w:rPr>
              <w:t>The most useful result so far is not the amount of Markdown produced. It is evidence that the workflow caught several issues before code generation: a wrong workbook model, unsafe planning defaults, incomplete normalization rules, and cross-artifact inconsistencies.</w:t>
            </w:r>
          </w:p>
        </w:tc>
      </w:tr>
    </w:tbl>
    <w:p>
      <w:pPr>
        <w:spacing w:after="20"/>
      </w:pPr>
    </w:p>
    <w:p>
      <w:pPr>
        <w:pStyle w:val="Heading1"/>
      </w:pPr>
      <w:r>
        <w:t>2. Pilot Objective and Framing</w:t>
      </w:r>
    </w:p>
    <w:p>
      <w:pPr>
        <w:pStyle w:val="ListBullet"/>
        <w:spacing w:after="60"/>
      </w:pPr>
      <w:r>
        <w:rPr>
          <w:rFonts w:ascii="Aptos" w:hAnsi="Aptos"/>
        </w:rPr>
        <w:t>Evaluate the SDD / Spec Kit methodology on a real enterprise use case, not a toy example.</w:t>
      </w:r>
    </w:p>
    <w:p>
      <w:pPr>
        <w:pStyle w:val="ListBullet"/>
        <w:spacing w:after="60"/>
      </w:pPr>
      <w:r>
        <w:rPr>
          <w:rFonts w:ascii="Aptos" w:hAnsi="Aptos"/>
        </w:rPr>
        <w:t>Observe the path from a high-level requirement to explicit specs, technical plan, tasks, implementation, and later requirement change.</w:t>
      </w:r>
    </w:p>
    <w:p>
      <w:pPr>
        <w:pStyle w:val="ListBullet"/>
        <w:spacing w:after="60"/>
      </w:pPr>
      <w:r>
        <w:rPr>
          <w:rFonts w:ascii="Aptos" w:hAnsi="Aptos"/>
        </w:rPr>
        <w:t>Measure where human reasoning is still required instead of treating generated artifacts as authoritative.</w:t>
      </w:r>
    </w:p>
    <w:p>
      <w:pPr>
        <w:pStyle w:val="ListBullet"/>
        <w:spacing w:after="60"/>
      </w:pPr>
      <w:r>
        <w:rPr>
          <w:rFonts w:ascii="Aptos" w:hAnsi="Aptos"/>
        </w:rPr>
        <w:t>Use the current RLLOT implementation as evidence of business behavior while allowing a better greenfield product/architecture to emerge.</w:t>
      </w:r>
    </w:p>
    <w:p>
      <w:pPr>
        <w:pStyle w:val="ListBullet"/>
        <w:spacing w:after="60"/>
      </w:pPr>
      <w:r>
        <w:rPr>
          <w:rFonts w:ascii="Aptos" w:hAnsi="Aptos"/>
        </w:rPr>
        <w:t>Capture the journey, decisions, corrections, and effort so the learning can feed an organizational SDD guideline.</w:t>
      </w:r>
    </w:p>
    <w:p>
      <w:r>
        <w:rPr>
          <w:rFonts w:ascii="Aptos" w:hAnsi="Aptos"/>
          <w:b/>
          <w:color w:val="17365D"/>
        </w:rPr>
        <w:t xml:space="preserve">Working framing: </w:t>
      </w:r>
      <w:r>
        <w:rPr>
          <w:rFonts w:ascii="Aptos" w:hAnsi="Aptos"/>
          <w:b/>
        </w:rPr>
        <w:t>Brownfield-informed discovery → greenfield reimplementation.</w:t>
      </w:r>
    </w:p>
    <w:p>
      <w:pPr>
        <w:pStyle w:val="Heading1"/>
      </w:pPr>
      <w:r>
        <w:t>3. SDD Lifecycle Applied to RLLOT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024"/>
            <w:shd w:fill="1F4E78"/>
            <w:vAlign w:val="center"/>
            <w:tcMar>
              <w:top w:w="90" w:type="dxa"/>
              <w:start w:w="90" w:type="dxa"/>
              <w:bottom w:w="90" w:type="dxa"/>
              <w:end w:w="90" w:type="dxa"/>
            </w:tcMar>
          </w:tcPr>
          <w:p>
            <w:r>
              <w:rPr>
                <w:rFonts w:ascii="Aptos" w:hAnsi="Aptos"/>
                <w:b/>
                <w:color w:val="FFFFFF"/>
                <w:sz w:val="19"/>
              </w:rPr>
              <w:t>Stage</w:t>
            </w:r>
          </w:p>
        </w:tc>
        <w:tc>
          <w:tcPr>
            <w:tcW w:type="dxa" w:w="7056"/>
            <w:shd w:fill="1F4E78"/>
            <w:vAlign w:val="center"/>
            <w:tcMar>
              <w:top w:w="90" w:type="dxa"/>
              <w:start w:w="90" w:type="dxa"/>
              <w:bottom w:w="90" w:type="dxa"/>
              <w:end w:w="90" w:type="dxa"/>
            </w:tcMar>
          </w:tcPr>
          <w:p>
            <w:r>
              <w:rPr>
                <w:rFonts w:ascii="Aptos" w:hAnsi="Aptos"/>
                <w:b/>
                <w:color w:val="FFFFFF"/>
                <w:sz w:val="19"/>
              </w:rPr>
              <w:t>Purpose in this pilot</w:t>
            </w:r>
          </w:p>
        </w:tc>
      </w:tr>
      <w:tr>
        <w:tc>
          <w:tcPr>
            <w:tcW w:type="dxa" w:w="3024"/>
            <w:tcMar>
              <w:top w:w="80" w:type="dxa"/>
              <w:start w:w="90" w:type="dxa"/>
              <w:bottom w:w="80" w:type="dxa"/>
              <w:end w:w="90" w:type="dxa"/>
            </w:tcMar>
            <w:vAlign w:val="top"/>
          </w:tcPr>
          <w:p>
            <w:pPr>
              <w:spacing w:after="0"/>
            </w:pPr>
            <w:r>
              <w:rPr>
                <w:rFonts w:ascii="Aptos" w:hAnsi="Aptos"/>
                <w:sz w:val="18"/>
              </w:rPr>
              <w:t>Discovery / evidence</w:t>
            </w:r>
          </w:p>
        </w:tc>
        <w:tc>
          <w:tcPr>
            <w:tcW w:type="dxa" w:w="7056"/>
            <w:tcMar>
              <w:top w:w="80" w:type="dxa"/>
              <w:start w:w="90" w:type="dxa"/>
              <w:bottom w:w="80" w:type="dxa"/>
              <w:end w:w="90" w:type="dxa"/>
            </w:tcMar>
            <w:vAlign w:val="top"/>
          </w:tcPr>
          <w:p>
            <w:pPr>
              <w:spacing w:after="0"/>
            </w:pPr>
            <w:r>
              <w:rPr>
                <w:rFonts w:ascii="Aptos" w:hAnsi="Aptos"/>
                <w:sz w:val="18"/>
              </w:rPr>
              <w:t>Understand users, data, current behavior, constraints, and modernization problem without committing to implementation.</w:t>
            </w:r>
          </w:p>
        </w:tc>
      </w:tr>
      <w:tr>
        <w:tc>
          <w:tcPr>
            <w:tcW w:type="dxa" w:w="3024"/>
            <w:shd w:fill="F7F9FB"/>
            <w:tcMar>
              <w:top w:w="80" w:type="dxa"/>
              <w:start w:w="90" w:type="dxa"/>
              <w:bottom w:w="80" w:type="dxa"/>
              <w:end w:w="90" w:type="dxa"/>
            </w:tcMar>
            <w:vAlign w:val="top"/>
          </w:tcPr>
          <w:p>
            <w:pPr>
              <w:spacing w:after="0"/>
            </w:pPr>
            <w:r>
              <w:rPr>
                <w:rFonts w:ascii="Aptos" w:hAnsi="Aptos"/>
                <w:sz w:val="18"/>
              </w:rPr>
              <w:t>/speckit.constitution</w:t>
            </w:r>
          </w:p>
        </w:tc>
        <w:tc>
          <w:tcPr>
            <w:tcW w:type="dxa" w:w="7056"/>
            <w:shd w:fill="F7F9FB"/>
            <w:tcMar>
              <w:top w:w="80" w:type="dxa"/>
              <w:start w:w="90" w:type="dxa"/>
              <w:bottom w:w="80" w:type="dxa"/>
              <w:end w:w="90" w:type="dxa"/>
            </w:tcMar>
            <w:vAlign w:val="top"/>
          </w:tcPr>
          <w:p>
            <w:pPr>
              <w:spacing w:after="0"/>
            </w:pPr>
            <w:r>
              <w:rPr>
                <w:rFonts w:ascii="Aptos" w:hAnsi="Aptos"/>
                <w:sz w:val="18"/>
              </w:rPr>
              <w:t>Establish project-wide non-negotiable principles and governance.</w:t>
            </w:r>
          </w:p>
        </w:tc>
      </w:tr>
      <w:tr>
        <w:tc>
          <w:tcPr>
            <w:tcW w:type="dxa" w:w="3024"/>
            <w:tcMar>
              <w:top w:w="80" w:type="dxa"/>
              <w:start w:w="90" w:type="dxa"/>
              <w:bottom w:w="80" w:type="dxa"/>
              <w:end w:w="90" w:type="dxa"/>
            </w:tcMar>
            <w:vAlign w:val="top"/>
          </w:tcPr>
          <w:p>
            <w:pPr>
              <w:spacing w:after="0"/>
            </w:pPr>
            <w:r>
              <w:rPr>
                <w:rFonts w:ascii="Aptos" w:hAnsi="Aptos"/>
                <w:sz w:val="18"/>
              </w:rPr>
              <w:t>/speckit.specify</w:t>
            </w:r>
          </w:p>
        </w:tc>
        <w:tc>
          <w:tcPr>
            <w:tcW w:type="dxa" w:w="7056"/>
            <w:tcMar>
              <w:top w:w="80" w:type="dxa"/>
              <w:start w:w="90" w:type="dxa"/>
              <w:bottom w:w="80" w:type="dxa"/>
              <w:end w:w="90" w:type="dxa"/>
            </w:tcMar>
            <w:vAlign w:val="top"/>
          </w:tcPr>
          <w:p>
            <w:pPr>
              <w:spacing w:after="0"/>
            </w:pPr>
            <w:r>
              <w:rPr>
                <w:rFonts w:ascii="Aptos" w:hAnsi="Aptos"/>
                <w:sz w:val="18"/>
              </w:rPr>
              <w:t>Define Feature 001 in business/behavior terms, intentionally excluding implementation stack.</w:t>
            </w:r>
          </w:p>
        </w:tc>
      </w:tr>
      <w:tr>
        <w:tc>
          <w:tcPr>
            <w:tcW w:type="dxa" w:w="3024"/>
            <w:shd w:fill="F7F9FB"/>
            <w:tcMar>
              <w:top w:w="80" w:type="dxa"/>
              <w:start w:w="90" w:type="dxa"/>
              <w:bottom w:w="80" w:type="dxa"/>
              <w:end w:w="90" w:type="dxa"/>
            </w:tcMar>
            <w:vAlign w:val="top"/>
          </w:tcPr>
          <w:p>
            <w:pPr>
              <w:spacing w:after="0"/>
            </w:pPr>
            <w:r>
              <w:rPr>
                <w:rFonts w:ascii="Aptos" w:hAnsi="Aptos"/>
                <w:sz w:val="18"/>
              </w:rPr>
              <w:t>/speckit.clarify</w:t>
            </w:r>
          </w:p>
        </w:tc>
        <w:tc>
          <w:tcPr>
            <w:tcW w:type="dxa" w:w="7056"/>
            <w:shd w:fill="F7F9FB"/>
            <w:tcMar>
              <w:top w:w="80" w:type="dxa"/>
              <w:start w:w="90" w:type="dxa"/>
              <w:bottom w:w="80" w:type="dxa"/>
              <w:end w:w="90" w:type="dxa"/>
            </w:tcMar>
            <w:vAlign w:val="top"/>
          </w:tcPr>
          <w:p>
            <w:pPr>
              <w:spacing w:after="0"/>
            </w:pPr>
            <w:r>
              <w:rPr>
                <w:rFonts w:ascii="Aptos" w:hAnsi="Aptos"/>
                <w:sz w:val="18"/>
              </w:rPr>
              <w:t>Resolve ambiguous business and source-data behavior before technical design.</w:t>
            </w:r>
          </w:p>
        </w:tc>
      </w:tr>
      <w:tr>
        <w:tc>
          <w:tcPr>
            <w:tcW w:type="dxa" w:w="3024"/>
            <w:tcMar>
              <w:top w:w="80" w:type="dxa"/>
              <w:start w:w="90" w:type="dxa"/>
              <w:bottom w:w="80" w:type="dxa"/>
              <w:end w:w="90" w:type="dxa"/>
            </w:tcMar>
            <w:vAlign w:val="top"/>
          </w:tcPr>
          <w:p>
            <w:pPr>
              <w:spacing w:after="0"/>
            </w:pPr>
            <w:r>
              <w:rPr>
                <w:rFonts w:ascii="Aptos" w:hAnsi="Aptos"/>
                <w:sz w:val="18"/>
              </w:rPr>
              <w:t>/speckit.plan</w:t>
            </w:r>
          </w:p>
        </w:tc>
        <w:tc>
          <w:tcPr>
            <w:tcW w:type="dxa" w:w="7056"/>
            <w:tcMar>
              <w:top w:w="80" w:type="dxa"/>
              <w:start w:w="90" w:type="dxa"/>
              <w:bottom w:w="80" w:type="dxa"/>
              <w:end w:w="90" w:type="dxa"/>
            </w:tcMar>
            <w:vAlign w:val="top"/>
          </w:tcPr>
          <w:p>
            <w:pPr>
              <w:spacing w:after="0"/>
            </w:pPr>
            <w:r>
              <w:rPr>
                <w:rFonts w:ascii="Aptos" w:hAnsi="Aptos"/>
                <w:sz w:val="18"/>
              </w:rPr>
              <w:t>Introduce technical architecture, persistence, API, and test strategy using the clarified spec as source of truth.</w:t>
            </w:r>
          </w:p>
        </w:tc>
      </w:tr>
      <w:tr>
        <w:tc>
          <w:tcPr>
            <w:tcW w:type="dxa" w:w="3024"/>
            <w:shd w:fill="F7F9FB"/>
            <w:tcMar>
              <w:top w:w="80" w:type="dxa"/>
              <w:start w:w="90" w:type="dxa"/>
              <w:bottom w:w="80" w:type="dxa"/>
              <w:end w:w="90" w:type="dxa"/>
            </w:tcMar>
            <w:vAlign w:val="top"/>
          </w:tcPr>
          <w:p>
            <w:pPr>
              <w:spacing w:after="0"/>
            </w:pPr>
            <w:r>
              <w:rPr>
                <w:rFonts w:ascii="Aptos" w:hAnsi="Aptos"/>
                <w:sz w:val="18"/>
              </w:rPr>
              <w:t>Spec / plan review</w:t>
            </w:r>
          </w:p>
        </w:tc>
        <w:tc>
          <w:tcPr>
            <w:tcW w:type="dxa" w:w="7056"/>
            <w:shd w:fill="F7F9FB"/>
            <w:tcMar>
              <w:top w:w="80" w:type="dxa"/>
              <w:start w:w="90" w:type="dxa"/>
              <w:bottom w:w="80" w:type="dxa"/>
              <w:end w:w="90" w:type="dxa"/>
            </w:tcMar>
            <w:vAlign w:val="top"/>
          </w:tcPr>
          <w:p>
            <w:pPr>
              <w:spacing w:after="0"/>
            </w:pPr>
            <w:r>
              <w:rPr>
                <w:rFonts w:ascii="Aptos" w:hAnsi="Aptos"/>
                <w:sz w:val="18"/>
              </w:rPr>
              <w:t>Check that generated design did not contradict clarified requirements or stale legacy assumptions.</w:t>
            </w:r>
          </w:p>
        </w:tc>
      </w:tr>
      <w:tr>
        <w:tc>
          <w:tcPr>
            <w:tcW w:type="dxa" w:w="3024"/>
            <w:tcMar>
              <w:top w:w="80" w:type="dxa"/>
              <w:start w:w="90" w:type="dxa"/>
              <w:bottom w:w="80" w:type="dxa"/>
              <w:end w:w="90" w:type="dxa"/>
            </w:tcMar>
            <w:vAlign w:val="top"/>
          </w:tcPr>
          <w:p>
            <w:pPr>
              <w:spacing w:after="0"/>
            </w:pPr>
            <w:r>
              <w:rPr>
                <w:rFonts w:ascii="Aptos" w:hAnsi="Aptos"/>
                <w:sz w:val="18"/>
              </w:rPr>
              <w:t>/speckit.checklist</w:t>
            </w:r>
          </w:p>
        </w:tc>
        <w:tc>
          <w:tcPr>
            <w:tcW w:type="dxa" w:w="7056"/>
            <w:tcMar>
              <w:top w:w="80" w:type="dxa"/>
              <w:start w:w="90" w:type="dxa"/>
              <w:bottom w:w="80" w:type="dxa"/>
              <w:end w:w="90" w:type="dxa"/>
            </w:tcMar>
            <w:vAlign w:val="top"/>
          </w:tcPr>
          <w:p>
            <w:pPr>
              <w:spacing w:after="0"/>
            </w:pPr>
            <w:r>
              <w:rPr>
                <w:rFonts w:ascii="Aptos" w:hAnsi="Aptos"/>
                <w:sz w:val="18"/>
              </w:rPr>
              <w:t>Generate explicit readiness gates across spec, plan, research, data model, contracts, and constitution.</w:t>
            </w:r>
          </w:p>
        </w:tc>
      </w:tr>
      <w:tr>
        <w:tc>
          <w:tcPr>
            <w:tcW w:type="dxa" w:w="3024"/>
            <w:shd w:fill="F7F9FB"/>
            <w:tcMar>
              <w:top w:w="80" w:type="dxa"/>
              <w:start w:w="90" w:type="dxa"/>
              <w:bottom w:w="80" w:type="dxa"/>
              <w:end w:w="90" w:type="dxa"/>
            </w:tcMar>
            <w:vAlign w:val="top"/>
          </w:tcPr>
          <w:p>
            <w:pPr>
              <w:spacing w:after="0"/>
            </w:pPr>
            <w:r>
              <w:rPr>
                <w:rFonts w:ascii="Aptos" w:hAnsi="Aptos"/>
                <w:sz w:val="18"/>
              </w:rPr>
              <w:t>Readiness re-evaluation</w:t>
            </w:r>
          </w:p>
        </w:tc>
        <w:tc>
          <w:tcPr>
            <w:tcW w:type="dxa" w:w="7056"/>
            <w:shd w:fill="F7F9FB"/>
            <w:tcMar>
              <w:top w:w="80" w:type="dxa"/>
              <w:start w:w="90" w:type="dxa"/>
              <w:bottom w:w="80" w:type="dxa"/>
              <w:end w:w="90" w:type="dxa"/>
            </w:tcMar>
            <w:vAlign w:val="top"/>
          </w:tcPr>
          <w:p>
            <w:pPr>
              <w:spacing w:after="0"/>
            </w:pPr>
            <w:r>
              <w:rPr>
                <w:rFonts w:ascii="Aptos" w:hAnsi="Aptos"/>
                <w:sz w:val="18"/>
              </w:rPr>
              <w:t>Convert remaining reference deferrals into explicit rules and close cross-artifact gaps.</w:t>
            </w:r>
          </w:p>
        </w:tc>
      </w:tr>
      <w:tr>
        <w:tc>
          <w:tcPr>
            <w:tcW w:type="dxa" w:w="3024"/>
            <w:tcMar>
              <w:top w:w="80" w:type="dxa"/>
              <w:start w:w="90" w:type="dxa"/>
              <w:bottom w:w="80" w:type="dxa"/>
              <w:end w:w="90" w:type="dxa"/>
            </w:tcMar>
            <w:vAlign w:val="top"/>
          </w:tcPr>
          <w:p>
            <w:pPr>
              <w:spacing w:after="0"/>
            </w:pPr>
            <w:r>
              <w:rPr>
                <w:rFonts w:ascii="Aptos" w:hAnsi="Aptos"/>
                <w:sz w:val="18"/>
              </w:rPr>
              <w:t>/speckit.tasks → /analyze → /implement → /converge</w:t>
            </w:r>
          </w:p>
        </w:tc>
        <w:tc>
          <w:tcPr>
            <w:tcW w:type="dxa" w:w="7056"/>
            <w:tcMar>
              <w:top w:w="80" w:type="dxa"/>
              <w:start w:w="90" w:type="dxa"/>
              <w:bottom w:w="80" w:type="dxa"/>
              <w:end w:w="90" w:type="dxa"/>
            </w:tcMar>
            <w:vAlign w:val="top"/>
          </w:tcPr>
          <w:p>
            <w:pPr>
              <w:spacing w:after="0"/>
            </w:pPr>
            <w:r>
              <w:rPr>
                <w:rFonts w:ascii="Aptos" w:hAnsi="Aptos"/>
                <w:sz w:val="18"/>
              </w:rPr>
              <w:t>Next execution stages after final readiness review.</w:t>
            </w:r>
          </w:p>
        </w:tc>
      </w:tr>
    </w:tbl>
    <w:p>
      <w:pPr>
        <w:spacing w:after="40"/>
      </w:pPr>
    </w:p>
    <w:p>
      <w:pPr>
        <w:pStyle w:val="Heading1"/>
      </w:pPr>
      <w:r>
        <w:t>4. What the SDD Gates Actually Caught</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728"/>
            <w:shd w:fill="1F4E78"/>
            <w:vAlign w:val="center"/>
            <w:tcMar>
              <w:top w:w="90" w:type="dxa"/>
              <w:start w:w="90" w:type="dxa"/>
              <w:bottom w:w="90" w:type="dxa"/>
              <w:end w:w="90" w:type="dxa"/>
            </w:tcMar>
          </w:tcPr>
          <w:p>
            <w:r>
              <w:rPr>
                <w:rFonts w:ascii="Aptos" w:hAnsi="Aptos"/>
                <w:b/>
                <w:color w:val="FFFFFF"/>
                <w:sz w:val="18"/>
              </w:rPr>
              <w:t>Issue</w:t>
            </w:r>
          </w:p>
        </w:tc>
        <w:tc>
          <w:tcPr>
            <w:tcW w:type="dxa" w:w="1296"/>
            <w:shd w:fill="1F4E78"/>
            <w:vAlign w:val="center"/>
            <w:tcMar>
              <w:top w:w="90" w:type="dxa"/>
              <w:start w:w="90" w:type="dxa"/>
              <w:bottom w:w="90" w:type="dxa"/>
              <w:end w:w="90" w:type="dxa"/>
            </w:tcMar>
          </w:tcPr>
          <w:p>
            <w:r>
              <w:rPr>
                <w:rFonts w:ascii="Aptos" w:hAnsi="Aptos"/>
                <w:b/>
                <w:color w:val="FFFFFF"/>
                <w:sz w:val="18"/>
              </w:rPr>
              <w:t>Gate</w:t>
            </w:r>
          </w:p>
        </w:tc>
        <w:tc>
          <w:tcPr>
            <w:tcW w:type="dxa" w:w="2592"/>
            <w:shd w:fill="1F4E78"/>
            <w:vAlign w:val="center"/>
            <w:tcMar>
              <w:top w:w="90" w:type="dxa"/>
              <w:start w:w="90" w:type="dxa"/>
              <w:bottom w:w="90" w:type="dxa"/>
              <w:end w:w="90" w:type="dxa"/>
            </w:tcMar>
          </w:tcPr>
          <w:p>
            <w:r>
              <w:rPr>
                <w:rFonts w:ascii="Aptos" w:hAnsi="Aptos"/>
                <w:b/>
                <w:color w:val="FFFFFF"/>
                <w:sz w:val="18"/>
              </w:rPr>
              <w:t>What was found</w:t>
            </w:r>
          </w:p>
        </w:tc>
        <w:tc>
          <w:tcPr>
            <w:tcW w:type="dxa" w:w="2880"/>
            <w:shd w:fill="1F4E78"/>
            <w:vAlign w:val="center"/>
            <w:tcMar>
              <w:top w:w="90" w:type="dxa"/>
              <w:start w:w="90" w:type="dxa"/>
              <w:bottom w:w="90" w:type="dxa"/>
              <w:end w:w="90" w:type="dxa"/>
            </w:tcMar>
          </w:tcPr>
          <w:p>
            <w:r>
              <w:rPr>
                <w:rFonts w:ascii="Aptos" w:hAnsi="Aptos"/>
                <w:b/>
                <w:color w:val="FFFFFF"/>
                <w:sz w:val="18"/>
              </w:rPr>
              <w:t>Decision / correction</w:t>
            </w:r>
          </w:p>
        </w:tc>
        <w:tc>
          <w:tcPr>
            <w:tcW w:type="dxa" w:w="2448"/>
            <w:shd w:fill="1F4E78"/>
            <w:vAlign w:val="center"/>
            <w:tcMar>
              <w:top w:w="90" w:type="dxa"/>
              <w:start w:w="90" w:type="dxa"/>
              <w:bottom w:w="90" w:type="dxa"/>
              <w:end w:w="90" w:type="dxa"/>
            </w:tcMar>
          </w:tcPr>
          <w:p>
            <w:r>
              <w:rPr>
                <w:rFonts w:ascii="Aptos" w:hAnsi="Aptos"/>
                <w:b/>
                <w:color w:val="FFFFFF"/>
                <w:sz w:val="18"/>
              </w:rPr>
              <w:t>Why it matters</w:t>
            </w:r>
          </w:p>
        </w:tc>
      </w:tr>
      <w:tr>
        <w:tc>
          <w:tcPr>
            <w:tcW w:type="dxa" w:w="1728"/>
            <w:tcMar>
              <w:top w:w="80" w:type="dxa"/>
              <w:start w:w="90" w:type="dxa"/>
              <w:bottom w:w="80" w:type="dxa"/>
              <w:end w:w="90" w:type="dxa"/>
            </w:tcMar>
            <w:vAlign w:val="top"/>
          </w:tcPr>
          <w:p>
            <w:pPr>
              <w:spacing w:after="0"/>
            </w:pPr>
            <w:r>
              <w:rPr>
                <w:rFonts w:ascii="Aptos" w:hAnsi="Aptos"/>
                <w:sz w:val="17"/>
              </w:rPr>
              <w:t>Wrong workbook model</w:t>
            </w:r>
          </w:p>
        </w:tc>
        <w:tc>
          <w:tcPr>
            <w:tcW w:type="dxa" w:w="1296"/>
            <w:tcMar>
              <w:top w:w="80" w:type="dxa"/>
              <w:start w:w="90" w:type="dxa"/>
              <w:bottom w:w="80" w:type="dxa"/>
              <w:end w:w="90" w:type="dxa"/>
            </w:tcMar>
            <w:vAlign w:val="top"/>
          </w:tcPr>
          <w:p>
            <w:pPr>
              <w:spacing w:after="0"/>
            </w:pPr>
            <w:r>
              <w:rPr>
                <w:rFonts w:ascii="Aptos" w:hAnsi="Aptos"/>
                <w:sz w:val="17"/>
              </w:rPr>
              <w:t>Clarify</w:t>
            </w:r>
          </w:p>
        </w:tc>
        <w:tc>
          <w:tcPr>
            <w:tcW w:type="dxa" w:w="2592"/>
            <w:tcMar>
              <w:top w:w="80" w:type="dxa"/>
              <w:start w:w="90" w:type="dxa"/>
              <w:bottom w:w="80" w:type="dxa"/>
              <w:end w:w="90" w:type="dxa"/>
            </w:tcMar>
            <w:vAlign w:val="top"/>
          </w:tcPr>
          <w:p>
            <w:pPr>
              <w:spacing w:after="0"/>
            </w:pPr>
            <w:r>
              <w:rPr>
                <w:rFonts w:ascii="Aptos" w:hAnsi="Aptos"/>
                <w:sz w:val="17"/>
              </w:rPr>
              <w:t>AI initially reasoned as if there were six initiative workbooks.</w:t>
            </w:r>
          </w:p>
        </w:tc>
        <w:tc>
          <w:tcPr>
            <w:tcW w:type="dxa" w:w="2880"/>
            <w:tcMar>
              <w:top w:w="80" w:type="dxa"/>
              <w:start w:w="90" w:type="dxa"/>
              <w:bottom w:w="80" w:type="dxa"/>
              <w:end w:w="90" w:type="dxa"/>
            </w:tcMar>
            <w:vAlign w:val="top"/>
          </w:tcPr>
          <w:p>
            <w:pPr>
              <w:spacing w:after="0"/>
            </w:pPr>
            <w:r>
              <w:rPr>
                <w:rFonts w:ascii="Aptos" w:hAnsi="Aptos"/>
                <w:sz w:val="17"/>
              </w:rPr>
              <w:t>Real model: one or more DR workbooks, each containing six required initiative sheets.</w:t>
            </w:r>
          </w:p>
        </w:tc>
        <w:tc>
          <w:tcPr>
            <w:tcW w:type="dxa" w:w="2448"/>
            <w:tcMar>
              <w:top w:w="80" w:type="dxa"/>
              <w:start w:w="90" w:type="dxa"/>
              <w:bottom w:w="80" w:type="dxa"/>
              <w:end w:w="90" w:type="dxa"/>
            </w:tcMar>
            <w:vAlign w:val="top"/>
          </w:tcPr>
          <w:p>
            <w:pPr>
              <w:spacing w:after="0"/>
            </w:pPr>
            <w:r>
              <w:rPr>
                <w:rFonts w:ascii="Aptos" w:hAnsi="Aptos"/>
                <w:sz w:val="17"/>
              </w:rPr>
              <w:t>Would have produced the wrong import contract and validation design.</w:t>
            </w:r>
          </w:p>
        </w:tc>
      </w:tr>
      <w:tr>
        <w:tc>
          <w:tcPr>
            <w:tcW w:type="dxa" w:w="1728"/>
            <w:shd w:fill="F7F9FB"/>
            <w:tcMar>
              <w:top w:w="80" w:type="dxa"/>
              <w:start w:w="90" w:type="dxa"/>
              <w:bottom w:w="80" w:type="dxa"/>
              <w:end w:w="90" w:type="dxa"/>
            </w:tcMar>
            <w:vAlign w:val="top"/>
          </w:tcPr>
          <w:p>
            <w:pPr>
              <w:spacing w:after="0"/>
            </w:pPr>
            <w:r>
              <w:rPr>
                <w:rFonts w:ascii="Aptos" w:hAnsi="Aptos"/>
                <w:sz w:val="17"/>
              </w:rPr>
              <w:t>DR schema variation missing</w:t>
            </w:r>
          </w:p>
        </w:tc>
        <w:tc>
          <w:tcPr>
            <w:tcW w:type="dxa" w:w="1296"/>
            <w:shd w:fill="F7F9FB"/>
            <w:tcMar>
              <w:top w:w="80" w:type="dxa"/>
              <w:start w:w="90" w:type="dxa"/>
              <w:bottom w:w="80" w:type="dxa"/>
              <w:end w:w="90" w:type="dxa"/>
            </w:tcMar>
            <w:vAlign w:val="top"/>
          </w:tcPr>
          <w:p>
            <w:pPr>
              <w:spacing w:after="0"/>
            </w:pPr>
            <w:r>
              <w:rPr>
                <w:rFonts w:ascii="Aptos" w:hAnsi="Aptos"/>
                <w:sz w:val="17"/>
              </w:rPr>
              <w:t>Spec review / planning</w:t>
            </w:r>
          </w:p>
        </w:tc>
        <w:tc>
          <w:tcPr>
            <w:tcW w:type="dxa" w:w="2592"/>
            <w:shd w:fill="F7F9FB"/>
            <w:tcMar>
              <w:top w:w="80" w:type="dxa"/>
              <w:start w:w="90" w:type="dxa"/>
              <w:bottom w:w="80" w:type="dxa"/>
              <w:end w:w="90" w:type="dxa"/>
            </w:tcMar>
            <w:vAlign w:val="top"/>
          </w:tcPr>
          <w:p>
            <w:pPr>
              <w:spacing w:after="0"/>
            </w:pPr>
            <w:r>
              <w:rPr>
                <w:rFonts w:ascii="Aptos" w:hAnsi="Aptos"/>
                <w:sz w:val="17"/>
              </w:rPr>
              <w:t>Different DR workbooks can contain extra/variant columns.</w:t>
            </w:r>
          </w:p>
        </w:tc>
        <w:tc>
          <w:tcPr>
            <w:tcW w:type="dxa" w:w="2880"/>
            <w:shd w:fill="F7F9FB"/>
            <w:tcMar>
              <w:top w:w="80" w:type="dxa"/>
              <w:start w:w="90" w:type="dxa"/>
              <w:bottom w:w="80" w:type="dxa"/>
              <w:end w:w="90" w:type="dxa"/>
            </w:tcMar>
            <w:vAlign w:val="top"/>
          </w:tcPr>
          <w:p>
            <w:pPr>
              <w:spacing w:after="0"/>
            </w:pPr>
            <w:r>
              <w:rPr>
                <w:rFonts w:ascii="Aptos" w:hAnsi="Aptos"/>
                <w:sz w:val="17"/>
              </w:rPr>
              <w:t>Moved requirement into spec: semantic header mapping, no fixed-position or DR-specific parser.</w:t>
            </w:r>
          </w:p>
        </w:tc>
        <w:tc>
          <w:tcPr>
            <w:tcW w:type="dxa" w:w="2448"/>
            <w:shd w:fill="F7F9FB"/>
            <w:tcMar>
              <w:top w:w="80" w:type="dxa"/>
              <w:start w:w="90" w:type="dxa"/>
              <w:bottom w:w="80" w:type="dxa"/>
              <w:end w:w="90" w:type="dxa"/>
            </w:tcMar>
            <w:vAlign w:val="top"/>
          </w:tcPr>
          <w:p>
            <w:pPr>
              <w:spacing w:after="0"/>
            </w:pPr>
            <w:r>
              <w:rPr>
                <w:rFonts w:ascii="Aptos" w:hAnsi="Aptos"/>
                <w:sz w:val="17"/>
              </w:rPr>
              <w:t>Prevents fragile branch-per-DR implementation and silent column shifts.</w:t>
            </w:r>
          </w:p>
        </w:tc>
      </w:tr>
      <w:tr>
        <w:tc>
          <w:tcPr>
            <w:tcW w:type="dxa" w:w="1728"/>
            <w:tcMar>
              <w:top w:w="80" w:type="dxa"/>
              <w:start w:w="90" w:type="dxa"/>
              <w:bottom w:w="80" w:type="dxa"/>
              <w:end w:w="90" w:type="dxa"/>
            </w:tcMar>
            <w:vAlign w:val="top"/>
          </w:tcPr>
          <w:p>
            <w:pPr>
              <w:spacing w:after="0"/>
            </w:pPr>
            <w:r>
              <w:rPr>
                <w:rFonts w:ascii="Aptos" w:hAnsi="Aptos"/>
                <w:sz w:val="17"/>
              </w:rPr>
              <w:t>Unknown status severity</w:t>
            </w:r>
          </w:p>
        </w:tc>
        <w:tc>
          <w:tcPr>
            <w:tcW w:type="dxa" w:w="1296"/>
            <w:tcMar>
              <w:top w:w="80" w:type="dxa"/>
              <w:start w:w="90" w:type="dxa"/>
              <w:bottom w:w="80" w:type="dxa"/>
              <w:end w:w="90" w:type="dxa"/>
            </w:tcMar>
            <w:vAlign w:val="top"/>
          </w:tcPr>
          <w:p>
            <w:pPr>
              <w:spacing w:after="0"/>
            </w:pPr>
            <w:r>
              <w:rPr>
                <w:rFonts w:ascii="Aptos" w:hAnsi="Aptos"/>
                <w:sz w:val="17"/>
              </w:rPr>
              <w:t>Clarify</w:t>
            </w:r>
          </w:p>
        </w:tc>
        <w:tc>
          <w:tcPr>
            <w:tcW w:type="dxa" w:w="2592"/>
            <w:tcMar>
              <w:top w:w="80" w:type="dxa"/>
              <w:start w:w="90" w:type="dxa"/>
              <w:bottom w:w="80" w:type="dxa"/>
              <w:end w:w="90" w:type="dxa"/>
            </w:tcMar>
            <w:vAlign w:val="top"/>
          </w:tcPr>
          <w:p>
            <w:pPr>
              <w:spacing w:after="0"/>
            </w:pPr>
            <w:r>
              <w:rPr>
                <w:rFonts w:ascii="Aptos" w:hAnsi="Aptos"/>
                <w:sz w:val="17"/>
              </w:rPr>
              <w:t>Fatal vs warning was unspecified.</w:t>
            </w:r>
          </w:p>
        </w:tc>
        <w:tc>
          <w:tcPr>
            <w:tcW w:type="dxa" w:w="2880"/>
            <w:tcMar>
              <w:top w:w="80" w:type="dxa"/>
              <w:start w:w="90" w:type="dxa"/>
              <w:bottom w:w="80" w:type="dxa"/>
              <w:end w:w="90" w:type="dxa"/>
            </w:tcMar>
            <w:vAlign w:val="top"/>
          </w:tcPr>
          <w:p>
            <w:pPr>
              <w:spacing w:after="0"/>
            </w:pPr>
            <w:r>
              <w:rPr>
                <w:rFonts w:ascii="Aptos" w:hAnsi="Aptos"/>
                <w:sz w:val="17"/>
              </w:rPr>
              <w:t>Preserve raw value + non-fatal warning.</w:t>
            </w:r>
          </w:p>
        </w:tc>
        <w:tc>
          <w:tcPr>
            <w:tcW w:type="dxa" w:w="2448"/>
            <w:tcMar>
              <w:top w:w="80" w:type="dxa"/>
              <w:start w:w="90" w:type="dxa"/>
              <w:bottom w:w="80" w:type="dxa"/>
              <w:end w:w="90" w:type="dxa"/>
            </w:tcMar>
            <w:vAlign w:val="top"/>
          </w:tcPr>
          <w:p>
            <w:pPr>
              <w:spacing w:after="0"/>
            </w:pPr>
            <w:r>
              <w:rPr>
                <w:rFonts w:ascii="Aptos" w:hAnsi="Aptos"/>
                <w:sz w:val="17"/>
              </w:rPr>
              <w:t>Maintains compatibility while adding visibility.</w:t>
            </w:r>
          </w:p>
        </w:tc>
      </w:tr>
      <w:tr>
        <w:tc>
          <w:tcPr>
            <w:tcW w:type="dxa" w:w="1728"/>
            <w:shd w:fill="F7F9FB"/>
            <w:tcMar>
              <w:top w:w="80" w:type="dxa"/>
              <w:start w:w="90" w:type="dxa"/>
              <w:bottom w:w="80" w:type="dxa"/>
              <w:end w:w="90" w:type="dxa"/>
            </w:tcMar>
            <w:vAlign w:val="top"/>
          </w:tcPr>
          <w:p>
            <w:pPr>
              <w:spacing w:after="0"/>
            </w:pPr>
            <w:r>
              <w:rPr>
                <w:rFonts w:ascii="Aptos" w:hAnsi="Aptos"/>
                <w:sz w:val="17"/>
              </w:rPr>
              <w:t>Unreadable workbook behavior</w:t>
            </w:r>
          </w:p>
        </w:tc>
        <w:tc>
          <w:tcPr>
            <w:tcW w:type="dxa" w:w="1296"/>
            <w:shd w:fill="F7F9FB"/>
            <w:tcMar>
              <w:top w:w="80" w:type="dxa"/>
              <w:start w:w="90" w:type="dxa"/>
              <w:bottom w:w="80" w:type="dxa"/>
              <w:end w:w="90" w:type="dxa"/>
            </w:tcMar>
            <w:vAlign w:val="top"/>
          </w:tcPr>
          <w:p>
            <w:pPr>
              <w:spacing w:after="0"/>
            </w:pPr>
            <w:r>
              <w:rPr>
                <w:rFonts w:ascii="Aptos" w:hAnsi="Aptos"/>
                <w:sz w:val="17"/>
              </w:rPr>
              <w:t>Clarify</w:t>
            </w:r>
          </w:p>
        </w:tc>
        <w:tc>
          <w:tcPr>
            <w:tcW w:type="dxa" w:w="2592"/>
            <w:shd w:fill="F7F9FB"/>
            <w:tcMar>
              <w:top w:w="80" w:type="dxa"/>
              <w:start w:w="90" w:type="dxa"/>
              <w:bottom w:w="80" w:type="dxa"/>
              <w:end w:w="90" w:type="dxa"/>
            </w:tcMar>
            <w:vAlign w:val="top"/>
          </w:tcPr>
          <w:p>
            <w:pPr>
              <w:spacing w:after="0"/>
            </w:pPr>
            <w:r>
              <w:rPr>
                <w:rFonts w:ascii="Aptos" w:hAnsi="Aptos"/>
                <w:sz w:val="17"/>
              </w:rPr>
              <w:t>Fail-fast vs collect-all was unspecified.</w:t>
            </w:r>
          </w:p>
        </w:tc>
        <w:tc>
          <w:tcPr>
            <w:tcW w:type="dxa" w:w="2880"/>
            <w:shd w:fill="F7F9FB"/>
            <w:tcMar>
              <w:top w:w="80" w:type="dxa"/>
              <w:start w:w="90" w:type="dxa"/>
              <w:bottom w:w="80" w:type="dxa"/>
              <w:end w:w="90" w:type="dxa"/>
            </w:tcMar>
            <w:vAlign w:val="top"/>
          </w:tcPr>
          <w:p>
            <w:pPr>
              <w:spacing w:after="0"/>
            </w:pPr>
            <w:r>
              <w:rPr>
                <w:rFonts w:ascii="Aptos" w:hAnsi="Aptos"/>
                <w:sz w:val="17"/>
              </w:rPr>
              <w:t>Collect diagnostics across batch, but block activation.</w:t>
            </w:r>
          </w:p>
        </w:tc>
        <w:tc>
          <w:tcPr>
            <w:tcW w:type="dxa" w:w="2448"/>
            <w:shd w:fill="F7F9FB"/>
            <w:tcMar>
              <w:top w:w="80" w:type="dxa"/>
              <w:start w:w="90" w:type="dxa"/>
              <w:bottom w:w="80" w:type="dxa"/>
              <w:end w:w="90" w:type="dxa"/>
            </w:tcMar>
            <w:vAlign w:val="top"/>
          </w:tcPr>
          <w:p>
            <w:pPr>
              <w:spacing w:after="0"/>
            </w:pPr>
            <w:r>
              <w:rPr>
                <w:rFonts w:ascii="Aptos" w:hAnsi="Aptos"/>
                <w:sz w:val="17"/>
              </w:rPr>
              <w:t>Better operator diagnostics without unsafe partial activation.</w:t>
            </w:r>
          </w:p>
        </w:tc>
      </w:tr>
      <w:tr>
        <w:tc>
          <w:tcPr>
            <w:tcW w:type="dxa" w:w="1728"/>
            <w:tcMar>
              <w:top w:w="80" w:type="dxa"/>
              <w:start w:w="90" w:type="dxa"/>
              <w:bottom w:w="80" w:type="dxa"/>
              <w:end w:w="90" w:type="dxa"/>
            </w:tcMar>
            <w:vAlign w:val="top"/>
          </w:tcPr>
          <w:p>
            <w:pPr>
              <w:spacing w:after="0"/>
            </w:pPr>
            <w:r>
              <w:rPr>
                <w:rFonts w:ascii="Aptos" w:hAnsi="Aptos"/>
                <w:sz w:val="17"/>
              </w:rPr>
              <w:t>Duplicate Excel row number</w:t>
            </w:r>
          </w:p>
        </w:tc>
        <w:tc>
          <w:tcPr>
            <w:tcW w:type="dxa" w:w="1296"/>
            <w:tcMar>
              <w:top w:w="80" w:type="dxa"/>
              <w:start w:w="90" w:type="dxa"/>
              <w:bottom w:w="80" w:type="dxa"/>
              <w:end w:w="90" w:type="dxa"/>
            </w:tcMar>
            <w:vAlign w:val="top"/>
          </w:tcPr>
          <w:p>
            <w:pPr>
              <w:spacing w:after="0"/>
            </w:pPr>
            <w:r>
              <w:rPr>
                <w:rFonts w:ascii="Aptos" w:hAnsi="Aptos"/>
                <w:sz w:val="17"/>
              </w:rPr>
              <w:t>Clarify</w:t>
            </w:r>
          </w:p>
        </w:tc>
        <w:tc>
          <w:tcPr>
            <w:tcW w:type="dxa" w:w="2592"/>
            <w:tcMar>
              <w:top w:w="80" w:type="dxa"/>
              <w:start w:w="90" w:type="dxa"/>
              <w:bottom w:w="80" w:type="dxa"/>
              <w:end w:w="90" w:type="dxa"/>
            </w:tcMar>
            <w:vAlign w:val="top"/>
          </w:tcPr>
          <w:p>
            <w:pPr>
              <w:spacing w:after="0"/>
            </w:pPr>
            <w:r>
              <w:rPr>
                <w:rFonts w:ascii="Aptos" w:hAnsi="Aptos"/>
                <w:sz w:val="17"/>
              </w:rPr>
              <w:t>Could be treated as a unique key or deduplicated.</w:t>
            </w:r>
          </w:p>
        </w:tc>
        <w:tc>
          <w:tcPr>
            <w:tcW w:type="dxa" w:w="2880"/>
            <w:tcMar>
              <w:top w:w="80" w:type="dxa"/>
              <w:start w:w="90" w:type="dxa"/>
              <w:bottom w:w="80" w:type="dxa"/>
              <w:end w:w="90" w:type="dxa"/>
            </w:tcMar>
            <w:vAlign w:val="top"/>
          </w:tcPr>
          <w:p>
            <w:pPr>
              <w:spacing w:after="0"/>
            </w:pPr>
            <w:r>
              <w:rPr>
                <w:rFonts w:ascii="Aptos" w:hAnsi="Aptos"/>
                <w:sz w:val="17"/>
              </w:rPr>
              <w:t>Keep all otherwise-valid rows + warning; Excel # is source/display metadata.</w:t>
            </w:r>
          </w:p>
        </w:tc>
        <w:tc>
          <w:tcPr>
            <w:tcW w:type="dxa" w:w="2448"/>
            <w:tcMar>
              <w:top w:w="80" w:type="dxa"/>
              <w:start w:w="90" w:type="dxa"/>
              <w:bottom w:w="80" w:type="dxa"/>
              <w:end w:w="90" w:type="dxa"/>
            </w:tcMar>
            <w:vAlign w:val="top"/>
          </w:tcPr>
          <w:p>
            <w:pPr>
              <w:spacing w:after="0"/>
            </w:pPr>
            <w:r>
              <w:rPr>
                <w:rFonts w:ascii="Aptos" w:hAnsi="Aptos"/>
                <w:sz w:val="17"/>
              </w:rPr>
              <w:t>Avoids silently dropping legitimate business rows.</w:t>
            </w:r>
          </w:p>
        </w:tc>
      </w:tr>
      <w:tr>
        <w:tc>
          <w:tcPr>
            <w:tcW w:type="dxa" w:w="1728"/>
            <w:shd w:fill="F7F9FB"/>
            <w:tcMar>
              <w:top w:w="80" w:type="dxa"/>
              <w:start w:w="90" w:type="dxa"/>
              <w:bottom w:w="80" w:type="dxa"/>
              <w:end w:w="90" w:type="dxa"/>
            </w:tcMar>
            <w:vAlign w:val="top"/>
          </w:tcPr>
          <w:p>
            <w:pPr>
              <w:spacing w:after="0"/>
            </w:pPr>
            <w:r>
              <w:rPr>
                <w:rFonts w:ascii="Aptos" w:hAnsi="Aptos"/>
                <w:sz w:val="17"/>
              </w:rPr>
              <w:t>Plan contradicted clarification</w:t>
            </w:r>
          </w:p>
        </w:tc>
        <w:tc>
          <w:tcPr>
            <w:tcW w:type="dxa" w:w="1296"/>
            <w:shd w:fill="F7F9FB"/>
            <w:tcMar>
              <w:top w:w="80" w:type="dxa"/>
              <w:start w:w="90" w:type="dxa"/>
              <w:bottom w:w="80" w:type="dxa"/>
              <w:end w:w="90" w:type="dxa"/>
            </w:tcMar>
            <w:vAlign w:val="top"/>
          </w:tcPr>
          <w:p>
            <w:pPr>
              <w:spacing w:after="0"/>
            </w:pPr>
            <w:r>
              <w:rPr>
                <w:rFonts w:ascii="Aptos" w:hAnsi="Aptos"/>
                <w:sz w:val="17"/>
              </w:rPr>
              <w:t>Plan review</w:t>
            </w:r>
          </w:p>
        </w:tc>
        <w:tc>
          <w:tcPr>
            <w:tcW w:type="dxa" w:w="2592"/>
            <w:shd w:fill="F7F9FB"/>
            <w:tcMar>
              <w:top w:w="80" w:type="dxa"/>
              <w:start w:w="90" w:type="dxa"/>
              <w:bottom w:w="80" w:type="dxa"/>
              <w:end w:w="90" w:type="dxa"/>
            </w:tcMar>
            <w:vAlign w:val="top"/>
          </w:tcPr>
          <w:p>
            <w:pPr>
              <w:spacing w:after="0"/>
            </w:pPr>
            <w:r>
              <w:rPr>
                <w:rFonts w:ascii="Aptos" w:hAnsi="Aptos"/>
                <w:sz w:val="17"/>
              </w:rPr>
              <w:t>Plan proposed “keep first duplicate” and “retain last 100 imports”.</w:t>
            </w:r>
          </w:p>
        </w:tc>
        <w:tc>
          <w:tcPr>
            <w:tcW w:type="dxa" w:w="2880"/>
            <w:shd w:fill="F7F9FB"/>
            <w:tcMar>
              <w:top w:w="80" w:type="dxa"/>
              <w:start w:w="90" w:type="dxa"/>
              <w:bottom w:w="80" w:type="dxa"/>
              <w:end w:w="90" w:type="dxa"/>
            </w:tcMar>
            <w:vAlign w:val="top"/>
          </w:tcPr>
          <w:p>
            <w:pPr>
              <w:spacing w:after="0"/>
            </w:pPr>
            <w:r>
              <w:rPr>
                <w:rFonts w:ascii="Aptos" w:hAnsi="Aptos"/>
                <w:sz w:val="17"/>
              </w:rPr>
              <w:t>Corrected plan to follow clarified spec: keep all duplicates; retain all import-run records in V1.</w:t>
            </w:r>
          </w:p>
        </w:tc>
        <w:tc>
          <w:tcPr>
            <w:tcW w:type="dxa" w:w="2448"/>
            <w:shd w:fill="F7F9FB"/>
            <w:tcMar>
              <w:top w:w="80" w:type="dxa"/>
              <w:start w:w="90" w:type="dxa"/>
              <w:bottom w:w="80" w:type="dxa"/>
              <w:end w:w="90" w:type="dxa"/>
            </w:tcMar>
            <w:vAlign w:val="top"/>
          </w:tcPr>
          <w:p>
            <w:pPr>
              <w:spacing w:after="0"/>
            </w:pPr>
            <w:r>
              <w:rPr>
                <w:rFonts w:ascii="Aptos" w:hAnsi="Aptos"/>
                <w:sz w:val="17"/>
              </w:rPr>
              <w:t>Proved downstream AI output can override prior decisions unless reviewed.</w:t>
            </w:r>
          </w:p>
        </w:tc>
      </w:tr>
      <w:tr>
        <w:tc>
          <w:tcPr>
            <w:tcW w:type="dxa" w:w="1728"/>
            <w:tcMar>
              <w:top w:w="80" w:type="dxa"/>
              <w:start w:w="90" w:type="dxa"/>
              <w:bottom w:w="80" w:type="dxa"/>
              <w:end w:w="90" w:type="dxa"/>
            </w:tcMar>
            <w:vAlign w:val="top"/>
          </w:tcPr>
          <w:p>
            <w:pPr>
              <w:spacing w:after="0"/>
            </w:pPr>
            <w:r>
              <w:rPr>
                <w:rFonts w:ascii="Aptos" w:hAnsi="Aptos"/>
                <w:sz w:val="17"/>
              </w:rPr>
              <w:t>Stale spec wording</w:t>
            </w:r>
          </w:p>
        </w:tc>
        <w:tc>
          <w:tcPr>
            <w:tcW w:type="dxa" w:w="1296"/>
            <w:tcMar>
              <w:top w:w="80" w:type="dxa"/>
              <w:start w:w="90" w:type="dxa"/>
              <w:bottom w:w="80" w:type="dxa"/>
              <w:end w:w="90" w:type="dxa"/>
            </w:tcMar>
            <w:vAlign w:val="top"/>
          </w:tcPr>
          <w:p>
            <w:pPr>
              <w:spacing w:after="0"/>
            </w:pPr>
            <w:r>
              <w:rPr>
                <w:rFonts w:ascii="Aptos" w:hAnsi="Aptos"/>
                <w:sz w:val="17"/>
              </w:rPr>
              <w:t>Manual spec review</w:t>
            </w:r>
          </w:p>
        </w:tc>
        <w:tc>
          <w:tcPr>
            <w:tcW w:type="dxa" w:w="2592"/>
            <w:tcMar>
              <w:top w:w="80" w:type="dxa"/>
              <w:start w:w="90" w:type="dxa"/>
              <w:bottom w:w="80" w:type="dxa"/>
              <w:end w:w="90" w:type="dxa"/>
            </w:tcMar>
            <w:vAlign w:val="top"/>
          </w:tcPr>
          <w:p>
            <w:pPr>
              <w:spacing w:after="0"/>
            </w:pPr>
            <w:r>
              <w:rPr>
                <w:rFonts w:ascii="Aptos" w:hAnsi="Aptos"/>
                <w:sz w:val="17"/>
              </w:rPr>
              <w:t>“One workbook per initiative” and “exactly six sheets” remained after correction.</w:t>
            </w:r>
          </w:p>
        </w:tc>
        <w:tc>
          <w:tcPr>
            <w:tcW w:type="dxa" w:w="2880"/>
            <w:tcMar>
              <w:top w:w="80" w:type="dxa"/>
              <w:start w:w="90" w:type="dxa"/>
              <w:bottom w:w="80" w:type="dxa"/>
              <w:end w:w="90" w:type="dxa"/>
            </w:tcMar>
            <w:vAlign w:val="top"/>
          </w:tcPr>
          <w:p>
            <w:pPr>
              <w:spacing w:after="0"/>
            </w:pPr>
            <w:r>
              <w:rPr>
                <w:rFonts w:ascii="Aptos" w:hAnsi="Aptos"/>
                <w:sz w:val="17"/>
              </w:rPr>
              <w:t>Corrected to DR-workbook model and six required sheets; extra sheets permitted.</w:t>
            </w:r>
          </w:p>
        </w:tc>
        <w:tc>
          <w:tcPr>
            <w:tcW w:type="dxa" w:w="2448"/>
            <w:tcMar>
              <w:top w:w="80" w:type="dxa"/>
              <w:start w:w="90" w:type="dxa"/>
              <w:bottom w:w="80" w:type="dxa"/>
              <w:end w:w="90" w:type="dxa"/>
            </w:tcMar>
            <w:vAlign w:val="top"/>
          </w:tcPr>
          <w:p>
            <w:pPr>
              <w:spacing w:after="0"/>
            </w:pPr>
            <w:r>
              <w:rPr>
                <w:rFonts w:ascii="Aptos" w:hAnsi="Aptos"/>
                <w:sz w:val="17"/>
              </w:rPr>
              <w:t>Shows artifacts can retain stale assumptions after automated edits.</w:t>
            </w:r>
          </w:p>
        </w:tc>
      </w:tr>
      <w:tr>
        <w:tc>
          <w:tcPr>
            <w:tcW w:type="dxa" w:w="1728"/>
            <w:shd w:fill="F7F9FB"/>
            <w:tcMar>
              <w:top w:w="80" w:type="dxa"/>
              <w:start w:w="90" w:type="dxa"/>
              <w:bottom w:w="80" w:type="dxa"/>
              <w:end w:w="90" w:type="dxa"/>
            </w:tcMar>
            <w:vAlign w:val="top"/>
          </w:tcPr>
          <w:p>
            <w:pPr>
              <w:spacing w:after="0"/>
            </w:pPr>
            <w:r>
              <w:rPr>
                <w:rFonts w:ascii="Aptos" w:hAnsi="Aptos"/>
                <w:sz w:val="17"/>
              </w:rPr>
              <w:t>Reference deferrals</w:t>
            </w:r>
          </w:p>
        </w:tc>
        <w:tc>
          <w:tcPr>
            <w:tcW w:type="dxa" w:w="1296"/>
            <w:shd w:fill="F7F9FB"/>
            <w:tcMar>
              <w:top w:w="80" w:type="dxa"/>
              <w:start w:w="90" w:type="dxa"/>
              <w:bottom w:w="80" w:type="dxa"/>
              <w:end w:w="90" w:type="dxa"/>
            </w:tcMar>
            <w:vAlign w:val="top"/>
          </w:tcPr>
          <w:p>
            <w:pPr>
              <w:spacing w:after="0"/>
            </w:pPr>
            <w:r>
              <w:rPr>
                <w:rFonts w:ascii="Aptos" w:hAnsi="Aptos"/>
                <w:sz w:val="17"/>
              </w:rPr>
              <w:t>Readiness checklist</w:t>
            </w:r>
          </w:p>
        </w:tc>
        <w:tc>
          <w:tcPr>
            <w:tcW w:type="dxa" w:w="2592"/>
            <w:shd w:fill="F7F9FB"/>
            <w:tcMar>
              <w:top w:w="80" w:type="dxa"/>
              <w:start w:w="90" w:type="dxa"/>
              <w:bottom w:w="80" w:type="dxa"/>
              <w:end w:w="90" w:type="dxa"/>
            </w:tcMar>
            <w:vAlign w:val="top"/>
          </w:tcPr>
          <w:p>
            <w:pPr>
              <w:spacing w:after="0"/>
            </w:pPr>
            <w:r>
              <w:rPr>
                <w:rFonts w:ascii="Aptos" w:hAnsi="Aptos"/>
                <w:sz w:val="17"/>
              </w:rPr>
              <w:t>Several FRs still said “approved reference interpretation” without concrete rules.</w:t>
            </w:r>
          </w:p>
        </w:tc>
        <w:tc>
          <w:tcPr>
            <w:tcW w:type="dxa" w:w="2880"/>
            <w:shd w:fill="F7F9FB"/>
            <w:tcMar>
              <w:top w:w="80" w:type="dxa"/>
              <w:start w:w="90" w:type="dxa"/>
              <w:bottom w:w="80" w:type="dxa"/>
              <w:end w:w="90" w:type="dxa"/>
            </w:tcMar>
            <w:vAlign w:val="top"/>
          </w:tcPr>
          <w:p>
            <w:pPr>
              <w:spacing w:after="0"/>
            </w:pPr>
            <w:r>
              <w:rPr>
                <w:rFonts w:ascii="Aptos" w:hAnsi="Aptos"/>
                <w:sz w:val="17"/>
              </w:rPr>
              <w:t>Derived explicit normalization, end-of-data, metric pairing, category, typo, and default rules.</w:t>
            </w:r>
          </w:p>
        </w:tc>
        <w:tc>
          <w:tcPr>
            <w:tcW w:type="dxa" w:w="2448"/>
            <w:shd w:fill="F7F9FB"/>
            <w:tcMar>
              <w:top w:w="80" w:type="dxa"/>
              <w:start w:w="90" w:type="dxa"/>
              <w:bottom w:w="80" w:type="dxa"/>
              <w:end w:w="90" w:type="dxa"/>
            </w:tcMar>
            <w:vAlign w:val="top"/>
          </w:tcPr>
          <w:p>
            <w:pPr>
              <w:spacing w:after="0"/>
            </w:pPr>
            <w:r>
              <w:rPr>
                <w:rFonts w:ascii="Aptos" w:hAnsi="Aptos"/>
                <w:sz w:val="17"/>
              </w:rPr>
              <w:t>Implementation can proceed from artifacts without reopening legacy code for every rule.</w:t>
            </w:r>
          </w:p>
        </w:tc>
      </w:tr>
      <w:tr>
        <w:tc>
          <w:tcPr>
            <w:tcW w:type="dxa" w:w="1728"/>
            <w:tcMar>
              <w:top w:w="80" w:type="dxa"/>
              <w:start w:w="90" w:type="dxa"/>
              <w:bottom w:w="80" w:type="dxa"/>
              <w:end w:w="90" w:type="dxa"/>
            </w:tcMar>
            <w:vAlign w:val="top"/>
          </w:tcPr>
          <w:p>
            <w:pPr>
              <w:spacing w:after="0"/>
            </w:pPr>
            <w:r>
              <w:rPr>
                <w:rFonts w:ascii="Aptos" w:hAnsi="Aptos"/>
                <w:sz w:val="17"/>
              </w:rPr>
              <w:t>Cross-artifact gaps</w:t>
            </w:r>
          </w:p>
        </w:tc>
        <w:tc>
          <w:tcPr>
            <w:tcW w:type="dxa" w:w="1296"/>
            <w:tcMar>
              <w:top w:w="80" w:type="dxa"/>
              <w:start w:w="90" w:type="dxa"/>
              <w:bottom w:w="80" w:type="dxa"/>
              <w:end w:w="90" w:type="dxa"/>
            </w:tcMar>
            <w:vAlign w:val="top"/>
          </w:tcPr>
          <w:p>
            <w:pPr>
              <w:spacing w:after="0"/>
            </w:pPr>
            <w:r>
              <w:rPr>
                <w:rFonts w:ascii="Aptos" w:hAnsi="Aptos"/>
                <w:sz w:val="17"/>
              </w:rPr>
              <w:t>Readiness checklist</w:t>
            </w:r>
          </w:p>
        </w:tc>
        <w:tc>
          <w:tcPr>
            <w:tcW w:type="dxa" w:w="2592"/>
            <w:tcMar>
              <w:top w:w="80" w:type="dxa"/>
              <w:start w:w="90" w:type="dxa"/>
              <w:bottom w:w="80" w:type="dxa"/>
              <w:end w:w="90" w:type="dxa"/>
            </w:tcMar>
            <w:vAlign w:val="top"/>
          </w:tcPr>
          <w:p>
            <w:pPr>
              <w:spacing w:after="0"/>
            </w:pPr>
            <w:r>
              <w:rPr>
                <w:rFonts w:ascii="Aptos" w:hAnsi="Aptos"/>
                <w:sz w:val="17"/>
              </w:rPr>
              <w:t>Date fields, warnings-only activation, mid-commit failure, stale warning code, API/status mismatch.</w:t>
            </w:r>
          </w:p>
        </w:tc>
        <w:tc>
          <w:tcPr>
            <w:tcW w:type="dxa" w:w="2880"/>
            <w:tcMar>
              <w:top w:w="80" w:type="dxa"/>
              <w:start w:w="90" w:type="dxa"/>
              <w:bottom w:w="80" w:type="dxa"/>
              <w:end w:w="90" w:type="dxa"/>
            </w:tcMar>
            <w:vAlign w:val="top"/>
          </w:tcPr>
          <w:p>
            <w:pPr>
              <w:spacing w:after="0"/>
            </w:pPr>
            <w:r>
              <w:rPr>
                <w:rFonts w:ascii="Aptos" w:hAnsi="Aptos"/>
                <w:sz w:val="17"/>
              </w:rPr>
              <w:t>Updated spec / data model / contracts / quickstart to align.</w:t>
            </w:r>
          </w:p>
        </w:tc>
        <w:tc>
          <w:tcPr>
            <w:tcW w:type="dxa" w:w="2448"/>
            <w:tcMar>
              <w:top w:w="80" w:type="dxa"/>
              <w:start w:w="90" w:type="dxa"/>
              <w:bottom w:w="80" w:type="dxa"/>
              <w:end w:w="90" w:type="dxa"/>
            </w:tcMar>
            <w:vAlign w:val="top"/>
          </w:tcPr>
          <w:p>
            <w:pPr>
              <w:spacing w:after="0"/>
            </w:pPr>
            <w:r>
              <w:rPr>
                <w:rFonts w:ascii="Aptos" w:hAnsi="Aptos"/>
                <w:sz w:val="17"/>
              </w:rPr>
              <w:t>Reduces “correct in one document, wrong in another” risk.</w:t>
            </w:r>
          </w:p>
        </w:tc>
      </w:tr>
    </w:tbl>
    <w:p>
      <w:pPr>
        <w:spacing w:after="40"/>
      </w:pPr>
    </w:p>
    <w:p>
      <w:pPr>
        <w:pStyle w:val="Heading1"/>
      </w:pPr>
      <w:r>
        <w:t>5. Key Feature 001 Clarification Decisions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1F4E78"/>
            <w:vAlign w:val="center"/>
            <w:tcMar>
              <w:top w:w="90" w:type="dxa"/>
              <w:start w:w="90" w:type="dxa"/>
              <w:bottom w:w="90" w:type="dxa"/>
              <w:end w:w="90" w:type="dxa"/>
            </w:tcMar>
          </w:tcPr>
          <w:p>
            <w:r>
              <w:rPr>
                <w:rFonts w:ascii="Aptos" w:hAnsi="Aptos"/>
                <w:b/>
                <w:color w:val="FFFFFF"/>
                <w:sz w:val="18"/>
              </w:rPr>
              <w:t>Decision area</w:t>
            </w:r>
          </w:p>
        </w:tc>
        <w:tc>
          <w:tcPr>
            <w:tcW w:type="dxa" w:w="5328"/>
            <w:shd w:fill="1F4E78"/>
            <w:vAlign w:val="center"/>
            <w:tcMar>
              <w:top w:w="90" w:type="dxa"/>
              <w:start w:w="90" w:type="dxa"/>
              <w:bottom w:w="90" w:type="dxa"/>
              <w:end w:w="90" w:type="dxa"/>
            </w:tcMar>
          </w:tcPr>
          <w:p>
            <w:r>
              <w:rPr>
                <w:rFonts w:ascii="Aptos" w:hAnsi="Aptos"/>
                <w:b/>
                <w:color w:val="FFFFFF"/>
                <w:sz w:val="18"/>
              </w:rPr>
              <w:t>Selected behavior</w:t>
            </w:r>
          </w:p>
        </w:tc>
        <w:tc>
          <w:tcPr>
            <w:tcW w:type="dxa" w:w="3240"/>
            <w:shd w:fill="1F4E78"/>
            <w:vAlign w:val="center"/>
            <w:tcMar>
              <w:top w:w="90" w:type="dxa"/>
              <w:start w:w="90" w:type="dxa"/>
              <w:bottom w:w="90" w:type="dxa"/>
              <w:end w:w="90" w:type="dxa"/>
            </w:tcMar>
          </w:tcPr>
          <w:p>
            <w:r>
              <w:rPr>
                <w:rFonts w:ascii="Aptos" w:hAnsi="Aptos"/>
                <w:b/>
                <w:color w:val="FFFFFF"/>
                <w:sz w:val="18"/>
              </w:rPr>
              <w:t>Reason</w:t>
            </w:r>
          </w:p>
        </w:tc>
      </w:tr>
      <w:tr>
        <w:tc>
          <w:tcPr>
            <w:tcW w:type="dxa" w:w="2376"/>
            <w:tcMar>
              <w:top w:w="80" w:type="dxa"/>
              <w:start w:w="90" w:type="dxa"/>
              <w:bottom w:w="80" w:type="dxa"/>
              <w:end w:w="90" w:type="dxa"/>
            </w:tcMar>
            <w:vAlign w:val="top"/>
          </w:tcPr>
          <w:p>
            <w:pPr>
              <w:spacing w:after="0"/>
            </w:pPr>
            <w:r>
              <w:rPr>
                <w:rFonts w:ascii="Aptos" w:hAnsi="Aptos"/>
                <w:sz w:val="17"/>
              </w:rPr>
              <w:t>Workbook model</w:t>
            </w:r>
          </w:p>
        </w:tc>
        <w:tc>
          <w:tcPr>
            <w:tcW w:type="dxa" w:w="5328"/>
            <w:tcMar>
              <w:top w:w="80" w:type="dxa"/>
              <w:start w:w="90" w:type="dxa"/>
              <w:bottom w:w="80" w:type="dxa"/>
              <w:end w:w="90" w:type="dxa"/>
            </w:tcMar>
            <w:vAlign w:val="top"/>
          </w:tcPr>
          <w:p>
            <w:pPr>
              <w:spacing w:after="0"/>
            </w:pPr>
            <w:r>
              <w:rPr>
                <w:rFonts w:ascii="Aptos" w:hAnsi="Aptos"/>
                <w:sz w:val="17"/>
              </w:rPr>
              <w:t>One or more DR workbooks; every submitted DR workbook contains all six required initiative sheets.</w:t>
            </w:r>
          </w:p>
        </w:tc>
        <w:tc>
          <w:tcPr>
            <w:tcW w:type="dxa" w:w="3240"/>
            <w:tcMar>
              <w:top w:w="80" w:type="dxa"/>
              <w:start w:w="90" w:type="dxa"/>
              <w:bottom w:w="80" w:type="dxa"/>
              <w:end w:w="90" w:type="dxa"/>
            </w:tcMar>
            <w:vAlign w:val="top"/>
          </w:tcPr>
          <w:p>
            <w:pPr>
              <w:spacing w:after="0"/>
            </w:pPr>
            <w:r>
              <w:rPr>
                <w:rFonts w:ascii="Aptos" w:hAnsi="Aptos"/>
                <w:sz w:val="17"/>
              </w:rPr>
              <w:t>Corrects the initial domain misunderstanding.</w:t>
            </w:r>
          </w:p>
        </w:tc>
      </w:tr>
      <w:tr>
        <w:tc>
          <w:tcPr>
            <w:tcW w:type="dxa" w:w="2376"/>
            <w:shd w:fill="F7F9FB"/>
            <w:tcMar>
              <w:top w:w="80" w:type="dxa"/>
              <w:start w:w="90" w:type="dxa"/>
              <w:bottom w:w="80" w:type="dxa"/>
              <w:end w:w="90" w:type="dxa"/>
            </w:tcMar>
            <w:vAlign w:val="top"/>
          </w:tcPr>
          <w:p>
            <w:pPr>
              <w:spacing w:after="0"/>
            </w:pPr>
            <w:r>
              <w:rPr>
                <w:rFonts w:ascii="Aptos" w:hAnsi="Aptos"/>
                <w:sz w:val="17"/>
              </w:rPr>
              <w:t>Missing required sheet</w:t>
            </w:r>
          </w:p>
        </w:tc>
        <w:tc>
          <w:tcPr>
            <w:tcW w:type="dxa" w:w="5328"/>
            <w:shd w:fill="F7F9FB"/>
            <w:tcMar>
              <w:top w:w="80" w:type="dxa"/>
              <w:start w:w="90" w:type="dxa"/>
              <w:bottom w:w="80" w:type="dxa"/>
              <w:end w:w="90" w:type="dxa"/>
            </w:tcMar>
            <w:vAlign w:val="top"/>
          </w:tcPr>
          <w:p>
            <w:pPr>
              <w:spacing w:after="0"/>
            </w:pPr>
            <w:r>
              <w:rPr>
                <w:rFonts w:ascii="Aptos" w:hAnsi="Aptos"/>
                <w:sz w:val="17"/>
              </w:rPr>
              <w:t>Record error, continue collecting diagnostics, fail complete batch at activation.</w:t>
            </w:r>
          </w:p>
        </w:tc>
        <w:tc>
          <w:tcPr>
            <w:tcW w:type="dxa" w:w="3240"/>
            <w:shd w:fill="F7F9FB"/>
            <w:tcMar>
              <w:top w:w="80" w:type="dxa"/>
              <w:start w:w="90" w:type="dxa"/>
              <w:bottom w:w="80" w:type="dxa"/>
              <w:end w:w="90" w:type="dxa"/>
            </w:tcMar>
            <w:vAlign w:val="top"/>
          </w:tcPr>
          <w:p>
            <w:pPr>
              <w:spacing w:after="0"/>
            </w:pPr>
            <w:r>
              <w:rPr>
                <w:rFonts w:ascii="Aptos" w:hAnsi="Aptos"/>
                <w:sz w:val="17"/>
              </w:rPr>
              <w:t>No partial activation; full diagnostic visibility.</w:t>
            </w:r>
          </w:p>
        </w:tc>
      </w:tr>
      <w:tr>
        <w:tc>
          <w:tcPr>
            <w:tcW w:type="dxa" w:w="2376"/>
            <w:tcMar>
              <w:top w:w="80" w:type="dxa"/>
              <w:start w:w="90" w:type="dxa"/>
              <w:bottom w:w="80" w:type="dxa"/>
              <w:end w:w="90" w:type="dxa"/>
            </w:tcMar>
            <w:vAlign w:val="top"/>
          </w:tcPr>
          <w:p>
            <w:pPr>
              <w:spacing w:after="0"/>
            </w:pPr>
            <w:r>
              <w:rPr>
                <w:rFonts w:ascii="Aptos" w:hAnsi="Aptos"/>
                <w:sz w:val="17"/>
              </w:rPr>
              <w:t>Supported file type</w:t>
            </w:r>
          </w:p>
        </w:tc>
        <w:tc>
          <w:tcPr>
            <w:tcW w:type="dxa" w:w="5328"/>
            <w:tcMar>
              <w:top w:w="80" w:type="dxa"/>
              <w:start w:w="90" w:type="dxa"/>
              <w:bottom w:w="80" w:type="dxa"/>
              <w:end w:w="90" w:type="dxa"/>
            </w:tcMar>
            <w:vAlign w:val="top"/>
          </w:tcPr>
          <w:p>
            <w:pPr>
              <w:spacing w:after="0"/>
            </w:pPr>
            <w:r>
              <w:rPr>
                <w:rFonts w:ascii="Aptos" w:hAnsi="Aptos"/>
                <w:sz w:val="17"/>
              </w:rPr>
              <w:t>.xlsx only for V1.</w:t>
            </w:r>
          </w:p>
        </w:tc>
        <w:tc>
          <w:tcPr>
            <w:tcW w:type="dxa" w:w="3240"/>
            <w:tcMar>
              <w:top w:w="80" w:type="dxa"/>
              <w:start w:w="90" w:type="dxa"/>
              <w:bottom w:w="80" w:type="dxa"/>
              <w:end w:w="90" w:type="dxa"/>
            </w:tcMar>
            <w:vAlign w:val="top"/>
          </w:tcPr>
          <w:p>
            <w:pPr>
              <w:spacing w:after="0"/>
            </w:pPr>
            <w:r>
              <w:rPr>
                <w:rFonts w:ascii="Aptos" w:hAnsi="Aptos"/>
                <w:sz w:val="17"/>
              </w:rPr>
              <w:t>Matches current input and avoids unneeded legacy/macro format scope.</w:t>
            </w:r>
          </w:p>
        </w:tc>
      </w:tr>
      <w:tr>
        <w:tc>
          <w:tcPr>
            <w:tcW w:type="dxa" w:w="2376"/>
            <w:shd w:fill="F7F9FB"/>
            <w:tcMar>
              <w:top w:w="80" w:type="dxa"/>
              <w:start w:w="90" w:type="dxa"/>
              <w:bottom w:w="80" w:type="dxa"/>
              <w:end w:w="90" w:type="dxa"/>
            </w:tcMar>
            <w:vAlign w:val="top"/>
          </w:tcPr>
          <w:p>
            <w:pPr>
              <w:spacing w:after="0"/>
            </w:pPr>
            <w:r>
              <w:rPr>
                <w:rFonts w:ascii="Aptos" w:hAnsi="Aptos"/>
                <w:sz w:val="17"/>
              </w:rPr>
              <w:t>Unknown status</w:t>
            </w:r>
          </w:p>
        </w:tc>
        <w:tc>
          <w:tcPr>
            <w:tcW w:type="dxa" w:w="5328"/>
            <w:shd w:fill="F7F9FB"/>
            <w:tcMar>
              <w:top w:w="80" w:type="dxa"/>
              <w:start w:w="90" w:type="dxa"/>
              <w:bottom w:w="80" w:type="dxa"/>
              <w:end w:w="90" w:type="dxa"/>
            </w:tcMar>
            <w:vAlign w:val="top"/>
          </w:tcPr>
          <w:p>
            <w:pPr>
              <w:spacing w:after="0"/>
            </w:pPr>
            <w:r>
              <w:rPr>
                <w:rFonts w:ascii="Aptos" w:hAnsi="Aptos"/>
                <w:sz w:val="17"/>
              </w:rPr>
              <w:t>Retain raw value + non-fatal warning.</w:t>
            </w:r>
          </w:p>
        </w:tc>
        <w:tc>
          <w:tcPr>
            <w:tcW w:type="dxa" w:w="3240"/>
            <w:shd w:fill="F7F9FB"/>
            <w:tcMar>
              <w:top w:w="80" w:type="dxa"/>
              <w:start w:w="90" w:type="dxa"/>
              <w:bottom w:w="80" w:type="dxa"/>
              <w:end w:w="90" w:type="dxa"/>
            </w:tcMar>
            <w:vAlign w:val="top"/>
          </w:tcPr>
          <w:p>
            <w:pPr>
              <w:spacing w:after="0"/>
            </w:pPr>
            <w:r>
              <w:rPr>
                <w:rFonts w:ascii="Aptos" w:hAnsi="Aptos"/>
                <w:sz w:val="17"/>
              </w:rPr>
              <w:t>Compatibility with current behavior.</w:t>
            </w:r>
          </w:p>
        </w:tc>
      </w:tr>
      <w:tr>
        <w:tc>
          <w:tcPr>
            <w:tcW w:type="dxa" w:w="2376"/>
            <w:tcMar>
              <w:top w:w="80" w:type="dxa"/>
              <w:start w:w="90" w:type="dxa"/>
              <w:bottom w:w="80" w:type="dxa"/>
              <w:end w:w="90" w:type="dxa"/>
            </w:tcMar>
            <w:vAlign w:val="top"/>
          </w:tcPr>
          <w:p>
            <w:pPr>
              <w:spacing w:after="0"/>
            </w:pPr>
            <w:r>
              <w:rPr>
                <w:rFonts w:ascii="Aptos" w:hAnsi="Aptos"/>
                <w:sz w:val="17"/>
              </w:rPr>
              <w:t>Formula cell</w:t>
            </w:r>
          </w:p>
        </w:tc>
        <w:tc>
          <w:tcPr>
            <w:tcW w:type="dxa" w:w="5328"/>
            <w:tcMar>
              <w:top w:w="80" w:type="dxa"/>
              <w:start w:w="90" w:type="dxa"/>
              <w:bottom w:w="80" w:type="dxa"/>
              <w:end w:w="90" w:type="dxa"/>
            </w:tcMar>
            <w:vAlign w:val="top"/>
          </w:tcPr>
          <w:p>
            <w:pPr>
              <w:spacing w:after="0"/>
            </w:pPr>
            <w:r>
              <w:rPr>
                <w:rFonts w:ascii="Aptos" w:hAnsi="Aptos"/>
                <w:sz w:val="17"/>
              </w:rPr>
              <w:t>Read cached / last-computed value.</w:t>
            </w:r>
          </w:p>
        </w:tc>
        <w:tc>
          <w:tcPr>
            <w:tcW w:type="dxa" w:w="3240"/>
            <w:tcMar>
              <w:top w:w="80" w:type="dxa"/>
              <w:start w:w="90" w:type="dxa"/>
              <w:bottom w:w="80" w:type="dxa"/>
              <w:end w:w="90" w:type="dxa"/>
            </w:tcMar>
            <w:vAlign w:val="top"/>
          </w:tcPr>
          <w:p>
            <w:pPr>
              <w:spacing w:after="0"/>
            </w:pPr>
            <w:r>
              <w:rPr>
                <w:rFonts w:ascii="Aptos" w:hAnsi="Aptos"/>
                <w:sz w:val="17"/>
              </w:rPr>
              <w:t>Matches current source interpretation.</w:t>
            </w:r>
          </w:p>
        </w:tc>
      </w:tr>
      <w:tr>
        <w:tc>
          <w:tcPr>
            <w:tcW w:type="dxa" w:w="2376"/>
            <w:shd w:fill="F7F9FB"/>
            <w:tcMar>
              <w:top w:w="80" w:type="dxa"/>
              <w:start w:w="90" w:type="dxa"/>
              <w:bottom w:w="80" w:type="dxa"/>
              <w:end w:w="90" w:type="dxa"/>
            </w:tcMar>
            <w:vAlign w:val="top"/>
          </w:tcPr>
          <w:p>
            <w:pPr>
              <w:spacing w:after="0"/>
            </w:pPr>
            <w:r>
              <w:rPr>
                <w:rFonts w:ascii="Aptos" w:hAnsi="Aptos"/>
                <w:sz w:val="17"/>
              </w:rPr>
              <w:t>Unreadable workbook</w:t>
            </w:r>
          </w:p>
        </w:tc>
        <w:tc>
          <w:tcPr>
            <w:tcW w:type="dxa" w:w="5328"/>
            <w:shd w:fill="F7F9FB"/>
            <w:tcMar>
              <w:top w:w="80" w:type="dxa"/>
              <w:start w:w="90" w:type="dxa"/>
              <w:bottom w:w="80" w:type="dxa"/>
              <w:end w:w="90" w:type="dxa"/>
            </w:tcMar>
            <w:vAlign w:val="top"/>
          </w:tcPr>
          <w:p>
            <w:pPr>
              <w:spacing w:after="0"/>
            </w:pPr>
            <w:r>
              <w:rPr>
                <w:rFonts w:ascii="Aptos" w:hAnsi="Aptos"/>
                <w:sz w:val="17"/>
              </w:rPr>
              <w:t>Record error, continue other workbooks, fail activation.</w:t>
            </w:r>
          </w:p>
        </w:tc>
        <w:tc>
          <w:tcPr>
            <w:tcW w:type="dxa" w:w="3240"/>
            <w:shd w:fill="F7F9FB"/>
            <w:tcMar>
              <w:top w:w="80" w:type="dxa"/>
              <w:start w:w="90" w:type="dxa"/>
              <w:bottom w:w="80" w:type="dxa"/>
              <w:end w:w="90" w:type="dxa"/>
            </w:tcMar>
            <w:vAlign w:val="top"/>
          </w:tcPr>
          <w:p>
            <w:pPr>
              <w:spacing w:after="0"/>
            </w:pPr>
            <w:r>
              <w:rPr>
                <w:rFonts w:ascii="Aptos" w:hAnsi="Aptos"/>
                <w:sz w:val="17"/>
              </w:rPr>
              <w:t>Separates diagnostics from activation safety.</w:t>
            </w:r>
          </w:p>
        </w:tc>
      </w:tr>
      <w:tr>
        <w:tc>
          <w:tcPr>
            <w:tcW w:type="dxa" w:w="2376"/>
            <w:tcMar>
              <w:top w:w="80" w:type="dxa"/>
              <w:start w:w="90" w:type="dxa"/>
              <w:bottom w:w="80" w:type="dxa"/>
              <w:end w:w="90" w:type="dxa"/>
            </w:tcMar>
            <w:vAlign w:val="top"/>
          </w:tcPr>
          <w:p>
            <w:pPr>
              <w:spacing w:after="0"/>
            </w:pPr>
            <w:r>
              <w:rPr>
                <w:rFonts w:ascii="Aptos" w:hAnsi="Aptos"/>
                <w:sz w:val="17"/>
              </w:rPr>
              <w:t>Duplicate row # within sheet</w:t>
            </w:r>
          </w:p>
        </w:tc>
        <w:tc>
          <w:tcPr>
            <w:tcW w:type="dxa" w:w="5328"/>
            <w:tcMar>
              <w:top w:w="80" w:type="dxa"/>
              <w:start w:w="90" w:type="dxa"/>
              <w:bottom w:w="80" w:type="dxa"/>
              <w:end w:w="90" w:type="dxa"/>
            </w:tcMar>
            <w:vAlign w:val="top"/>
          </w:tcPr>
          <w:p>
            <w:pPr>
              <w:spacing w:after="0"/>
            </w:pPr>
            <w:r>
              <w:rPr>
                <w:rFonts w:ascii="Aptos" w:hAnsi="Aptos"/>
                <w:sz w:val="17"/>
              </w:rPr>
              <w:t>Keep all valid rows + warning.</w:t>
            </w:r>
          </w:p>
        </w:tc>
        <w:tc>
          <w:tcPr>
            <w:tcW w:type="dxa" w:w="3240"/>
            <w:tcMar>
              <w:top w:w="80" w:type="dxa"/>
              <w:start w:w="90" w:type="dxa"/>
              <w:bottom w:w="80" w:type="dxa"/>
              <w:end w:w="90" w:type="dxa"/>
            </w:tcMar>
            <w:vAlign w:val="top"/>
          </w:tcPr>
          <w:p>
            <w:pPr>
              <w:spacing w:after="0"/>
            </w:pPr>
            <w:r>
              <w:rPr>
                <w:rFonts w:ascii="Aptos" w:hAnsi="Aptos"/>
                <w:sz w:val="17"/>
              </w:rPr>
              <w:t>Row # is not application identity.</w:t>
            </w:r>
          </w:p>
        </w:tc>
      </w:tr>
      <w:tr>
        <w:tc>
          <w:tcPr>
            <w:tcW w:type="dxa" w:w="2376"/>
            <w:shd w:fill="F7F9FB"/>
            <w:tcMar>
              <w:top w:w="80" w:type="dxa"/>
              <w:start w:w="90" w:type="dxa"/>
              <w:bottom w:w="80" w:type="dxa"/>
              <w:end w:w="90" w:type="dxa"/>
            </w:tcMar>
            <w:vAlign w:val="top"/>
          </w:tcPr>
          <w:p>
            <w:pPr>
              <w:spacing w:after="0"/>
            </w:pPr>
            <w:r>
              <w:rPr>
                <w:rFonts w:ascii="Aptos" w:hAnsi="Aptos"/>
                <w:sz w:val="17"/>
              </w:rPr>
              <w:t>Same row # across DR workbooks</w:t>
            </w:r>
          </w:p>
        </w:tc>
        <w:tc>
          <w:tcPr>
            <w:tcW w:type="dxa" w:w="5328"/>
            <w:shd w:fill="F7F9FB"/>
            <w:tcMar>
              <w:top w:w="80" w:type="dxa"/>
              <w:start w:w="90" w:type="dxa"/>
              <w:bottom w:w="80" w:type="dxa"/>
              <w:end w:w="90" w:type="dxa"/>
            </w:tcMar>
            <w:vAlign w:val="top"/>
          </w:tcPr>
          <w:p>
            <w:pPr>
              <w:spacing w:after="0"/>
            </w:pPr>
            <w:r>
              <w:rPr>
                <w:rFonts w:ascii="Aptos" w:hAnsi="Aptos"/>
                <w:sz w:val="17"/>
              </w:rPr>
              <w:t>Accept both + warning.</w:t>
            </w:r>
          </w:p>
        </w:tc>
        <w:tc>
          <w:tcPr>
            <w:tcW w:type="dxa" w:w="3240"/>
            <w:shd w:fill="F7F9FB"/>
            <w:tcMar>
              <w:top w:w="80" w:type="dxa"/>
              <w:start w:w="90" w:type="dxa"/>
              <w:bottom w:w="80" w:type="dxa"/>
              <w:end w:w="90" w:type="dxa"/>
            </w:tcMar>
            <w:vAlign w:val="top"/>
          </w:tcPr>
          <w:p>
            <w:pPr>
              <w:spacing w:after="0"/>
            </w:pPr>
            <w:r>
              <w:rPr>
                <w:rFonts w:ascii="Aptos" w:hAnsi="Aptos"/>
                <w:sz w:val="17"/>
              </w:rPr>
              <w:t>Row numbers are source-local.</w:t>
            </w:r>
          </w:p>
        </w:tc>
      </w:tr>
      <w:tr>
        <w:tc>
          <w:tcPr>
            <w:tcW w:type="dxa" w:w="2376"/>
            <w:tcMar>
              <w:top w:w="80" w:type="dxa"/>
              <w:start w:w="90" w:type="dxa"/>
              <w:bottom w:w="80" w:type="dxa"/>
              <w:end w:w="90" w:type="dxa"/>
            </w:tcMar>
            <w:vAlign w:val="top"/>
          </w:tcPr>
          <w:p>
            <w:pPr>
              <w:spacing w:after="0"/>
            </w:pPr>
            <w:r>
              <w:rPr>
                <w:rFonts w:ascii="Aptos" w:hAnsi="Aptos"/>
                <w:sz w:val="17"/>
              </w:rPr>
              <w:t>Invalid optional date</w:t>
            </w:r>
          </w:p>
        </w:tc>
        <w:tc>
          <w:tcPr>
            <w:tcW w:type="dxa" w:w="5328"/>
            <w:tcMar>
              <w:top w:w="80" w:type="dxa"/>
              <w:start w:w="90" w:type="dxa"/>
              <w:bottom w:w="80" w:type="dxa"/>
              <w:end w:w="90" w:type="dxa"/>
            </w:tcMar>
            <w:vAlign w:val="top"/>
          </w:tcPr>
          <w:p>
            <w:pPr>
              <w:spacing w:after="0"/>
            </w:pPr>
            <w:r>
              <w:rPr>
                <w:rFonts w:ascii="Aptos" w:hAnsi="Aptos"/>
                <w:sz w:val="17"/>
              </w:rPr>
              <w:t>Set null + warning; retain row.</w:t>
            </w:r>
          </w:p>
        </w:tc>
        <w:tc>
          <w:tcPr>
            <w:tcW w:type="dxa" w:w="3240"/>
            <w:tcMar>
              <w:top w:w="80" w:type="dxa"/>
              <w:start w:w="90" w:type="dxa"/>
              <w:bottom w:w="80" w:type="dxa"/>
              <w:end w:w="90" w:type="dxa"/>
            </w:tcMar>
            <w:vAlign w:val="top"/>
          </w:tcPr>
          <w:p>
            <w:pPr>
              <w:spacing w:after="0"/>
            </w:pPr>
            <w:r>
              <w:rPr>
                <w:rFonts w:ascii="Aptos" w:hAnsi="Aptos"/>
                <w:sz w:val="17"/>
              </w:rPr>
              <w:t>Avoid discarding otherwise valid business data.</w:t>
            </w:r>
          </w:p>
        </w:tc>
      </w:tr>
      <w:tr>
        <w:tc>
          <w:tcPr>
            <w:tcW w:type="dxa" w:w="2376"/>
            <w:shd w:fill="F7F9FB"/>
            <w:tcMar>
              <w:top w:w="80" w:type="dxa"/>
              <w:start w:w="90" w:type="dxa"/>
              <w:bottom w:w="80" w:type="dxa"/>
              <w:end w:w="90" w:type="dxa"/>
            </w:tcMar>
            <w:vAlign w:val="top"/>
          </w:tcPr>
          <w:p>
            <w:pPr>
              <w:spacing w:after="0"/>
            </w:pPr>
            <w:r>
              <w:rPr>
                <w:rFonts w:ascii="Aptos" w:hAnsi="Aptos"/>
                <w:sz w:val="17"/>
              </w:rPr>
              <w:t>Import concurrency</w:t>
            </w:r>
          </w:p>
        </w:tc>
        <w:tc>
          <w:tcPr>
            <w:tcW w:type="dxa" w:w="5328"/>
            <w:shd w:fill="F7F9FB"/>
            <w:tcMar>
              <w:top w:w="80" w:type="dxa"/>
              <w:start w:w="90" w:type="dxa"/>
              <w:bottom w:w="80" w:type="dxa"/>
              <w:end w:w="90" w:type="dxa"/>
            </w:tcMar>
            <w:vAlign w:val="top"/>
          </w:tcPr>
          <w:p>
            <w:pPr>
              <w:spacing w:after="0"/>
            </w:pPr>
            <w:r>
              <w:rPr>
                <w:rFonts w:ascii="Aptos" w:hAnsi="Aptos"/>
                <w:sz w:val="17"/>
              </w:rPr>
              <w:t>One active import; reject a second concurrent submission.</w:t>
            </w:r>
          </w:p>
        </w:tc>
        <w:tc>
          <w:tcPr>
            <w:tcW w:type="dxa" w:w="3240"/>
            <w:shd w:fill="F7F9FB"/>
            <w:tcMar>
              <w:top w:w="80" w:type="dxa"/>
              <w:start w:w="90" w:type="dxa"/>
              <w:bottom w:w="80" w:type="dxa"/>
              <w:end w:w="90" w:type="dxa"/>
            </w:tcMar>
            <w:vAlign w:val="top"/>
          </w:tcPr>
          <w:p>
            <w:pPr>
              <w:spacing w:after="0"/>
            </w:pPr>
            <w:r>
              <w:rPr>
                <w:rFonts w:ascii="Aptos" w:hAnsi="Aptos"/>
                <w:sz w:val="17"/>
              </w:rPr>
              <w:t>Simple, deterministic V1 safety.</w:t>
            </w:r>
          </w:p>
        </w:tc>
      </w:tr>
      <w:tr>
        <w:tc>
          <w:tcPr>
            <w:tcW w:type="dxa" w:w="2376"/>
            <w:tcMar>
              <w:top w:w="80" w:type="dxa"/>
              <w:start w:w="90" w:type="dxa"/>
              <w:bottom w:w="80" w:type="dxa"/>
              <w:end w:w="90" w:type="dxa"/>
            </w:tcMar>
            <w:vAlign w:val="top"/>
          </w:tcPr>
          <w:p>
            <w:pPr>
              <w:spacing w:after="0"/>
            </w:pPr>
            <w:r>
              <w:rPr>
                <w:rFonts w:ascii="Aptos" w:hAnsi="Aptos"/>
                <w:sz w:val="17"/>
              </w:rPr>
              <w:t>Import-run history</w:t>
            </w:r>
          </w:p>
        </w:tc>
        <w:tc>
          <w:tcPr>
            <w:tcW w:type="dxa" w:w="5328"/>
            <w:tcMar>
              <w:top w:w="80" w:type="dxa"/>
              <w:start w:w="90" w:type="dxa"/>
              <w:bottom w:w="80" w:type="dxa"/>
              <w:end w:w="90" w:type="dxa"/>
            </w:tcMar>
            <w:vAlign w:val="top"/>
          </w:tcPr>
          <w:p>
            <w:pPr>
              <w:spacing w:after="0"/>
            </w:pPr>
            <w:r>
              <w:rPr>
                <w:rFonts w:ascii="Aptos" w:hAnsi="Aptos"/>
                <w:sz w:val="17"/>
              </w:rPr>
              <w:t>Retain all import-run metadata/diagnostics in V1; no purge.</w:t>
            </w:r>
          </w:p>
        </w:tc>
        <w:tc>
          <w:tcPr>
            <w:tcW w:type="dxa" w:w="3240"/>
            <w:tcMar>
              <w:top w:w="80" w:type="dxa"/>
              <w:start w:w="90" w:type="dxa"/>
              <w:bottom w:w="80" w:type="dxa"/>
              <w:end w:w="90" w:type="dxa"/>
            </w:tcMar>
            <w:vAlign w:val="top"/>
          </w:tcPr>
          <w:p>
            <w:pPr>
              <w:spacing w:after="0"/>
            </w:pPr>
            <w:r>
              <w:rPr>
                <w:rFonts w:ascii="Aptos" w:hAnsi="Aptos"/>
                <w:sz w:val="17"/>
              </w:rPr>
              <w:t>Operational audit only; not business trend history.</w:t>
            </w:r>
          </w:p>
        </w:tc>
      </w:tr>
      <w:tr>
        <w:tc>
          <w:tcPr>
            <w:tcW w:type="dxa" w:w="2376"/>
            <w:shd w:fill="F7F9FB"/>
            <w:tcMar>
              <w:top w:w="80" w:type="dxa"/>
              <w:start w:w="90" w:type="dxa"/>
              <w:bottom w:w="80" w:type="dxa"/>
              <w:end w:w="90" w:type="dxa"/>
            </w:tcMar>
            <w:vAlign w:val="top"/>
          </w:tcPr>
          <w:p>
            <w:pPr>
              <w:spacing w:after="0"/>
            </w:pPr>
            <w:r>
              <w:rPr>
                <w:rFonts w:ascii="Aptos" w:hAnsi="Aptos"/>
                <w:sz w:val="17"/>
              </w:rPr>
              <w:t>DR schema differences</w:t>
            </w:r>
          </w:p>
        </w:tc>
        <w:tc>
          <w:tcPr>
            <w:tcW w:type="dxa" w:w="5328"/>
            <w:shd w:fill="F7F9FB"/>
            <w:tcMar>
              <w:top w:w="80" w:type="dxa"/>
              <w:start w:w="90" w:type="dxa"/>
              <w:bottom w:w="80" w:type="dxa"/>
              <w:end w:w="90" w:type="dxa"/>
            </w:tcMar>
            <w:vAlign w:val="top"/>
          </w:tcPr>
          <w:p>
            <w:pPr>
              <w:spacing w:after="0"/>
            </w:pPr>
            <w:r>
              <w:rPr>
                <w:rFonts w:ascii="Aptos" w:hAnsi="Aptos"/>
                <w:sz w:val="17"/>
              </w:rPr>
              <w:t>One common header-driven pipeline; no DR-specific parser.</w:t>
            </w:r>
          </w:p>
        </w:tc>
        <w:tc>
          <w:tcPr>
            <w:tcW w:type="dxa" w:w="3240"/>
            <w:shd w:fill="F7F9FB"/>
            <w:tcMar>
              <w:top w:w="80" w:type="dxa"/>
              <w:start w:w="90" w:type="dxa"/>
              <w:bottom w:w="80" w:type="dxa"/>
              <w:end w:w="90" w:type="dxa"/>
            </w:tcMar>
            <w:vAlign w:val="top"/>
          </w:tcPr>
          <w:p>
            <w:pPr>
              <w:spacing w:after="0"/>
            </w:pPr>
            <w:r>
              <w:rPr>
                <w:rFonts w:ascii="Aptos" w:hAnsi="Aptos"/>
                <w:sz w:val="17"/>
              </w:rPr>
              <w:t>Makes variation a data/schema concern rather than code branching.</w:t>
            </w:r>
          </w:p>
        </w:tc>
      </w:tr>
      <w:tr>
        <w:tc>
          <w:tcPr>
            <w:tcW w:type="dxa" w:w="2376"/>
            <w:tcMar>
              <w:top w:w="80" w:type="dxa"/>
              <w:start w:w="90" w:type="dxa"/>
              <w:bottom w:w="80" w:type="dxa"/>
              <w:end w:w="90" w:type="dxa"/>
            </w:tcMar>
            <w:vAlign w:val="top"/>
          </w:tcPr>
          <w:p>
            <w:pPr>
              <w:spacing w:after="0"/>
            </w:pPr>
            <w:r>
              <w:rPr>
                <w:rFonts w:ascii="Aptos" w:hAnsi="Aptos"/>
                <w:sz w:val="17"/>
              </w:rPr>
              <w:t>Multi-workbook aggregation</w:t>
            </w:r>
          </w:p>
        </w:tc>
        <w:tc>
          <w:tcPr>
            <w:tcW w:type="dxa" w:w="5328"/>
            <w:tcMar>
              <w:top w:w="80" w:type="dxa"/>
              <w:start w:w="90" w:type="dxa"/>
              <w:bottom w:w="80" w:type="dxa"/>
              <w:end w:w="90" w:type="dxa"/>
            </w:tcMar>
            <w:vAlign w:val="top"/>
          </w:tcPr>
          <w:p>
            <w:pPr>
              <w:spacing w:after="0"/>
            </w:pPr>
            <w:r>
              <w:rPr>
                <w:rFonts w:ascii="Aptos" w:hAnsi="Aptos"/>
                <w:sz w:val="17"/>
              </w:rPr>
              <w:t>Merge rows per initiative while retaining DR/source provenance.</w:t>
            </w:r>
          </w:p>
        </w:tc>
        <w:tc>
          <w:tcPr>
            <w:tcW w:type="dxa" w:w="3240"/>
            <w:tcMar>
              <w:top w:w="80" w:type="dxa"/>
              <w:start w:w="90" w:type="dxa"/>
              <w:bottom w:w="80" w:type="dxa"/>
              <w:end w:w="90" w:type="dxa"/>
            </w:tcMar>
            <w:vAlign w:val="top"/>
          </w:tcPr>
          <w:p>
            <w:pPr>
              <w:spacing w:after="0"/>
            </w:pPr>
            <w:r>
              <w:rPr>
                <w:rFonts w:ascii="Aptos" w:hAnsi="Aptos"/>
                <w:sz w:val="17"/>
              </w:rPr>
              <w:t>Supports organization-wide view and DR filtering.</w:t>
            </w:r>
          </w:p>
        </w:tc>
      </w:tr>
      <w:tr>
        <w:tc>
          <w:tcPr>
            <w:tcW w:type="dxa" w:w="2376"/>
            <w:shd w:fill="F7F9FB"/>
            <w:tcMar>
              <w:top w:w="80" w:type="dxa"/>
              <w:start w:w="90" w:type="dxa"/>
              <w:bottom w:w="80" w:type="dxa"/>
              <w:end w:w="90" w:type="dxa"/>
            </w:tcMar>
            <w:vAlign w:val="top"/>
          </w:tcPr>
          <w:p>
            <w:pPr>
              <w:spacing w:after="0"/>
            </w:pPr>
            <w:r>
              <w:rPr>
                <w:rFonts w:ascii="Aptos" w:hAnsi="Aptos"/>
                <w:sz w:val="17"/>
              </w:rPr>
              <w:t>Empty batch</w:t>
            </w:r>
          </w:p>
        </w:tc>
        <w:tc>
          <w:tcPr>
            <w:tcW w:type="dxa" w:w="5328"/>
            <w:shd w:fill="F7F9FB"/>
            <w:tcMar>
              <w:top w:w="80" w:type="dxa"/>
              <w:start w:w="90" w:type="dxa"/>
              <w:bottom w:w="80" w:type="dxa"/>
              <w:end w:w="90" w:type="dxa"/>
            </w:tcMar>
            <w:vAlign w:val="top"/>
          </w:tcPr>
          <w:p>
            <w:pPr>
              <w:spacing w:after="0"/>
            </w:pPr>
            <w:r>
              <w:rPr>
                <w:rFonts w:ascii="Aptos" w:hAnsi="Aptos"/>
                <w:sz w:val="17"/>
              </w:rPr>
              <w:t>Reject immediately with clear error.</w:t>
            </w:r>
          </w:p>
        </w:tc>
        <w:tc>
          <w:tcPr>
            <w:tcW w:type="dxa" w:w="3240"/>
            <w:shd w:fill="F7F9FB"/>
            <w:tcMar>
              <w:top w:w="80" w:type="dxa"/>
              <w:start w:w="90" w:type="dxa"/>
              <w:bottom w:w="80" w:type="dxa"/>
              <w:end w:w="90" w:type="dxa"/>
            </w:tcMar>
            <w:vAlign w:val="top"/>
          </w:tcPr>
          <w:p>
            <w:pPr>
              <w:spacing w:after="0"/>
            </w:pPr>
            <w:r>
              <w:rPr>
                <w:rFonts w:ascii="Aptos" w:hAnsi="Aptos"/>
                <w:sz w:val="17"/>
              </w:rPr>
              <w:t>Invalid request cannot produce an active dataset.</w:t>
            </w:r>
          </w:p>
        </w:tc>
      </w:tr>
      <w:tr>
        <w:tc>
          <w:tcPr>
            <w:tcW w:type="dxa" w:w="2376"/>
            <w:tcMar>
              <w:top w:w="80" w:type="dxa"/>
              <w:start w:w="90" w:type="dxa"/>
              <w:bottom w:w="80" w:type="dxa"/>
              <w:end w:w="90" w:type="dxa"/>
            </w:tcMar>
            <w:vAlign w:val="top"/>
          </w:tcPr>
          <w:p>
            <w:pPr>
              <w:spacing w:after="0"/>
            </w:pPr>
            <w:r>
              <w:rPr>
                <w:rFonts w:ascii="Aptos" w:hAnsi="Aptos"/>
                <w:sz w:val="17"/>
              </w:rPr>
              <w:t>Additional non-required sheets</w:t>
            </w:r>
          </w:p>
        </w:tc>
        <w:tc>
          <w:tcPr>
            <w:tcW w:type="dxa" w:w="5328"/>
            <w:tcMar>
              <w:top w:w="80" w:type="dxa"/>
              <w:start w:w="90" w:type="dxa"/>
              <w:bottom w:w="80" w:type="dxa"/>
              <w:end w:w="90" w:type="dxa"/>
            </w:tcMar>
            <w:vAlign w:val="top"/>
          </w:tcPr>
          <w:p>
            <w:pPr>
              <w:spacing w:after="0"/>
            </w:pPr>
            <w:r>
              <w:rPr>
                <w:rFonts w:ascii="Aptos" w:hAnsi="Aptos"/>
                <w:sz w:val="17"/>
              </w:rPr>
              <w:t>Permit/ignore; do not fail validation.</w:t>
            </w:r>
          </w:p>
        </w:tc>
        <w:tc>
          <w:tcPr>
            <w:tcW w:type="dxa" w:w="3240"/>
            <w:tcMar>
              <w:top w:w="80" w:type="dxa"/>
              <w:start w:w="90" w:type="dxa"/>
              <w:bottom w:w="80" w:type="dxa"/>
              <w:end w:w="90" w:type="dxa"/>
            </w:tcMar>
            <w:vAlign w:val="top"/>
          </w:tcPr>
          <w:p>
            <w:pPr>
              <w:spacing w:after="0"/>
            </w:pPr>
            <w:r>
              <w:rPr>
                <w:rFonts w:ascii="Aptos" w:hAnsi="Aptos"/>
                <w:sz w:val="17"/>
              </w:rPr>
              <w:t>Required six-sheet contract does not mean “exactly six sheets”.</w:t>
            </w:r>
          </w:p>
        </w:tc>
      </w:tr>
      <w:tr>
        <w:tc>
          <w:tcPr>
            <w:tcW w:type="dxa" w:w="2376"/>
            <w:shd w:fill="F7F9FB"/>
            <w:tcMar>
              <w:top w:w="80" w:type="dxa"/>
              <w:start w:w="90" w:type="dxa"/>
              <w:bottom w:w="80" w:type="dxa"/>
              <w:end w:w="90" w:type="dxa"/>
            </w:tcMar>
            <w:vAlign w:val="top"/>
          </w:tcPr>
          <w:p>
            <w:pPr>
              <w:spacing w:after="0"/>
            </w:pPr>
            <w:r>
              <w:rPr>
                <w:rFonts w:ascii="Aptos" w:hAnsi="Aptos"/>
                <w:sz w:val="17"/>
              </w:rPr>
              <w:t>Duplicate DR identity</w:t>
            </w:r>
          </w:p>
        </w:tc>
        <w:tc>
          <w:tcPr>
            <w:tcW w:type="dxa" w:w="5328"/>
            <w:shd w:fill="F7F9FB"/>
            <w:tcMar>
              <w:top w:w="80" w:type="dxa"/>
              <w:start w:w="90" w:type="dxa"/>
              <w:bottom w:w="80" w:type="dxa"/>
              <w:end w:w="90" w:type="dxa"/>
            </w:tcMar>
            <w:vAlign w:val="top"/>
          </w:tcPr>
          <w:p>
            <w:pPr>
              <w:spacing w:after="0"/>
            </w:pPr>
            <w:r>
              <w:rPr>
                <w:rFonts w:ascii="Aptos" w:hAnsi="Aptos"/>
                <w:sz w:val="17"/>
              </w:rPr>
              <w:t>Reject workbooks that resolve to the same filename-derived DR identity within the batch.</w:t>
            </w:r>
          </w:p>
        </w:tc>
        <w:tc>
          <w:tcPr>
            <w:tcW w:type="dxa" w:w="3240"/>
            <w:shd w:fill="F7F9FB"/>
            <w:tcMar>
              <w:top w:w="80" w:type="dxa"/>
              <w:start w:w="90" w:type="dxa"/>
              <w:bottom w:w="80" w:type="dxa"/>
              <w:end w:w="90" w:type="dxa"/>
            </w:tcMar>
            <w:vAlign w:val="top"/>
          </w:tcPr>
          <w:p>
            <w:pPr>
              <w:spacing w:after="0"/>
            </w:pPr>
            <w:r>
              <w:rPr>
                <w:rFonts w:ascii="Aptos" w:hAnsi="Aptos"/>
                <w:sz w:val="17"/>
              </w:rPr>
              <w:t>Prevents duplicate DR contribution to merged dataset.</w:t>
            </w:r>
          </w:p>
        </w:tc>
      </w:tr>
    </w:tbl>
    <w:p>
      <w:pPr>
        <w:spacing w:after="40"/>
      </w:pPr>
    </w:p>
    <w:p>
      <w:pPr>
        <w:pStyle w:val="Heading1"/>
      </w:pPr>
      <w:r>
        <w:t>6. Why the First Feature Took More Time</w:t>
      </w:r>
    </w:p>
    <w:p>
      <w:r>
        <w:rPr>
          <w:rFonts w:ascii="Aptos" w:hAnsi="Aptos"/>
          <w:b/>
        </w:rPr>
        <w:t xml:space="preserve">The implementation code is not the main source of elapsed time so far. </w:t>
      </w:r>
      <w:r>
        <w:rPr>
          <w:rFonts w:ascii="Aptos" w:hAnsi="Aptos"/>
        </w:rPr>
        <w:t>The first feature is carrying three kinds of work at once:</w:t>
      </w:r>
    </w:p>
    <w:p>
      <w:pPr>
        <w:pStyle w:val="ListBullet"/>
        <w:spacing w:after="60"/>
      </w:pPr>
      <w:r>
        <w:rPr>
          <w:rFonts w:ascii="Aptos" w:hAnsi="Aptos"/>
        </w:rPr>
        <w:t>Domain formalization — extracting rules that existed only implicitly in spreadsheets and Python behavior.</w:t>
      </w:r>
    </w:p>
    <w:p>
      <w:pPr>
        <w:pStyle w:val="ListBullet"/>
        <w:spacing w:after="60"/>
      </w:pPr>
      <w:r>
        <w:rPr>
          <w:rFonts w:ascii="Aptos" w:hAnsi="Aptos"/>
        </w:rPr>
        <w:t>SDD process establishment — learning which gates are useful, what prompt/context belongs where, and how to review AI-generated artifacts.</w:t>
      </w:r>
    </w:p>
    <w:p>
      <w:pPr>
        <w:pStyle w:val="ListBullet"/>
        <w:spacing w:after="60"/>
      </w:pPr>
      <w:r>
        <w:rPr>
          <w:rFonts w:ascii="Aptos" w:hAnsi="Aptos"/>
        </w:rPr>
        <w:t>Greenfield foundation — defining reusable ingestion, validation, persistence, diagnostics, activation, test, and API patterns that later features can reuse.</w:t>
      </w:r>
    </w:p>
    <w:tbl>
      <w:tblPr>
        <w:tblW w:type="auto" w:w="0"/>
        <w:jc w:val="center"/>
        <w:tblLook w:firstColumn="1" w:firstRow="1" w:lastColumn="0" w:lastRow="0" w:noHBand="0" w:noVBand="1" w:val="04A0"/>
      </w:tblPr>
      <w:tblGrid>
        <w:gridCol w:w="10224"/>
      </w:tblGrid>
      <w:tr>
        <w:tc>
          <w:tcPr>
            <w:tcW w:type="dxa" w:w="10224"/>
            <w:shd w:fill="EEF8EE"/>
            <w:tcMar>
              <w:top w:w="130" w:type="dxa"/>
              <w:start w:w="170" w:type="dxa"/>
              <w:bottom w:w="130" w:type="dxa"/>
              <w:end w:w="170" w:type="dxa"/>
            </w:tcMar>
            <w:tcBorders>
              <w:top w:val="single" w:sz="6" w:space="0" w:color="2E7D32"/>
              <w:left w:val="single" w:sz="6" w:space="0" w:color="2E7D32"/>
              <w:bottom w:val="single" w:sz="6" w:space="0" w:color="2E7D32"/>
              <w:right w:val="single" w:sz="6" w:space="0" w:color="2E7D32"/>
            </w:tcBorders>
          </w:tcPr>
          <w:p>
            <w:pPr>
              <w:spacing w:after="60"/>
            </w:pPr>
            <w:r>
              <w:rPr>
                <w:rFonts w:ascii="Aptos" w:hAnsi="Aptos"/>
                <w:b/>
                <w:color w:val="2E7D32"/>
                <w:sz w:val="21"/>
              </w:rPr>
              <w:t>Recommended manager wording</w:t>
            </w:r>
          </w:p>
          <w:p>
            <w:pPr>
              <w:spacing w:after="0"/>
            </w:pPr>
            <w:r>
              <w:rPr>
                <w:rFonts w:ascii="Aptos" w:hAnsi="Aptos"/>
                <w:sz w:val="20"/>
              </w:rPr>
              <w:t>“Feature 001 is taking longer because it is the first feature and the SDD baseline. We are formalizing previously implicit rules and validating the workflow itself. The expectation is that later features reuse these decisions and patterns, so their discovery and setup overhead should be lower.”</w:t>
            </w:r>
          </w:p>
        </w:tc>
      </w:tr>
    </w:tbl>
    <w:p>
      <w:pPr>
        <w:spacing w:after="20"/>
      </w:pPr>
    </w:p>
    <w:p>
      <w:pPr>
        <w:pStyle w:val="Heading1"/>
      </w:pPr>
      <w:r>
        <w:t>7. What the Human Added vs. What AI Added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vAlign w:val="center"/>
            <w:tcMar>
              <w:top w:w="90" w:type="dxa"/>
              <w:start w:w="90" w:type="dxa"/>
              <w:bottom w:w="90" w:type="dxa"/>
              <w:end w:w="90" w:type="dxa"/>
            </w:tcMar>
          </w:tcPr>
          <w:p>
            <w:r>
              <w:rPr>
                <w:rFonts w:ascii="Aptos" w:hAnsi="Aptos"/>
                <w:b/>
                <w:color w:val="FFFFFF"/>
                <w:sz w:val="19"/>
              </w:rPr>
              <w:t>Area</w:t>
            </w:r>
          </w:p>
        </w:tc>
        <w:tc>
          <w:tcPr>
            <w:tcW w:type="dxa" w:w="7200"/>
            <w:shd w:fill="1F4E78"/>
            <w:vAlign w:val="center"/>
            <w:tcMar>
              <w:top w:w="90" w:type="dxa"/>
              <w:start w:w="90" w:type="dxa"/>
              <w:bottom w:w="90" w:type="dxa"/>
              <w:end w:w="90" w:type="dxa"/>
            </w:tcMar>
          </w:tcPr>
          <w:p>
            <w:r>
              <w:rPr>
                <w:rFonts w:ascii="Aptos" w:hAnsi="Aptos"/>
                <w:b/>
                <w:color w:val="FFFFFF"/>
                <w:sz w:val="19"/>
              </w:rPr>
              <w:t>Role</w:t>
            </w:r>
          </w:p>
        </w:tc>
      </w:tr>
      <w:tr>
        <w:tc>
          <w:tcPr>
            <w:tcW w:type="dxa" w:w="2880"/>
            <w:tcMar>
              <w:top w:w="80" w:type="dxa"/>
              <w:start w:w="90" w:type="dxa"/>
              <w:bottom w:w="80" w:type="dxa"/>
              <w:end w:w="90" w:type="dxa"/>
            </w:tcMar>
            <w:vAlign w:val="top"/>
          </w:tcPr>
          <w:p>
            <w:pPr>
              <w:spacing w:after="0"/>
            </w:pPr>
            <w:r>
              <w:rPr>
                <w:rFonts w:ascii="Aptos" w:hAnsi="Aptos"/>
                <w:sz w:val="18"/>
              </w:rPr>
              <w:t>AI / Copilot contribution</w:t>
            </w:r>
          </w:p>
        </w:tc>
        <w:tc>
          <w:tcPr>
            <w:tcW w:type="dxa" w:w="7200"/>
            <w:tcMar>
              <w:top w:w="80" w:type="dxa"/>
              <w:start w:w="90" w:type="dxa"/>
              <w:bottom w:w="80" w:type="dxa"/>
              <w:end w:w="90" w:type="dxa"/>
            </w:tcMar>
            <w:vAlign w:val="top"/>
          </w:tcPr>
          <w:p>
            <w:pPr>
              <w:spacing w:after="0"/>
            </w:pPr>
            <w:r>
              <w:rPr>
                <w:rFonts w:ascii="Aptos" w:hAnsi="Aptos"/>
                <w:sz w:val="18"/>
              </w:rPr>
              <w:t>Generated candidate specs, questions, plan/data model/contracts, alternative product viewpoints, and readiness checks quickly.</w:t>
            </w:r>
          </w:p>
        </w:tc>
      </w:tr>
      <w:tr>
        <w:tc>
          <w:tcPr>
            <w:tcW w:type="dxa" w:w="2880"/>
            <w:shd w:fill="F7F9FB"/>
            <w:tcMar>
              <w:top w:w="80" w:type="dxa"/>
              <w:start w:w="90" w:type="dxa"/>
              <w:bottom w:w="80" w:type="dxa"/>
              <w:end w:w="90" w:type="dxa"/>
            </w:tcMar>
            <w:vAlign w:val="top"/>
          </w:tcPr>
          <w:p>
            <w:pPr>
              <w:spacing w:after="0"/>
            </w:pPr>
            <w:r>
              <w:rPr>
                <w:rFonts w:ascii="Aptos" w:hAnsi="Aptos"/>
                <w:sz w:val="18"/>
              </w:rPr>
              <w:t>Human contribution</w:t>
            </w:r>
          </w:p>
        </w:tc>
        <w:tc>
          <w:tcPr>
            <w:tcW w:type="dxa" w:w="7200"/>
            <w:shd w:fill="F7F9FB"/>
            <w:tcMar>
              <w:top w:w="80" w:type="dxa"/>
              <w:start w:w="90" w:type="dxa"/>
              <w:bottom w:w="80" w:type="dxa"/>
              <w:end w:w="90" w:type="dxa"/>
            </w:tcMar>
            <w:vAlign w:val="top"/>
          </w:tcPr>
          <w:p>
            <w:pPr>
              <w:spacing w:after="0"/>
            </w:pPr>
            <w:r>
              <w:rPr>
                <w:rFonts w:ascii="Aptos" w:hAnsi="Aptos"/>
                <w:sz w:val="18"/>
              </w:rPr>
              <w:t>Framed the problem, selected Feature 001, corrected factual/domain assumptions, decided severity/policies, distinguished legacy behavior from new requirements, challenged plan defaults, and approved or rejected changes.</w:t>
            </w:r>
          </w:p>
        </w:tc>
      </w:tr>
      <w:tr>
        <w:tc>
          <w:tcPr>
            <w:tcW w:type="dxa" w:w="2880"/>
            <w:tcMar>
              <w:top w:w="80" w:type="dxa"/>
              <w:start w:w="90" w:type="dxa"/>
              <w:bottom w:w="80" w:type="dxa"/>
              <w:end w:w="90" w:type="dxa"/>
            </w:tcMar>
            <w:vAlign w:val="top"/>
          </w:tcPr>
          <w:p>
            <w:pPr>
              <w:spacing w:after="0"/>
            </w:pPr>
            <w:r>
              <w:rPr>
                <w:rFonts w:ascii="Aptos" w:hAnsi="Aptos"/>
                <w:sz w:val="18"/>
              </w:rPr>
              <w:t>Critical rule</w:t>
            </w:r>
          </w:p>
        </w:tc>
        <w:tc>
          <w:tcPr>
            <w:tcW w:type="dxa" w:w="7200"/>
            <w:tcMar>
              <w:top w:w="80" w:type="dxa"/>
              <w:start w:w="90" w:type="dxa"/>
              <w:bottom w:w="80" w:type="dxa"/>
              <w:end w:w="90" w:type="dxa"/>
            </w:tcMar>
            <w:vAlign w:val="top"/>
          </w:tcPr>
          <w:p>
            <w:pPr>
              <w:spacing w:after="0"/>
            </w:pPr>
            <w:r>
              <w:rPr>
                <w:rFonts w:ascii="Aptos" w:hAnsi="Aptos"/>
                <w:sz w:val="18"/>
              </w:rPr>
              <w:t>Generated content is evidence/candidate reasoning until reviewed; it does not become project truth merely because it appears in spec.md or plan.md.</w:t>
            </w:r>
          </w:p>
        </w:tc>
      </w:tr>
    </w:tbl>
    <w:p>
      <w:pPr>
        <w:spacing w:after="40"/>
      </w:pPr>
    </w:p>
    <w:p>
      <w:r>
        <w:rPr>
          <w:rFonts w:ascii="Aptos" w:hAnsi="Aptos"/>
          <w:b/>
          <w:color w:val="17365D"/>
        </w:rPr>
        <w:t xml:space="preserve">Example answer if asked “What wrong AI assumptions did you catch?” </w:t>
      </w:r>
      <w:r>
        <w:rPr>
          <w:rFonts w:ascii="Aptos" w:hAnsi="Aptos"/>
        </w:rPr>
        <w:t>The model initially misunderstood the workbook structure, later proposed planning defaults that contradicted clarified decisions, and initially did not account for DR-specific column variation. Those issues were corrected before implementation.</w:t>
      </w:r>
    </w:p>
    <w:p>
      <w:pPr>
        <w:pStyle w:val="Heading1"/>
      </w:pPr>
      <w:r>
        <w:t>8. Current Readiness Status</w:t>
      </w:r>
    </w:p>
    <w:p>
      <w:pPr>
        <w:pStyle w:val="ListBullet"/>
        <w:spacing w:after="60"/>
      </w:pPr>
      <w:r>
        <w:rPr>
          <w:rFonts w:ascii="Aptos" w:hAnsi="Aptos"/>
        </w:rPr>
        <w:t>Custom end-to-end readiness checklist generated across 70 checks spanning requirements, ingestion, diagnostics, activation safety, data model, API contracts, clarification traceability, constitution alignment, cross-artifact consistency, and edge cases.</w:t>
      </w:r>
    </w:p>
    <w:p>
      <w:pPr>
        <w:pStyle w:val="ListBullet"/>
        <w:spacing w:after="60"/>
      </w:pPr>
      <w:r>
        <w:rPr>
          <w:rFonts w:ascii="Aptos" w:hAnsi="Aptos"/>
        </w:rPr>
        <w:t>First evaluation found major gaps, especially eight “approved reference interpretation” deferrals that were not explicit enough for deterministic implementation.</w:t>
      </w:r>
    </w:p>
    <w:p>
      <w:pPr>
        <w:pStyle w:val="ListBullet"/>
        <w:spacing w:after="60"/>
      </w:pPr>
      <w:r>
        <w:rPr>
          <w:rFonts w:ascii="Aptos" w:hAnsi="Aptos"/>
        </w:rPr>
        <w:t>Re-evaluation reported 69 passed / 1 documented safe deferral after explicit rules and cross-artifact corrections were added.</w:t>
      </w:r>
    </w:p>
    <w:p>
      <w:pPr>
        <w:pStyle w:val="ListBullet"/>
        <w:spacing w:after="60"/>
      </w:pPr>
      <w:r>
        <w:rPr>
          <w:rFonts w:ascii="Aptos" w:hAnsi="Aptos"/>
        </w:rPr>
        <w:t>Human review still performs a final compatibility check before task generation; a “green” generated report is not treated as automatic approval.</w:t>
      </w:r>
    </w:p>
    <w:p>
      <w:r>
        <w:rPr>
          <w:rFonts w:ascii="Aptos" w:hAnsi="Aptos"/>
          <w:b/>
        </w:rPr>
        <w:t xml:space="preserve">Examples of rules made explicit by the readiness gate: </w:t>
      </w:r>
      <w:r>
        <w:rPr>
          <w:rFonts w:ascii="Aptos" w:hAnsi="Aptos"/>
        </w:rPr>
        <w:t>header detection, row/end-of-data rules, complete status and customer-approval normalization, metric Pre/Post pairing, category inheritance, explanation-header typo variants, metric missing-value behavior, warnings-only activation, transaction rollback, nullable dates, and API/data-model consistency.</w:t>
      </w:r>
    </w:p>
    <w:p>
      <w:pPr>
        <w:pStyle w:val="Heading1"/>
      </w:pPr>
      <w:r>
        <w:t>9. What the Pilot Says About SDD So Far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F4E78"/>
            <w:vAlign w:val="center"/>
            <w:tcMar>
              <w:top w:w="90" w:type="dxa"/>
              <w:start w:w="90" w:type="dxa"/>
              <w:bottom w:w="90" w:type="dxa"/>
              <w:end w:w="90" w:type="dxa"/>
            </w:tcMar>
          </w:tcPr>
          <w:p>
            <w:r>
              <w:rPr>
                <w:rFonts w:ascii="Aptos" w:hAnsi="Aptos"/>
                <w:b/>
                <w:color w:val="FFFFFF"/>
                <w:sz w:val="19"/>
              </w:rPr>
              <w:t>Type</w:t>
            </w:r>
          </w:p>
        </w:tc>
        <w:tc>
          <w:tcPr>
            <w:tcW w:type="dxa" w:w="7992"/>
            <w:shd w:fill="1F4E78"/>
            <w:vAlign w:val="center"/>
            <w:tcMar>
              <w:top w:w="90" w:type="dxa"/>
              <w:start w:w="90" w:type="dxa"/>
              <w:bottom w:w="90" w:type="dxa"/>
              <w:end w:w="90" w:type="dxa"/>
            </w:tcMar>
          </w:tcPr>
          <w:p>
            <w:r>
              <w:rPr>
                <w:rFonts w:ascii="Aptos" w:hAnsi="Aptos"/>
                <w:b/>
                <w:color w:val="FFFFFF"/>
                <w:sz w:val="19"/>
              </w:rPr>
              <w:t>Observation</w:t>
            </w:r>
          </w:p>
        </w:tc>
      </w:tr>
      <w:tr>
        <w:tc>
          <w:tcPr>
            <w:tcW w:type="dxa" w:w="2088"/>
            <w:tcMar>
              <w:top w:w="80" w:type="dxa"/>
              <w:start w:w="90" w:type="dxa"/>
              <w:bottom w:w="80" w:type="dxa"/>
              <w:end w:w="90" w:type="dxa"/>
            </w:tcMar>
            <w:vAlign w:val="top"/>
          </w:tcPr>
          <w:p>
            <w:pPr>
              <w:spacing w:after="0"/>
            </w:pPr>
            <w:r>
              <w:rPr>
                <w:rFonts w:ascii="Aptos" w:hAnsi="Aptos"/>
                <w:sz w:val="18"/>
              </w:rPr>
              <w:t>Observed value</w:t>
            </w:r>
          </w:p>
        </w:tc>
        <w:tc>
          <w:tcPr>
            <w:tcW w:type="dxa" w:w="7992"/>
            <w:tcMar>
              <w:top w:w="80" w:type="dxa"/>
              <w:start w:w="90" w:type="dxa"/>
              <w:bottom w:w="80" w:type="dxa"/>
              <w:end w:w="90" w:type="dxa"/>
            </w:tcMar>
            <w:vAlign w:val="top"/>
          </w:tcPr>
          <w:p>
            <w:pPr>
              <w:spacing w:after="0"/>
            </w:pPr>
            <w:r>
              <w:rPr>
                <w:rFonts w:ascii="Aptos" w:hAnsi="Aptos"/>
                <w:sz w:val="18"/>
              </w:rPr>
              <w:t>Moves ambiguity into visible review gates instead of allowing it to become hidden code behavior.</w:t>
            </w:r>
          </w:p>
        </w:tc>
      </w:tr>
      <w:tr>
        <w:tc>
          <w:tcPr>
            <w:tcW w:type="dxa" w:w="2088"/>
            <w:shd w:fill="F7F9FB"/>
            <w:tcMar>
              <w:top w:w="80" w:type="dxa"/>
              <w:start w:w="90" w:type="dxa"/>
              <w:bottom w:w="80" w:type="dxa"/>
              <w:end w:w="90" w:type="dxa"/>
            </w:tcMar>
            <w:vAlign w:val="top"/>
          </w:tcPr>
          <w:p>
            <w:pPr>
              <w:spacing w:after="0"/>
            </w:pPr>
            <w:r>
              <w:rPr>
                <w:rFonts w:ascii="Aptos" w:hAnsi="Aptos"/>
                <w:sz w:val="18"/>
              </w:rPr>
              <w:t>Observed value</w:t>
            </w:r>
          </w:p>
        </w:tc>
        <w:tc>
          <w:tcPr>
            <w:tcW w:type="dxa" w:w="7992"/>
            <w:shd w:fill="F7F9FB"/>
            <w:tcMar>
              <w:top w:w="80" w:type="dxa"/>
              <w:start w:w="90" w:type="dxa"/>
              <w:bottom w:w="80" w:type="dxa"/>
              <w:end w:w="90" w:type="dxa"/>
            </w:tcMar>
            <w:vAlign w:val="top"/>
          </w:tcPr>
          <w:p>
            <w:pPr>
              <w:spacing w:after="0"/>
            </w:pPr>
            <w:r>
              <w:rPr>
                <w:rFonts w:ascii="Aptos" w:hAnsi="Aptos"/>
                <w:sz w:val="18"/>
              </w:rPr>
              <w:t>Creates traceability from decision → spec → plan → data model/contracts → checklist → later tasks/tests.</w:t>
            </w:r>
          </w:p>
        </w:tc>
      </w:tr>
      <w:tr>
        <w:tc>
          <w:tcPr>
            <w:tcW w:type="dxa" w:w="2088"/>
            <w:tcMar>
              <w:top w:w="80" w:type="dxa"/>
              <w:start w:w="90" w:type="dxa"/>
              <w:bottom w:w="80" w:type="dxa"/>
              <w:end w:w="90" w:type="dxa"/>
            </w:tcMar>
            <w:vAlign w:val="top"/>
          </w:tcPr>
          <w:p>
            <w:pPr>
              <w:spacing w:after="0"/>
            </w:pPr>
            <w:r>
              <w:rPr>
                <w:rFonts w:ascii="Aptos" w:hAnsi="Aptos"/>
                <w:sz w:val="18"/>
              </w:rPr>
              <w:t>Observed value</w:t>
            </w:r>
          </w:p>
        </w:tc>
        <w:tc>
          <w:tcPr>
            <w:tcW w:type="dxa" w:w="7992"/>
            <w:tcMar>
              <w:top w:w="80" w:type="dxa"/>
              <w:start w:w="90" w:type="dxa"/>
              <w:bottom w:w="80" w:type="dxa"/>
              <w:end w:w="90" w:type="dxa"/>
            </w:tcMar>
            <w:vAlign w:val="top"/>
          </w:tcPr>
          <w:p>
            <w:pPr>
              <w:spacing w:after="0"/>
            </w:pPr>
            <w:r>
              <w:rPr>
                <w:rFonts w:ascii="Aptos" w:hAnsi="Aptos"/>
                <w:sz w:val="18"/>
              </w:rPr>
              <w:t>Makes legacy compatibility behavior explicit enough to test rather than relying on tribal knowledge.</w:t>
            </w:r>
          </w:p>
        </w:tc>
      </w:tr>
      <w:tr>
        <w:tc>
          <w:tcPr>
            <w:tcW w:type="dxa" w:w="2088"/>
            <w:shd w:fill="F7F9FB"/>
            <w:tcMar>
              <w:top w:w="80" w:type="dxa"/>
              <w:start w:w="90" w:type="dxa"/>
              <w:bottom w:w="80" w:type="dxa"/>
              <w:end w:w="90" w:type="dxa"/>
            </w:tcMar>
            <w:vAlign w:val="top"/>
          </w:tcPr>
          <w:p>
            <w:pPr>
              <w:spacing w:after="0"/>
            </w:pPr>
            <w:r>
              <w:rPr>
                <w:rFonts w:ascii="Aptos" w:hAnsi="Aptos"/>
                <w:sz w:val="18"/>
              </w:rPr>
              <w:t>Observed value</w:t>
            </w:r>
          </w:p>
        </w:tc>
        <w:tc>
          <w:tcPr>
            <w:tcW w:type="dxa" w:w="7992"/>
            <w:shd w:fill="F7F9FB"/>
            <w:tcMar>
              <w:top w:w="80" w:type="dxa"/>
              <w:start w:w="90" w:type="dxa"/>
              <w:bottom w:w="80" w:type="dxa"/>
              <w:end w:w="90" w:type="dxa"/>
            </w:tcMar>
            <w:vAlign w:val="top"/>
          </w:tcPr>
          <w:p>
            <w:pPr>
              <w:spacing w:after="0"/>
            </w:pPr>
            <w:r>
              <w:rPr>
                <w:rFonts w:ascii="Aptos" w:hAnsi="Aptos"/>
                <w:sz w:val="18"/>
              </w:rPr>
              <w:t>Provides a controlled place to challenge AI assumptions before implementation.</w:t>
            </w:r>
          </w:p>
        </w:tc>
      </w:tr>
      <w:tr>
        <w:tc>
          <w:tcPr>
            <w:tcW w:type="dxa" w:w="2088"/>
            <w:tcMar>
              <w:top w:w="80" w:type="dxa"/>
              <w:start w:w="90" w:type="dxa"/>
              <w:bottom w:w="80" w:type="dxa"/>
              <w:end w:w="90" w:type="dxa"/>
            </w:tcMar>
            <w:vAlign w:val="top"/>
          </w:tcPr>
          <w:p>
            <w:pPr>
              <w:spacing w:after="0"/>
            </w:pPr>
            <w:r>
              <w:rPr>
                <w:rFonts w:ascii="Aptos" w:hAnsi="Aptos"/>
                <w:sz w:val="18"/>
              </w:rPr>
              <w:t>Cost / trade-off</w:t>
            </w:r>
          </w:p>
        </w:tc>
        <w:tc>
          <w:tcPr>
            <w:tcW w:type="dxa" w:w="7992"/>
            <w:tcMar>
              <w:top w:w="80" w:type="dxa"/>
              <w:start w:w="90" w:type="dxa"/>
              <w:bottom w:w="80" w:type="dxa"/>
              <w:end w:w="90" w:type="dxa"/>
            </w:tcMar>
            <w:vAlign w:val="top"/>
          </w:tcPr>
          <w:p>
            <w:pPr>
              <w:spacing w:after="0"/>
            </w:pPr>
            <w:r>
              <w:rPr>
                <w:rFonts w:ascii="Aptos" w:hAnsi="Aptos"/>
                <w:sz w:val="18"/>
              </w:rPr>
              <w:t>The first feature has high up-front reasoning and artifact-review overhead.</w:t>
            </w:r>
          </w:p>
        </w:tc>
      </w:tr>
      <w:tr>
        <w:tc>
          <w:tcPr>
            <w:tcW w:type="dxa" w:w="2088"/>
            <w:shd w:fill="F7F9FB"/>
            <w:tcMar>
              <w:top w:w="80" w:type="dxa"/>
              <w:start w:w="90" w:type="dxa"/>
              <w:bottom w:w="80" w:type="dxa"/>
              <w:end w:w="90" w:type="dxa"/>
            </w:tcMar>
            <w:vAlign w:val="top"/>
          </w:tcPr>
          <w:p>
            <w:pPr>
              <w:spacing w:after="0"/>
            </w:pPr>
            <w:r>
              <w:rPr>
                <w:rFonts w:ascii="Aptos" w:hAnsi="Aptos"/>
                <w:sz w:val="18"/>
              </w:rPr>
              <w:t>Cost / trade-off</w:t>
            </w:r>
          </w:p>
        </w:tc>
        <w:tc>
          <w:tcPr>
            <w:tcW w:type="dxa" w:w="7992"/>
            <w:shd w:fill="F7F9FB"/>
            <w:tcMar>
              <w:top w:w="80" w:type="dxa"/>
              <w:start w:w="90" w:type="dxa"/>
              <w:bottom w:w="80" w:type="dxa"/>
              <w:end w:w="90" w:type="dxa"/>
            </w:tcMar>
            <w:vAlign w:val="top"/>
          </w:tcPr>
          <w:p>
            <w:pPr>
              <w:spacing w:after="0"/>
            </w:pPr>
            <w:r>
              <w:rPr>
                <w:rFonts w:ascii="Aptos" w:hAnsi="Aptos"/>
                <w:sz w:val="18"/>
              </w:rPr>
              <w:t>AI can create contradictions between artifacts or invent “reasonable defaults”; review remains necessary.</w:t>
            </w:r>
          </w:p>
        </w:tc>
      </w:tr>
      <w:tr>
        <w:tc>
          <w:tcPr>
            <w:tcW w:type="dxa" w:w="2088"/>
            <w:tcMar>
              <w:top w:w="80" w:type="dxa"/>
              <w:start w:w="90" w:type="dxa"/>
              <w:bottom w:w="80" w:type="dxa"/>
              <w:end w:w="90" w:type="dxa"/>
            </w:tcMar>
            <w:vAlign w:val="top"/>
          </w:tcPr>
          <w:p>
            <w:pPr>
              <w:spacing w:after="0"/>
            </w:pPr>
            <w:r>
              <w:rPr>
                <w:rFonts w:ascii="Aptos" w:hAnsi="Aptos"/>
                <w:sz w:val="18"/>
              </w:rPr>
              <w:t>Cost / trade-off</w:t>
            </w:r>
          </w:p>
        </w:tc>
        <w:tc>
          <w:tcPr>
            <w:tcW w:type="dxa" w:w="7992"/>
            <w:tcMar>
              <w:top w:w="80" w:type="dxa"/>
              <w:start w:w="90" w:type="dxa"/>
              <w:bottom w:w="80" w:type="dxa"/>
              <w:end w:w="90" w:type="dxa"/>
            </w:tcMar>
            <w:vAlign w:val="top"/>
          </w:tcPr>
          <w:p>
            <w:pPr>
              <w:spacing w:after="0"/>
            </w:pPr>
            <w:r>
              <w:rPr>
                <w:rFonts w:ascii="Aptos" w:hAnsi="Aptos"/>
                <w:sz w:val="18"/>
              </w:rPr>
              <w:t>Over-specifying low-risk details can create process drag; future guidelines should define which gates/checklists are mandatory by risk level.</w:t>
            </w:r>
          </w:p>
        </w:tc>
      </w:tr>
    </w:tbl>
    <w:p>
      <w:pPr>
        <w:spacing w:after="40"/>
      </w:pPr>
    </w:p>
    <w:p>
      <w:pPr>
        <w:pStyle w:val="Heading1"/>
      </w:pPr>
      <w:r>
        <w:t>10. How This Should Scale to Later Features</w:t>
      </w:r>
    </w:p>
    <w:p>
      <w:pPr>
        <w:pStyle w:val="ListBullet"/>
        <w:spacing w:after="60"/>
      </w:pPr>
      <w:r>
        <w:rPr>
          <w:rFonts w:ascii="Aptos" w:hAnsi="Aptos"/>
        </w:rPr>
        <w:t>Do not repeat the full project story in every prompt. Put project-wide rules in the constitution, feature behavior in spec.md, technical choices in plan.md, and execution work in tasks.md.</w:t>
      </w:r>
    </w:p>
    <w:p>
      <w:pPr>
        <w:pStyle w:val="ListBullet"/>
        <w:spacing w:after="60"/>
      </w:pPr>
      <w:r>
        <w:rPr>
          <w:rFonts w:ascii="Aptos" w:hAnsi="Aptos"/>
        </w:rPr>
        <w:t>Reuse the ingestion/domain/persistence foundation established by Feature 001 instead of rediscovering it for every UI feature.</w:t>
      </w:r>
    </w:p>
    <w:p>
      <w:pPr>
        <w:pStyle w:val="ListBullet"/>
        <w:spacing w:after="60"/>
      </w:pPr>
      <w:r>
        <w:rPr>
          <w:rFonts w:ascii="Aptos" w:hAnsi="Aptos"/>
        </w:rPr>
        <w:t>Use deeper clarification/readiness gates on high-risk or ambiguous features; use lighter gates on straightforward extensions.</w:t>
      </w:r>
    </w:p>
    <w:p>
      <w:pPr>
        <w:pStyle w:val="ListBullet"/>
        <w:spacing w:after="60"/>
      </w:pPr>
      <w:r>
        <w:rPr>
          <w:rFonts w:ascii="Aptos" w:hAnsi="Aptos"/>
        </w:rPr>
        <w:t>After a working baseline exists, deliberately introduce a changed requirement and measure how spec, plan, tasks, code, tests, and converge output evolve. This is a key part of the pilot.</w:t>
      </w:r>
    </w:p>
    <w:p>
      <w:pPr>
        <w:pStyle w:val="Heading1"/>
      </w:pPr>
      <w:r>
        <w:t>11. Immediate Next Steps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936"/>
            <w:shd w:fill="1F4E78"/>
            <w:vAlign w:val="center"/>
            <w:tcMar>
              <w:top w:w="90" w:type="dxa"/>
              <w:start w:w="90" w:type="dxa"/>
              <w:bottom w:w="90" w:type="dxa"/>
              <w:end w:w="90" w:type="dxa"/>
            </w:tcMar>
          </w:tcPr>
          <w:p>
            <w:r>
              <w:rPr>
                <w:rFonts w:ascii="Aptos" w:hAnsi="Aptos"/>
                <w:b/>
                <w:color w:val="FFFFFF"/>
                <w:sz w:val="19"/>
              </w:rPr>
              <w:t>Step</w:t>
            </w:r>
          </w:p>
        </w:tc>
        <w:tc>
          <w:tcPr>
            <w:tcW w:type="dxa" w:w="9144"/>
            <w:shd w:fill="1F4E78"/>
            <w:vAlign w:val="center"/>
            <w:tcMar>
              <w:top w:w="90" w:type="dxa"/>
              <w:start w:w="90" w:type="dxa"/>
              <w:bottom w:w="90" w:type="dxa"/>
              <w:end w:w="90" w:type="dxa"/>
            </w:tcMar>
          </w:tcPr>
          <w:p>
            <w:r>
              <w:rPr>
                <w:rFonts w:ascii="Aptos" w:hAnsi="Aptos"/>
                <w:b/>
                <w:color w:val="FFFFFF"/>
                <w:sz w:val="19"/>
              </w:rPr>
              <w:t>Action</w:t>
            </w:r>
          </w:p>
        </w:tc>
      </w:tr>
      <w:tr>
        <w:tc>
          <w:tcPr>
            <w:tcW w:type="dxa" w:w="936"/>
            <w:tcMar>
              <w:top w:w="80" w:type="dxa"/>
              <w:start w:w="90" w:type="dxa"/>
              <w:bottom w:w="80" w:type="dxa"/>
              <w:end w:w="90" w:type="dxa"/>
            </w:tcMar>
            <w:vAlign w:val="top"/>
          </w:tcPr>
          <w:p>
            <w:pPr>
              <w:spacing w:after="0"/>
            </w:pPr>
            <w:r>
              <w:rPr>
                <w:rFonts w:ascii="Aptos" w:hAnsi="Aptos"/>
                <w:sz w:val="18"/>
              </w:rPr>
              <w:t>1</w:t>
            </w:r>
          </w:p>
        </w:tc>
        <w:tc>
          <w:tcPr>
            <w:tcW w:type="dxa" w:w="9144"/>
            <w:tcMar>
              <w:top w:w="80" w:type="dxa"/>
              <w:start w:w="90" w:type="dxa"/>
              <w:bottom w:w="80" w:type="dxa"/>
              <w:end w:w="90" w:type="dxa"/>
            </w:tcMar>
            <w:vAlign w:val="top"/>
          </w:tcPr>
          <w:p>
            <w:pPr>
              <w:spacing w:after="0"/>
            </w:pPr>
            <w:r>
              <w:rPr>
                <w:rFonts w:ascii="Aptos" w:hAnsi="Aptos"/>
                <w:sz w:val="18"/>
              </w:rPr>
              <w:t>Finish final human compatibility review of the corrected readiness artifacts.</w:t>
            </w:r>
          </w:p>
        </w:tc>
      </w:tr>
      <w:tr>
        <w:tc>
          <w:tcPr>
            <w:tcW w:type="dxa" w:w="936"/>
            <w:shd w:fill="F7F9FB"/>
            <w:tcMar>
              <w:top w:w="80" w:type="dxa"/>
              <w:start w:w="90" w:type="dxa"/>
              <w:bottom w:w="80" w:type="dxa"/>
              <w:end w:w="90" w:type="dxa"/>
            </w:tcMar>
            <w:vAlign w:val="top"/>
          </w:tcPr>
          <w:p>
            <w:pPr>
              <w:spacing w:after="0"/>
            </w:pPr>
            <w:r>
              <w:rPr>
                <w:rFonts w:ascii="Aptos" w:hAnsi="Aptos"/>
                <w:sz w:val="18"/>
              </w:rPr>
              <w:t>2</w:t>
            </w:r>
          </w:p>
        </w:tc>
        <w:tc>
          <w:tcPr>
            <w:tcW w:type="dxa" w:w="9144"/>
            <w:shd w:fill="F7F9FB"/>
            <w:tcMar>
              <w:top w:w="80" w:type="dxa"/>
              <w:start w:w="90" w:type="dxa"/>
              <w:bottom w:w="80" w:type="dxa"/>
              <w:end w:w="90" w:type="dxa"/>
            </w:tcMar>
            <w:vAlign w:val="top"/>
          </w:tcPr>
          <w:p>
            <w:pPr>
              <w:spacing w:after="0"/>
            </w:pPr>
            <w:r>
              <w:rPr>
                <w:rFonts w:ascii="Aptos" w:hAnsi="Aptos"/>
                <w:sz w:val="18"/>
              </w:rPr>
              <w:t>Run `/speckit.tasks` and verify Setup / Foundational / User Story tasks are complete and correctly ordered.</w:t>
            </w:r>
          </w:p>
        </w:tc>
      </w:tr>
      <w:tr>
        <w:tc>
          <w:tcPr>
            <w:tcW w:type="dxa" w:w="936"/>
            <w:tcMar>
              <w:top w:w="80" w:type="dxa"/>
              <w:start w:w="90" w:type="dxa"/>
              <w:bottom w:w="80" w:type="dxa"/>
              <w:end w:w="90" w:type="dxa"/>
            </w:tcMar>
            <w:vAlign w:val="top"/>
          </w:tcPr>
          <w:p>
            <w:pPr>
              <w:spacing w:after="0"/>
            </w:pPr>
            <w:r>
              <w:rPr>
                <w:rFonts w:ascii="Aptos" w:hAnsi="Aptos"/>
                <w:sz w:val="18"/>
              </w:rPr>
              <w:t>3</w:t>
            </w:r>
          </w:p>
        </w:tc>
        <w:tc>
          <w:tcPr>
            <w:tcW w:type="dxa" w:w="9144"/>
            <w:tcMar>
              <w:top w:w="80" w:type="dxa"/>
              <w:start w:w="90" w:type="dxa"/>
              <w:bottom w:w="80" w:type="dxa"/>
              <w:end w:w="90" w:type="dxa"/>
            </w:tcMar>
            <w:vAlign w:val="top"/>
          </w:tcPr>
          <w:p>
            <w:pPr>
              <w:spacing w:after="0"/>
            </w:pPr>
            <w:r>
              <w:rPr>
                <w:rFonts w:ascii="Aptos" w:hAnsi="Aptos"/>
                <w:sz w:val="18"/>
              </w:rPr>
              <w:t>Run `/speckit.analyze` before implementation and resolve any remaining spec-plan-task inconsistencies.</w:t>
            </w:r>
          </w:p>
        </w:tc>
      </w:tr>
      <w:tr>
        <w:tc>
          <w:tcPr>
            <w:tcW w:type="dxa" w:w="936"/>
            <w:shd w:fill="F7F9FB"/>
            <w:tcMar>
              <w:top w:w="80" w:type="dxa"/>
              <w:start w:w="90" w:type="dxa"/>
              <w:bottom w:w="80" w:type="dxa"/>
              <w:end w:w="90" w:type="dxa"/>
            </w:tcMar>
            <w:vAlign w:val="top"/>
          </w:tcPr>
          <w:p>
            <w:pPr>
              <w:spacing w:after="0"/>
            </w:pPr>
            <w:r>
              <w:rPr>
                <w:rFonts w:ascii="Aptos" w:hAnsi="Aptos"/>
                <w:sz w:val="18"/>
              </w:rPr>
              <w:t>4</w:t>
            </w:r>
          </w:p>
        </w:tc>
        <w:tc>
          <w:tcPr>
            <w:tcW w:type="dxa" w:w="9144"/>
            <w:shd w:fill="F7F9FB"/>
            <w:tcMar>
              <w:top w:w="80" w:type="dxa"/>
              <w:start w:w="90" w:type="dxa"/>
              <w:bottom w:w="80" w:type="dxa"/>
              <w:end w:w="90" w:type="dxa"/>
            </w:tcMar>
            <w:vAlign w:val="top"/>
          </w:tcPr>
          <w:p>
            <w:pPr>
              <w:spacing w:after="0"/>
            </w:pPr>
            <w:r>
              <w:rPr>
                <w:rFonts w:ascii="Aptos" w:hAnsi="Aptos"/>
                <w:sz w:val="18"/>
              </w:rPr>
              <w:t>Run `/speckit.implement` for Feature 001 with representative/golden workbook tests.</w:t>
            </w:r>
          </w:p>
        </w:tc>
      </w:tr>
      <w:tr>
        <w:tc>
          <w:tcPr>
            <w:tcW w:type="dxa" w:w="936"/>
            <w:tcMar>
              <w:top w:w="80" w:type="dxa"/>
              <w:start w:w="90" w:type="dxa"/>
              <w:bottom w:w="80" w:type="dxa"/>
              <w:end w:w="90" w:type="dxa"/>
            </w:tcMar>
            <w:vAlign w:val="top"/>
          </w:tcPr>
          <w:p>
            <w:pPr>
              <w:spacing w:after="0"/>
            </w:pPr>
            <w:r>
              <w:rPr>
                <w:rFonts w:ascii="Aptos" w:hAnsi="Aptos"/>
                <w:sz w:val="18"/>
              </w:rPr>
              <w:t>5</w:t>
            </w:r>
          </w:p>
        </w:tc>
        <w:tc>
          <w:tcPr>
            <w:tcW w:type="dxa" w:w="9144"/>
            <w:tcMar>
              <w:top w:w="80" w:type="dxa"/>
              <w:start w:w="90" w:type="dxa"/>
              <w:bottom w:w="80" w:type="dxa"/>
              <w:end w:w="90" w:type="dxa"/>
            </w:tcMar>
            <w:vAlign w:val="top"/>
          </w:tcPr>
          <w:p>
            <w:pPr>
              <w:spacing w:after="0"/>
            </w:pPr>
            <w:r>
              <w:rPr>
                <w:rFonts w:ascii="Aptos" w:hAnsi="Aptos"/>
                <w:sz w:val="18"/>
              </w:rPr>
              <w:t>Run `/speckit.converge` and record any spec/plan/task/code drift.</w:t>
            </w:r>
          </w:p>
        </w:tc>
      </w:tr>
      <w:tr>
        <w:tc>
          <w:tcPr>
            <w:tcW w:type="dxa" w:w="936"/>
            <w:shd w:fill="F7F9FB"/>
            <w:tcMar>
              <w:top w:w="80" w:type="dxa"/>
              <w:start w:w="90" w:type="dxa"/>
              <w:bottom w:w="80" w:type="dxa"/>
              <w:end w:w="90" w:type="dxa"/>
            </w:tcMar>
            <w:vAlign w:val="top"/>
          </w:tcPr>
          <w:p>
            <w:pPr>
              <w:spacing w:after="0"/>
            </w:pPr>
            <w:r>
              <w:rPr>
                <w:rFonts w:ascii="Aptos" w:hAnsi="Aptos"/>
                <w:sz w:val="18"/>
              </w:rPr>
              <w:t>6</w:t>
            </w:r>
          </w:p>
        </w:tc>
        <w:tc>
          <w:tcPr>
            <w:tcW w:type="dxa" w:w="9144"/>
            <w:shd w:fill="F7F9FB"/>
            <w:tcMar>
              <w:top w:w="80" w:type="dxa"/>
              <w:start w:w="90" w:type="dxa"/>
              <w:bottom w:w="80" w:type="dxa"/>
              <w:end w:w="90" w:type="dxa"/>
            </w:tcMar>
            <w:vAlign w:val="top"/>
          </w:tcPr>
          <w:p>
            <w:pPr>
              <w:spacing w:after="0"/>
            </w:pPr>
            <w:r>
              <w:rPr>
                <w:rFonts w:ascii="Aptos" w:hAnsi="Aptos"/>
                <w:sz w:val="18"/>
              </w:rPr>
              <w:t>Capture actual implementation and rework time; compare with the up-front clarification effort.</w:t>
            </w:r>
          </w:p>
        </w:tc>
      </w:tr>
      <w:tr>
        <w:tc>
          <w:tcPr>
            <w:tcW w:type="dxa" w:w="936"/>
            <w:tcMar>
              <w:top w:w="80" w:type="dxa"/>
              <w:start w:w="90" w:type="dxa"/>
              <w:bottom w:w="80" w:type="dxa"/>
              <w:end w:w="90" w:type="dxa"/>
            </w:tcMar>
            <w:vAlign w:val="top"/>
          </w:tcPr>
          <w:p>
            <w:pPr>
              <w:spacing w:after="0"/>
            </w:pPr>
            <w:r>
              <w:rPr>
                <w:rFonts w:ascii="Aptos" w:hAnsi="Aptos"/>
                <w:sz w:val="18"/>
              </w:rPr>
              <w:t>7</w:t>
            </w:r>
          </w:p>
        </w:tc>
        <w:tc>
          <w:tcPr>
            <w:tcW w:type="dxa" w:w="9144"/>
            <w:tcMar>
              <w:top w:w="80" w:type="dxa"/>
              <w:start w:w="90" w:type="dxa"/>
              <w:bottom w:w="80" w:type="dxa"/>
              <w:end w:w="90" w:type="dxa"/>
            </w:tcMar>
            <w:vAlign w:val="top"/>
          </w:tcPr>
          <w:p>
            <w:pPr>
              <w:spacing w:after="0"/>
            </w:pPr>
            <w:r>
              <w:rPr>
                <w:rFonts w:ascii="Aptos" w:hAnsi="Aptos"/>
                <w:sz w:val="18"/>
              </w:rPr>
              <w:t>Use the completed slice as the baseline for the manager’s future requirement-change experiment.</w:t>
            </w:r>
          </w:p>
        </w:tc>
      </w:tr>
    </w:tbl>
    <w:p>
      <w:pPr>
        <w:spacing w:after="40"/>
      </w:pPr>
    </w:p>
    <w:p>
      <w:pPr>
        <w:pStyle w:val="Heading1"/>
      </w:pPr>
      <w:r>
        <w:t>12. Manager Cross-Questions — Short Answers</w:t>
      </w:r>
    </w:p>
    <w:p>
      <w:pPr>
        <w:spacing w:after="40"/>
      </w:pPr>
      <w:r>
        <w:rPr>
          <w:rFonts w:ascii="Aptos" w:hAnsi="Aptos"/>
          <w:b/>
          <w:color w:val="1F4E78"/>
        </w:rPr>
        <w:t>“Why so much time for one feature?”</w:t>
      </w:r>
    </w:p>
    <w:p>
      <w:pPr>
        <w:ind w:left="216"/>
      </w:pPr>
      <w:r>
        <w:rPr>
          <w:rFonts w:ascii="Aptos" w:hAnsi="Aptos"/>
        </w:rPr>
        <w:t>Because Feature 001 is both the first implementation slice and the SDD baseline. The time is primarily being spent converting implicit behavior into explicit, testable decisions and establishing reusable foundations. Later features should reuse this work.</w:t>
      </w:r>
    </w:p>
    <w:p>
      <w:pPr>
        <w:spacing w:after="40"/>
      </w:pPr>
      <w:r>
        <w:rPr>
          <w:rFonts w:ascii="Aptos" w:hAnsi="Aptos"/>
          <w:b/>
          <w:color w:val="1F4E78"/>
        </w:rPr>
        <w:t>“Did Copilot generate all of this?”</w:t>
      </w:r>
    </w:p>
    <w:p>
      <w:pPr>
        <w:ind w:left="216"/>
      </w:pPr>
      <w:r>
        <w:rPr>
          <w:rFonts w:ascii="Aptos" w:hAnsi="Aptos"/>
        </w:rPr>
        <w:t>Copilot generated candidate analysis and artifacts. Human review framed the problem, corrected wrong assumptions, chose policies, separated evidence from requirements, and rejected contradictory plan defaults.</w:t>
      </w:r>
    </w:p>
    <w:p>
      <w:pPr>
        <w:spacing w:after="40"/>
      </w:pPr>
      <w:r>
        <w:rPr>
          <w:rFonts w:ascii="Aptos" w:hAnsi="Aptos"/>
          <w:b/>
          <w:color w:val="1F4E78"/>
        </w:rPr>
        <w:t>“What did the gates actually prevent?”</w:t>
      </w:r>
    </w:p>
    <w:p>
      <w:pPr>
        <w:ind w:left="216"/>
      </w:pPr>
      <w:r>
        <w:rPr>
          <w:rFonts w:ascii="Aptos" w:hAnsi="Aptos"/>
        </w:rPr>
        <w:t>Wrong workbook structure, unsafe duplicate handling, invented retention limits, incomplete normalization rules, stale spec wording, and cross-artifact inconsistencies were all caught before implementation.</w:t>
      </w:r>
    </w:p>
    <w:p>
      <w:pPr>
        <w:spacing w:after="40"/>
      </w:pPr>
      <w:r>
        <w:rPr>
          <w:rFonts w:ascii="Aptos" w:hAnsi="Aptos"/>
          <w:b/>
          <w:color w:val="1F4E78"/>
        </w:rPr>
        <w:t>“Why not just code and fix later?”</w:t>
      </w:r>
    </w:p>
    <w:p>
      <w:pPr>
        <w:ind w:left="216"/>
      </w:pPr>
      <w:r>
        <w:rPr>
          <w:rFonts w:ascii="Aptos" w:hAnsi="Aptos"/>
        </w:rPr>
        <w:t>That would mainly test code generation. The SDD experiment is specifically measuring whether ambiguity and impact can be surfaced earlier and whether this reduces later rework.</w:t>
      </w:r>
    </w:p>
    <w:p>
      <w:pPr>
        <w:spacing w:after="40"/>
      </w:pPr>
      <w:r>
        <w:rPr>
          <w:rFonts w:ascii="Aptos" w:hAnsi="Aptos"/>
          <w:b/>
          <w:color w:val="1F4E78"/>
        </w:rPr>
        <w:t>“Is all this process required for every feature?”</w:t>
      </w:r>
    </w:p>
    <w:p>
      <w:pPr>
        <w:ind w:left="216"/>
      </w:pPr>
      <w:r>
        <w:rPr>
          <w:rFonts w:ascii="Aptos" w:hAnsi="Aptos"/>
        </w:rPr>
        <w:t>No. The pilot is intentionally comprehensive. The final organizational guideline should scale the depth of clarification/checklists based on feature risk, ambiguity, and cross-cutting impact.</w:t>
      </w:r>
    </w:p>
    <w:p>
      <w:pPr>
        <w:pStyle w:val="Heading1"/>
      </w:pPr>
      <w:r>
        <w:t>Appendix A — Evidence Artifacts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vAlign w:val="center"/>
            <w:tcMar>
              <w:top w:w="90" w:type="dxa"/>
              <w:start w:w="90" w:type="dxa"/>
              <w:bottom w:w="90" w:type="dxa"/>
              <w:end w:w="90" w:type="dxa"/>
            </w:tcMar>
          </w:tcPr>
          <w:p>
            <w:r>
              <w:rPr>
                <w:rFonts w:ascii="Aptos" w:hAnsi="Aptos"/>
                <w:b/>
                <w:color w:val="FFFFFF"/>
                <w:sz w:val="19"/>
              </w:rPr>
              <w:t>Evidence area</w:t>
            </w:r>
          </w:p>
        </w:tc>
        <w:tc>
          <w:tcPr>
            <w:tcW w:type="dxa" w:w="7200"/>
            <w:shd w:fill="1F4E78"/>
            <w:vAlign w:val="center"/>
            <w:tcMar>
              <w:top w:w="90" w:type="dxa"/>
              <w:start w:w="90" w:type="dxa"/>
              <w:bottom w:w="90" w:type="dxa"/>
              <w:end w:w="90" w:type="dxa"/>
            </w:tcMar>
          </w:tcPr>
          <w:p>
            <w:r>
              <w:rPr>
                <w:rFonts w:ascii="Aptos" w:hAnsi="Aptos"/>
                <w:b/>
                <w:color w:val="FFFFFF"/>
                <w:sz w:val="19"/>
              </w:rPr>
              <w:t>Artifacts</w:t>
            </w:r>
          </w:p>
        </w:tc>
      </w:tr>
      <w:tr>
        <w:tc>
          <w:tcPr>
            <w:tcW w:type="dxa" w:w="2880"/>
            <w:tcMar>
              <w:top w:w="80" w:type="dxa"/>
              <w:start w:w="90" w:type="dxa"/>
              <w:bottom w:w="80" w:type="dxa"/>
              <w:end w:w="90" w:type="dxa"/>
            </w:tcMar>
            <w:vAlign w:val="top"/>
          </w:tcPr>
          <w:p>
            <w:pPr>
              <w:spacing w:after="0"/>
            </w:pPr>
            <w:r>
              <w:rPr>
                <w:rFonts w:ascii="Aptos" w:hAnsi="Aptos"/>
                <w:sz w:val="18"/>
              </w:rPr>
              <w:t>Discovery / current system</w:t>
            </w:r>
          </w:p>
        </w:tc>
        <w:tc>
          <w:tcPr>
            <w:tcW w:type="dxa" w:w="7200"/>
            <w:tcMar>
              <w:top w:w="80" w:type="dxa"/>
              <w:start w:w="90" w:type="dxa"/>
              <w:bottom w:w="80" w:type="dxa"/>
              <w:end w:w="90" w:type="dxa"/>
            </w:tcMar>
            <w:vAlign w:val="top"/>
          </w:tcPr>
          <w:p>
            <w:pPr>
              <w:spacing w:after="0"/>
            </w:pPr>
            <w:r>
              <w:rPr>
                <w:rFonts w:ascii="Aptos" w:hAnsi="Aptos"/>
                <w:sz w:val="18"/>
              </w:rPr>
              <w:t>RLLOT_Dashboard_SDD.md; SPECKIT_extract_data.md; SPECKIT_build_rllot_dashboard.md</w:t>
            </w:r>
          </w:p>
        </w:tc>
      </w:tr>
      <w:tr>
        <w:tc>
          <w:tcPr>
            <w:tcW w:type="dxa" w:w="2880"/>
            <w:shd w:fill="F7F9FB"/>
            <w:tcMar>
              <w:top w:w="80" w:type="dxa"/>
              <w:start w:w="90" w:type="dxa"/>
              <w:bottom w:w="80" w:type="dxa"/>
              <w:end w:w="90" w:type="dxa"/>
            </w:tcMar>
            <w:vAlign w:val="top"/>
          </w:tcPr>
          <w:p>
            <w:pPr>
              <w:spacing w:after="0"/>
            </w:pPr>
            <w:r>
              <w:rPr>
                <w:rFonts w:ascii="Aptos" w:hAnsi="Aptos"/>
                <w:sz w:val="18"/>
              </w:rPr>
              <w:t>Greenfield exploration</w:t>
            </w:r>
          </w:p>
        </w:tc>
        <w:tc>
          <w:tcPr>
            <w:tcW w:type="dxa" w:w="7200"/>
            <w:shd w:fill="F7F9FB"/>
            <w:tcMar>
              <w:top w:w="80" w:type="dxa"/>
              <w:start w:w="90" w:type="dxa"/>
              <w:bottom w:w="80" w:type="dxa"/>
              <w:end w:w="90" w:type="dxa"/>
            </w:tcMar>
            <w:vAlign w:val="top"/>
          </w:tcPr>
          <w:p>
            <w:pPr>
              <w:spacing w:after="0"/>
            </w:pPr>
            <w:r>
              <w:rPr>
                <w:rFonts w:ascii="Aptos" w:hAnsi="Aptos"/>
                <w:sz w:val="18"/>
              </w:rPr>
              <w:t>01-GREENFILED_EXPLORATION.md; alternate-product-concept.md; discovery vs implementation report.md</w:t>
            </w:r>
          </w:p>
        </w:tc>
      </w:tr>
      <w:tr>
        <w:tc>
          <w:tcPr>
            <w:tcW w:type="dxa" w:w="2880"/>
            <w:tcMar>
              <w:top w:w="80" w:type="dxa"/>
              <w:start w:w="90" w:type="dxa"/>
              <w:bottom w:w="80" w:type="dxa"/>
              <w:end w:w="90" w:type="dxa"/>
            </w:tcMar>
            <w:vAlign w:val="top"/>
          </w:tcPr>
          <w:p>
            <w:pPr>
              <w:spacing w:after="0"/>
            </w:pPr>
            <w:r>
              <w:rPr>
                <w:rFonts w:ascii="Aptos" w:hAnsi="Aptos"/>
                <w:sz w:val="18"/>
              </w:rPr>
              <w:t>Execution guidance</w:t>
            </w:r>
          </w:p>
        </w:tc>
        <w:tc>
          <w:tcPr>
            <w:tcW w:type="dxa" w:w="7200"/>
            <w:tcMar>
              <w:top w:w="80" w:type="dxa"/>
              <w:start w:w="90" w:type="dxa"/>
              <w:bottom w:w="80" w:type="dxa"/>
              <w:end w:w="90" w:type="dxa"/>
            </w:tcMar>
            <w:vAlign w:val="top"/>
          </w:tcPr>
          <w:p>
            <w:pPr>
              <w:spacing w:after="0"/>
            </w:pPr>
            <w:r>
              <w:rPr>
                <w:rFonts w:ascii="Aptos" w:hAnsi="Aptos"/>
                <w:sz w:val="18"/>
              </w:rPr>
              <w:t>RLLOT_SPECKIT_FEATURE_EXECUTION_PLAYBOOK.md</w:t>
            </w:r>
          </w:p>
        </w:tc>
      </w:tr>
      <w:tr>
        <w:tc>
          <w:tcPr>
            <w:tcW w:type="dxa" w:w="2880"/>
            <w:shd w:fill="F7F9FB"/>
            <w:tcMar>
              <w:top w:w="80" w:type="dxa"/>
              <w:start w:w="90" w:type="dxa"/>
              <w:bottom w:w="80" w:type="dxa"/>
              <w:end w:w="90" w:type="dxa"/>
            </w:tcMar>
            <w:vAlign w:val="top"/>
          </w:tcPr>
          <w:p>
            <w:pPr>
              <w:spacing w:after="0"/>
            </w:pPr>
            <w:r>
              <w:rPr>
                <w:rFonts w:ascii="Aptos" w:hAnsi="Aptos"/>
                <w:sz w:val="18"/>
              </w:rPr>
              <w:t>Journey / effort trace</w:t>
            </w:r>
          </w:p>
        </w:tc>
        <w:tc>
          <w:tcPr>
            <w:tcW w:type="dxa" w:w="7200"/>
            <w:shd w:fill="F7F9FB"/>
            <w:tcMar>
              <w:top w:w="80" w:type="dxa"/>
              <w:start w:w="90" w:type="dxa"/>
              <w:bottom w:w="80" w:type="dxa"/>
              <w:end w:w="90" w:type="dxa"/>
            </w:tcMar>
            <w:vAlign w:val="top"/>
          </w:tcPr>
          <w:p>
            <w:pPr>
              <w:spacing w:after="0"/>
            </w:pPr>
            <w:r>
              <w:rPr>
                <w:rFonts w:ascii="Aptos" w:hAnsi="Aptos"/>
                <w:sz w:val="18"/>
              </w:rPr>
              <w:t>RLLOT_SDD_JOURNEY_LOG.md</w:t>
            </w:r>
          </w:p>
        </w:tc>
      </w:tr>
      <w:tr>
        <w:tc>
          <w:tcPr>
            <w:tcW w:type="dxa" w:w="2880"/>
            <w:tcMar>
              <w:top w:w="80" w:type="dxa"/>
              <w:start w:w="90" w:type="dxa"/>
              <w:bottom w:w="80" w:type="dxa"/>
              <w:end w:w="90" w:type="dxa"/>
            </w:tcMar>
            <w:vAlign w:val="top"/>
          </w:tcPr>
          <w:p>
            <w:pPr>
              <w:spacing w:after="0"/>
            </w:pPr>
            <w:r>
              <w:rPr>
                <w:rFonts w:ascii="Aptos" w:hAnsi="Aptos"/>
                <w:sz w:val="18"/>
              </w:rPr>
              <w:t>Execution problems / decisions</w:t>
            </w:r>
          </w:p>
        </w:tc>
        <w:tc>
          <w:tcPr>
            <w:tcW w:type="dxa" w:w="7200"/>
            <w:tcMar>
              <w:top w:w="80" w:type="dxa"/>
              <w:start w:w="90" w:type="dxa"/>
              <w:bottom w:w="80" w:type="dxa"/>
              <w:end w:w="90" w:type="dxa"/>
            </w:tcMar>
            <w:vAlign w:val="top"/>
          </w:tcPr>
          <w:p>
            <w:pPr>
              <w:spacing w:after="0"/>
            </w:pPr>
            <w:r>
              <w:rPr>
                <w:rFonts w:ascii="Aptos" w:hAnsi="Aptos"/>
                <w:sz w:val="18"/>
              </w:rPr>
              <w:t>RLLOT_SPECKIT_EXECUTION_PROBLEMS_AND_DECISIONS.md</w:t>
            </w:r>
          </w:p>
        </w:tc>
      </w:tr>
      <w:tr>
        <w:tc>
          <w:tcPr>
            <w:tcW w:type="dxa" w:w="2880"/>
            <w:shd w:fill="F7F9FB"/>
            <w:tcMar>
              <w:top w:w="80" w:type="dxa"/>
              <w:start w:w="90" w:type="dxa"/>
              <w:bottom w:w="80" w:type="dxa"/>
              <w:end w:w="90" w:type="dxa"/>
            </w:tcMar>
            <w:vAlign w:val="top"/>
          </w:tcPr>
          <w:p>
            <w:pPr>
              <w:spacing w:after="0"/>
            </w:pPr>
            <w:r>
              <w:rPr>
                <w:rFonts w:ascii="Aptos" w:hAnsi="Aptos"/>
                <w:sz w:val="18"/>
              </w:rPr>
              <w:t>Manager speaking guide</w:t>
            </w:r>
          </w:p>
        </w:tc>
        <w:tc>
          <w:tcPr>
            <w:tcW w:type="dxa" w:w="7200"/>
            <w:shd w:fill="F7F9FB"/>
            <w:tcMar>
              <w:top w:w="80" w:type="dxa"/>
              <w:start w:w="90" w:type="dxa"/>
              <w:bottom w:w="80" w:type="dxa"/>
              <w:end w:w="90" w:type="dxa"/>
            </w:tcMar>
            <w:vAlign w:val="top"/>
          </w:tcPr>
          <w:p>
            <w:pPr>
              <w:spacing w:after="0"/>
            </w:pPr>
            <w:r>
              <w:rPr>
                <w:rFonts w:ascii="Aptos" w:hAnsi="Aptos"/>
                <w:sz w:val="18"/>
              </w:rPr>
              <w:t>RLLOT_MANAGER_UPDATE_AND_CROSS_QUESTIONS.md</w:t>
            </w:r>
          </w:p>
        </w:tc>
      </w:tr>
      <w:tr>
        <w:tc>
          <w:tcPr>
            <w:tcW w:type="dxa" w:w="2880"/>
            <w:tcMar>
              <w:top w:w="80" w:type="dxa"/>
              <w:start w:w="90" w:type="dxa"/>
              <w:bottom w:w="80" w:type="dxa"/>
              <w:end w:w="90" w:type="dxa"/>
            </w:tcMar>
            <w:vAlign w:val="top"/>
          </w:tcPr>
          <w:p>
            <w:pPr>
              <w:spacing w:after="0"/>
            </w:pPr>
            <w:r>
              <w:rPr>
                <w:rFonts w:ascii="Aptos" w:hAnsi="Aptos"/>
                <w:sz w:val="18"/>
              </w:rPr>
              <w:t>Architecture evidence</w:t>
            </w:r>
          </w:p>
        </w:tc>
        <w:tc>
          <w:tcPr>
            <w:tcW w:type="dxa" w:w="7200"/>
            <w:tcMar>
              <w:top w:w="80" w:type="dxa"/>
              <w:start w:w="90" w:type="dxa"/>
              <w:bottom w:w="80" w:type="dxa"/>
              <w:end w:w="90" w:type="dxa"/>
            </w:tcMar>
            <w:vAlign w:val="top"/>
          </w:tcPr>
          <w:p>
            <w:pPr>
              <w:spacing w:after="0"/>
            </w:pPr>
            <w:r>
              <w:rPr>
                <w:rFonts w:ascii="Aptos" w:hAnsi="Aptos"/>
                <w:sz w:val="18"/>
              </w:rPr>
              <w:t>RLLOT_Architecture_Decision_Record.md / .docx</w:t>
            </w:r>
          </w:p>
        </w:tc>
      </w:tr>
      <w:tr>
        <w:tc>
          <w:tcPr>
            <w:tcW w:type="dxa" w:w="2880"/>
            <w:shd w:fill="F7F9FB"/>
            <w:tcMar>
              <w:top w:w="80" w:type="dxa"/>
              <w:start w:w="90" w:type="dxa"/>
              <w:bottom w:w="80" w:type="dxa"/>
              <w:end w:w="90" w:type="dxa"/>
            </w:tcMar>
            <w:vAlign w:val="top"/>
          </w:tcPr>
          <w:p>
            <w:pPr>
              <w:spacing w:after="0"/>
            </w:pPr>
            <w:r>
              <w:rPr>
                <w:rFonts w:ascii="Aptos" w:hAnsi="Aptos"/>
                <w:sz w:val="18"/>
              </w:rPr>
              <w:t>Current Spec Kit artifacts</w:t>
            </w:r>
          </w:p>
        </w:tc>
        <w:tc>
          <w:tcPr>
            <w:tcW w:type="dxa" w:w="7200"/>
            <w:shd w:fill="F7F9FB"/>
            <w:tcMar>
              <w:top w:w="80" w:type="dxa"/>
              <w:start w:w="90" w:type="dxa"/>
              <w:bottom w:w="80" w:type="dxa"/>
              <w:end w:w="90" w:type="dxa"/>
            </w:tcMar>
            <w:vAlign w:val="top"/>
          </w:tcPr>
          <w:p>
            <w:pPr>
              <w:spacing w:after="0"/>
            </w:pPr>
            <w:r>
              <w:rPr>
                <w:rFonts w:ascii="Aptos" w:hAnsi="Aptos"/>
                <w:sz w:val="18"/>
              </w:rPr>
              <w:t>Feature 001 spec.md, plan.md, research.md, data-model.md, contracts/import-api.md, checklists/requirements.md, checklists/readiness.md</w:t>
            </w:r>
          </w:p>
        </w:tc>
      </w:tr>
    </w:tbl>
    <w:p>
      <w:pPr>
        <w:spacing w:after="40"/>
      </w:pPr>
    </w:p>
    <w:p>
      <w:pPr>
        <w:pStyle w:val="Heading1"/>
      </w:pPr>
      <w:r>
        <w:t>Appendix B — One-Line SDD Summary</w:t>
      </w:r>
    </w:p>
    <w:tbl>
      <w:tblPr>
        <w:tblW w:type="auto" w:w="0"/>
        <w:jc w:val="center"/>
        <w:tblLook w:firstColumn="1" w:firstRow="1" w:lastColumn="0" w:lastRow="0" w:noHBand="0" w:noVBand="1" w:val="04A0"/>
      </w:tblPr>
      <w:tblGrid>
        <w:gridCol w:w="10224"/>
      </w:tblGrid>
      <w:tr>
        <w:tc>
          <w:tcPr>
            <w:tcW w:type="dxa" w:w="10224"/>
            <w:shd w:fill="EEF5FB"/>
            <w:tcMar>
              <w:top w:w="130" w:type="dxa"/>
              <w:start w:w="170" w:type="dxa"/>
              <w:bottom w:w="130" w:type="dxa"/>
              <w:end w:w="170" w:type="dxa"/>
            </w:tcMar>
            <w:tcBorders>
              <w:top w:val="single" w:sz="6" w:space="0" w:color="1F4E78"/>
              <w:left w:val="single" w:sz="6" w:space="0" w:color="1F4E78"/>
              <w:bottom w:val="single" w:sz="6" w:space="0" w:color="1F4E78"/>
              <w:right w:val="single" w:sz="6" w:space="0" w:color="1F4E78"/>
            </w:tcBorders>
          </w:tcPr>
          <w:p>
            <w:pPr>
              <w:spacing w:after="60"/>
            </w:pPr>
            <w:r>
              <w:rPr>
                <w:rFonts w:ascii="Aptos" w:hAnsi="Aptos"/>
                <w:b/>
                <w:color w:val="1F4E78"/>
                <w:sz w:val="21"/>
              </w:rPr>
              <w:t>SDD mindset for this pilot</w:t>
            </w:r>
          </w:p>
          <w:p>
            <w:pPr>
              <w:spacing w:after="0"/>
            </w:pPr>
            <w:r>
              <w:rPr>
                <w:rFonts w:ascii="Aptos" w:hAnsi="Aptos"/>
                <w:sz w:val="20"/>
              </w:rPr>
              <w:t>Use AI to broaden and accelerate reasoning, but make important behavior explicit in reviewable artifacts, challenge assumptions at each gate, and only let implementation proceed when the spec/plan/task chain agrees on what is being built and why.</w:t>
            </w:r>
          </w:p>
        </w:tc>
      </w:tr>
    </w:tbl>
    <w:p>
      <w:pPr>
        <w:spacing w:after="20"/>
      </w:pP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7"/>
      </w:rPr>
      <w:t>RLLOT SDD Pilot — Manager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RLLOT SDD Pilot — Manager Review</dc:title>
  <dc:subject>Spec-Driven Development / GitHub Spec Kit Pilot</dc:subject>
  <dc:creator>RLLOT SDD Pilot</dc:creator>
  <cp:keywords>SDD, Spec Kit, RLLOT, modernization, manager review</cp:keywords>
  <dc:description>generated by python-docx</dc:description>
  <cp:lastModifiedBy/>
  <cp:revision>1</cp:revision>
  <dcterms:created xsi:type="dcterms:W3CDTF">2013-12-23T23:15:00Z</dcterms:created>
  <dcterms:modified xsi:type="dcterms:W3CDTF">2013-12-23T23:15:00Z</dcterms:modified>
  <cp:category/>
</cp:coreProperties>
</file>