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60"/>
        <w:jc w:val="center"/>
      </w:pPr>
      <w:r>
        <w:rPr>
          <w:b/>
          <w:color w:val="2F5496"/>
          <w:sz w:val="32"/>
        </w:rPr>
        <w:t>ADR-001</w:t>
      </w:r>
    </w:p>
    <w:p>
      <w:pPr>
        <w:jc w:val="center"/>
      </w:pPr>
      <w:r>
        <w:rPr>
          <w:b/>
          <w:color w:val="1F4E79"/>
          <w:sz w:val="48"/>
        </w:rPr>
        <w:t>RLLOT Production Rollout Dashboard</w:t>
        <w:br/>
        <w:t>Modernization Architecture</w:t>
      </w:r>
    </w:p>
    <w:p>
      <w:pPr>
        <w:jc w:val="center"/>
      </w:pPr>
      <w:r>
        <w:rPr>
          <w:b/>
          <w:sz w:val="24"/>
        </w:rPr>
        <w:t>Architecture Decision Record</w:t>
      </w:r>
    </w:p>
    <w:p>
      <w:pPr>
        <w:jc w:val="center"/>
      </w:pPr>
      <w:r>
        <w:rPr>
          <w:color w:val="646464"/>
          <w:sz w:val="18"/>
        </w:rPr>
        <w:t>Status: Proposed baseline - pending feasibility confirmation | 12 August 2026</w:t>
      </w:r>
    </w:p>
    <w:tbl>
      <w:tblPr>
        <w:tblStyle w:val="TableGrid"/>
        <w:tblW w:type="auto" w:w="0"/>
        <w:tblLook w:firstColumn="1" w:firstRow="1" w:lastColumn="0" w:lastRow="0" w:noHBand="0" w:noVBand="1" w:val="04A0"/>
      </w:tblPr>
      <w:tblGrid>
        <w:gridCol w:w="10166"/>
      </w:tblGrid>
      <w:tr>
        <w:tc>
          <w:tcPr>
            <w:tcW w:type="dxa" w:w="10166"/>
            <w:shd w:fill="E2F0D9"/>
            <w:tcMar>
              <w:top w:w="120" w:type="dxa"/>
              <w:start w:w="140" w:type="dxa"/>
              <w:bottom w:w="120" w:type="dxa"/>
              <w:end w:w="140" w:type="dxa"/>
            </w:tcMar>
          </w:tcPr>
          <w:p>
            <w:r>
              <w:rPr>
                <w:b/>
                <w:color w:val="1F4E79"/>
                <w:sz w:val="22"/>
              </w:rPr>
              <w:t>Primary decision</w:t>
              <w:br/>
            </w:r>
            <w:r>
              <w:rPr>
                <w:sz w:val="20"/>
              </w:rPr>
              <w:t>Rebuild RLLOT as a greenfield dynamic application. Preserve the current dashboard's approved business behavior, but retire the generated monolithic HTML / embedded full-data architecture. Use existing IIS where feasible, ASP.NET Core + React, a database-agnostic relational persistence boundary with SQLite for V1, and a separate Excel ingestion component.</w:t>
            </w:r>
          </w:p>
        </w:tc>
      </w:tr>
    </w:tbl>
    <w:p/>
    <w:p>
      <w:r>
        <w:br w:type="page"/>
      </w:r>
    </w:p>
    <w:p>
      <w:pPr>
        <w:pStyle w:val="Heading1"/>
      </w:pPr>
      <w:r>
        <w:t>1. Context</w:t>
      </w:r>
    </w:p>
    <w:p>
      <w:r>
        <w:t>The current RLLOT solution consolidates multiple DR-maintained Excel workbooks, processes them through Python scripts, writes a consolidated JSON artifact, and generates a self-contained static HTML dashboard hosted through internal IIS.</w:t>
      </w:r>
    </w:p>
    <w:p>
      <w:r>
        <w:t>The dashboard provides important business behavior: six initiative views, three-phase progress, customer approval, Pre/Post GenAI metrics, overdue detection, cross-DR consolidation, summary KPIs, search/filtering, and row-level detail.</w:t>
      </w:r>
    </w:p>
    <w:p>
      <w:r>
        <w:t>The modernization objective is to preserve approved business behavior while replacing the current technical model with a clean, queryable, maintainable server-side application.</w:t>
      </w:r>
    </w:p>
    <w:p>
      <w:pPr>
        <w:pStyle w:val="ListBullet"/>
        <w:spacing w:after="40"/>
      </w:pPr>
      <w:r>
        <w:t>The entire dataset is embedded in the generated HTML.</w:t>
      </w:r>
    </w:p>
    <w:p>
      <w:pPr>
        <w:pStyle w:val="ListBullet"/>
        <w:spacing w:after="40"/>
      </w:pPr>
      <w:r>
        <w:t>Client-side filtering cannot act as an authorization boundary.</w:t>
      </w:r>
    </w:p>
    <w:p>
      <w:pPr>
        <w:pStyle w:val="ListBullet"/>
        <w:spacing w:after="40"/>
      </w:pPr>
      <w:r>
        <w:t>Refresh requires rerunning the generation/deployment pipeline.</w:t>
      </w:r>
    </w:p>
    <w:p>
      <w:pPr>
        <w:pStyle w:val="ListBullet"/>
        <w:spacing w:after="40"/>
      </w:pPr>
      <w:r>
        <w:t>Page size grows as history/details are added.</w:t>
      </w:r>
    </w:p>
    <w:p>
      <w:pPr>
        <w:pStyle w:val="ListBullet"/>
        <w:spacing w:after="40"/>
      </w:pPr>
      <w:r>
        <w:t>The extractor contains fragile schema assumptions such as fixed column positions.</w:t>
      </w:r>
    </w:p>
    <w:p>
      <w:pPr>
        <w:pStyle w:val="ListBullet"/>
        <w:spacing w:after="40"/>
      </w:pPr>
      <w:r>
        <w:t>There is no normalized application persistence layer.</w:t>
      </w:r>
    </w:p>
    <w:p>
      <w:pPr>
        <w:pStyle w:val="ListBullet"/>
        <w:spacing w:after="40"/>
      </w:pPr>
      <w:r>
        <w:t>Automated source-to-dashboard correctness validation is limited.</w:t>
      </w:r>
    </w:p>
    <w:p>
      <w:pPr>
        <w:pStyle w:val="Heading1"/>
      </w:pPr>
      <w:r>
        <w:t>2. Decision Drivers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1152"/>
            <w:shd w:fill="D9EAF7"/>
            <w:tcMar>
              <w:top w:w="80" w:type="dxa"/>
              <w:start w:w="90" w:type="dxa"/>
              <w:bottom w:w="80" w:type="dxa"/>
              <w:end w:w="90" w:type="dxa"/>
            </w:tcMar>
          </w:tcPr>
          <w:p>
            <w:pPr>
              <w:jc w:val="center"/>
            </w:pPr>
            <w:r>
              <w:rPr>
                <w:b/>
                <w:color w:val="1F4E79"/>
                <w:sz w:val="18"/>
              </w:rPr>
              <w:t>Priority</w:t>
            </w:r>
          </w:p>
        </w:tc>
        <w:tc>
          <w:tcPr>
            <w:tcW w:type="dxa" w:w="8928"/>
            <w:shd w:fill="D9EAF7"/>
            <w:tcMar>
              <w:top w:w="80" w:type="dxa"/>
              <w:start w:w="90" w:type="dxa"/>
              <w:bottom w:w="80" w:type="dxa"/>
              <w:end w:w="90" w:type="dxa"/>
            </w:tcMar>
          </w:tcPr>
          <w:p>
            <w:pPr>
              <w:jc w:val="center"/>
            </w:pPr>
            <w:r>
              <w:rPr>
                <w:b/>
                <w:color w:val="1F4E79"/>
                <w:sz w:val="18"/>
              </w:rPr>
              <w:t>Driver</w:t>
            </w:r>
          </w:p>
        </w:tc>
      </w:tr>
      <w:tr>
        <w:tc>
          <w:tcPr>
            <w:tcW w:type="dxa" w:w="1152"/>
            <w:tcMar>
              <w:top w:w="80" w:type="dxa"/>
              <w:start w:w="90" w:type="dxa"/>
              <w:bottom w:w="80" w:type="dxa"/>
              <w:end w:w="90" w:type="dxa"/>
            </w:tcMar>
            <w:vAlign w:val="top"/>
          </w:tcPr>
          <w:p>
            <w:r>
              <w:rPr>
                <w:sz w:val="18"/>
              </w:rPr>
              <w:t>P0</w:t>
            </w:r>
          </w:p>
        </w:tc>
        <w:tc>
          <w:tcPr>
            <w:tcW w:type="dxa" w:w="8928"/>
            <w:tcMar>
              <w:top w:w="80" w:type="dxa"/>
              <w:start w:w="90" w:type="dxa"/>
              <w:bottom w:w="80" w:type="dxa"/>
              <w:end w:w="90" w:type="dxa"/>
            </w:tcMar>
            <w:vAlign w:val="top"/>
          </w:tcPr>
          <w:p>
            <w:r>
              <w:rPr>
                <w:sz w:val="18"/>
              </w:rPr>
              <w:t>Zero incremental cost for the first implementation.</w:t>
            </w:r>
          </w:p>
        </w:tc>
      </w:tr>
      <w:tr>
        <w:tc>
          <w:tcPr>
            <w:tcW w:type="dxa" w:w="1152"/>
            <w:tcMar>
              <w:top w:w="80" w:type="dxa"/>
              <w:start w:w="90" w:type="dxa"/>
              <w:bottom w:w="80" w:type="dxa"/>
              <w:end w:w="90" w:type="dxa"/>
            </w:tcMar>
            <w:vAlign w:val="top"/>
          </w:tcPr>
          <w:p>
            <w:r>
              <w:rPr>
                <w:sz w:val="18"/>
              </w:rPr>
              <w:t>P0</w:t>
            </w:r>
          </w:p>
        </w:tc>
        <w:tc>
          <w:tcPr>
            <w:tcW w:type="dxa" w:w="8928"/>
            <w:tcMar>
              <w:top w:w="80" w:type="dxa"/>
              <w:start w:w="90" w:type="dxa"/>
              <w:bottom w:w="80" w:type="dxa"/>
              <w:end w:w="90" w:type="dxa"/>
            </w:tcMar>
            <w:vAlign w:val="top"/>
          </w:tcPr>
          <w:p>
            <w:r>
              <w:rPr>
                <w:sz w:val="18"/>
              </w:rPr>
              <w:t>Reuse approved existing internal IIS/Windows infrastructure where feasible.</w:t>
            </w:r>
          </w:p>
        </w:tc>
      </w:tr>
      <w:tr>
        <w:tc>
          <w:tcPr>
            <w:tcW w:type="dxa" w:w="1152"/>
            <w:tcMar>
              <w:top w:w="80" w:type="dxa"/>
              <w:start w:w="90" w:type="dxa"/>
              <w:bottom w:w="80" w:type="dxa"/>
              <w:end w:w="90" w:type="dxa"/>
            </w:tcMar>
            <w:vAlign w:val="top"/>
          </w:tcPr>
          <w:p>
            <w:r>
              <w:rPr>
                <w:sz w:val="18"/>
              </w:rPr>
              <w:t>P0</w:t>
            </w:r>
          </w:p>
        </w:tc>
        <w:tc>
          <w:tcPr>
            <w:tcW w:type="dxa" w:w="8928"/>
            <w:tcMar>
              <w:top w:w="80" w:type="dxa"/>
              <w:start w:w="90" w:type="dxa"/>
              <w:bottom w:w="80" w:type="dxa"/>
              <w:end w:w="90" w:type="dxa"/>
            </w:tcMar>
            <w:vAlign w:val="top"/>
          </w:tcPr>
          <w:p>
            <w:r>
              <w:rPr>
                <w:sz w:val="18"/>
              </w:rPr>
              <w:t>Preserve approved calculations and functional behavior.</w:t>
            </w:r>
          </w:p>
        </w:tc>
      </w:tr>
      <w:tr>
        <w:tc>
          <w:tcPr>
            <w:tcW w:type="dxa" w:w="1152"/>
            <w:tcMar>
              <w:top w:w="80" w:type="dxa"/>
              <w:start w:w="90" w:type="dxa"/>
              <w:bottom w:w="80" w:type="dxa"/>
              <w:end w:w="90" w:type="dxa"/>
            </w:tcMar>
            <w:vAlign w:val="top"/>
          </w:tcPr>
          <w:p>
            <w:r>
              <w:rPr>
                <w:sz w:val="18"/>
              </w:rPr>
              <w:t>P0</w:t>
            </w:r>
          </w:p>
        </w:tc>
        <w:tc>
          <w:tcPr>
            <w:tcW w:type="dxa" w:w="8928"/>
            <w:tcMar>
              <w:top w:w="80" w:type="dxa"/>
              <w:start w:w="90" w:type="dxa"/>
              <w:bottom w:w="80" w:type="dxa"/>
              <w:end w:w="90" w:type="dxa"/>
            </w:tcMar>
            <w:vAlign w:val="top"/>
          </w:tcPr>
          <w:p>
            <w:r>
              <w:rPr>
                <w:sz w:val="18"/>
              </w:rPr>
              <w:t>Retrieve data dynamically instead of embedding the entire dataset in the browser.</w:t>
            </w:r>
          </w:p>
        </w:tc>
      </w:tr>
      <w:tr>
        <w:tc>
          <w:tcPr>
            <w:tcW w:type="dxa" w:w="1152"/>
            <w:tcMar>
              <w:top w:w="80" w:type="dxa"/>
              <w:start w:w="90" w:type="dxa"/>
              <w:bottom w:w="80" w:type="dxa"/>
              <w:end w:w="90" w:type="dxa"/>
            </w:tcMar>
            <w:vAlign w:val="top"/>
          </w:tcPr>
          <w:p>
            <w:r>
              <w:rPr>
                <w:sz w:val="18"/>
              </w:rPr>
              <w:t>P0</w:t>
            </w:r>
          </w:p>
        </w:tc>
        <w:tc>
          <w:tcPr>
            <w:tcW w:type="dxa" w:w="8928"/>
            <w:tcMar>
              <w:top w:w="80" w:type="dxa"/>
              <w:start w:w="90" w:type="dxa"/>
              <w:bottom w:w="80" w:type="dxa"/>
              <w:end w:w="90" w:type="dxa"/>
            </w:tcMar>
            <w:vAlign w:val="top"/>
          </w:tcPr>
          <w:p>
            <w:r>
              <w:rPr>
                <w:sz w:val="18"/>
              </w:rPr>
              <w:t>Support server-side security and future data-scope rules.</w:t>
            </w:r>
          </w:p>
        </w:tc>
      </w:tr>
      <w:tr>
        <w:tc>
          <w:tcPr>
            <w:tcW w:type="dxa" w:w="1152"/>
            <w:tcMar>
              <w:top w:w="80" w:type="dxa"/>
              <w:start w:w="90" w:type="dxa"/>
              <w:bottom w:w="80" w:type="dxa"/>
              <w:end w:w="90" w:type="dxa"/>
            </w:tcMar>
            <w:vAlign w:val="top"/>
          </w:tcPr>
          <w:p>
            <w:r>
              <w:rPr>
                <w:sz w:val="18"/>
              </w:rPr>
              <w:t>P1</w:t>
            </w:r>
          </w:p>
        </w:tc>
        <w:tc>
          <w:tcPr>
            <w:tcW w:type="dxa" w:w="8928"/>
            <w:tcMar>
              <w:top w:w="80" w:type="dxa"/>
              <w:start w:w="90" w:type="dxa"/>
              <w:bottom w:w="80" w:type="dxa"/>
              <w:end w:w="90" w:type="dxa"/>
            </w:tcMar>
            <w:vAlign w:val="top"/>
          </w:tcPr>
          <w:p>
            <w:r>
              <w:rPr>
                <w:sz w:val="18"/>
              </w:rPr>
              <w:t>Keep operations and deployment simple.</w:t>
            </w:r>
          </w:p>
        </w:tc>
      </w:tr>
      <w:tr>
        <w:tc>
          <w:tcPr>
            <w:tcW w:type="dxa" w:w="1152"/>
            <w:tcMar>
              <w:top w:w="80" w:type="dxa"/>
              <w:start w:w="90" w:type="dxa"/>
              <w:bottom w:w="80" w:type="dxa"/>
              <w:end w:w="90" w:type="dxa"/>
            </w:tcMar>
            <w:vAlign w:val="top"/>
          </w:tcPr>
          <w:p>
            <w:r>
              <w:rPr>
                <w:sz w:val="18"/>
              </w:rPr>
              <w:t>P1</w:t>
            </w:r>
          </w:p>
        </w:tc>
        <w:tc>
          <w:tcPr>
            <w:tcW w:type="dxa" w:w="8928"/>
            <w:tcMar>
              <w:top w:w="80" w:type="dxa"/>
              <w:start w:w="90" w:type="dxa"/>
              <w:bottom w:w="80" w:type="dxa"/>
              <w:end w:w="90" w:type="dxa"/>
            </w:tcMar>
            <w:vAlign w:val="top"/>
          </w:tcPr>
          <w:p>
            <w:r>
              <w:rPr>
                <w:sz w:val="18"/>
              </w:rPr>
              <w:t>Keep database choice portable for future SQL Server/PostgreSQL adoption.</w:t>
            </w:r>
          </w:p>
        </w:tc>
      </w:tr>
      <w:tr>
        <w:tc>
          <w:tcPr>
            <w:tcW w:type="dxa" w:w="1152"/>
            <w:tcMar>
              <w:top w:w="80" w:type="dxa"/>
              <w:start w:w="90" w:type="dxa"/>
              <w:bottom w:w="80" w:type="dxa"/>
              <w:end w:w="90" w:type="dxa"/>
            </w:tcMar>
            <w:vAlign w:val="top"/>
          </w:tcPr>
          <w:p>
            <w:r>
              <w:rPr>
                <w:sz w:val="18"/>
              </w:rPr>
              <w:t>P1</w:t>
            </w:r>
          </w:p>
        </w:tc>
        <w:tc>
          <w:tcPr>
            <w:tcW w:type="dxa" w:w="8928"/>
            <w:tcMar>
              <w:top w:w="80" w:type="dxa"/>
              <w:start w:w="90" w:type="dxa"/>
              <w:bottom w:w="80" w:type="dxa"/>
              <w:end w:w="90" w:type="dxa"/>
            </w:tcMar>
            <w:vAlign w:val="top"/>
          </w:tcPr>
          <w:p>
            <w:r>
              <w:rPr>
                <w:sz w:val="18"/>
              </w:rPr>
              <w:t>Allow parallel migration and low-risk cutover.</w:t>
            </w:r>
          </w:p>
        </w:tc>
      </w:tr>
      <w:tr>
        <w:tc>
          <w:tcPr>
            <w:tcW w:type="dxa" w:w="1152"/>
            <w:tcMar>
              <w:top w:w="80" w:type="dxa"/>
              <w:start w:w="90" w:type="dxa"/>
              <w:bottom w:w="80" w:type="dxa"/>
              <w:end w:w="90" w:type="dxa"/>
            </w:tcMar>
            <w:vAlign w:val="top"/>
          </w:tcPr>
          <w:p>
            <w:r>
              <w:rPr>
                <w:sz w:val="18"/>
              </w:rPr>
              <w:t>P1</w:t>
            </w:r>
          </w:p>
        </w:tc>
        <w:tc>
          <w:tcPr>
            <w:tcW w:type="dxa" w:w="8928"/>
            <w:tcMar>
              <w:top w:w="80" w:type="dxa"/>
              <w:start w:w="90" w:type="dxa"/>
              <w:bottom w:w="80" w:type="dxa"/>
              <w:end w:w="90" w:type="dxa"/>
            </w:tcMar>
            <w:vAlign w:val="top"/>
          </w:tcPr>
          <w:p>
            <w:r>
              <w:rPr>
                <w:sz w:val="18"/>
              </w:rPr>
              <w:t>Align implementation with SDD / GitHub Spec Kit.</w:t>
            </w:r>
          </w:p>
        </w:tc>
      </w:tr>
    </w:tbl>
    <w:p/>
    <w:p>
      <w:pPr>
        <w:pStyle w:val="Heading1"/>
      </w:pPr>
      <w:r>
        <w:t>3. Architecture Decision</w:t>
      </w:r>
    </w:p>
    <w:p>
      <w:pPr>
        <w:pStyle w:val="Heading2"/>
      </w:pPr>
      <w:r>
        <w:t>3.1 Greenfield modernization</w:t>
      </w:r>
    </w:p>
    <w:p>
      <w:r>
        <w:t>The current application is a functional/business-rule reference, not the technical foundation of the replacement.</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40"/>
            <w:shd w:fill="D9EAF7"/>
            <w:tcMar>
              <w:top w:w="80" w:type="dxa"/>
              <w:start w:w="90" w:type="dxa"/>
              <w:bottom w:w="80" w:type="dxa"/>
              <w:end w:w="90" w:type="dxa"/>
            </w:tcMar>
          </w:tcPr>
          <w:p>
            <w:pPr>
              <w:jc w:val="center"/>
            </w:pPr>
            <w:r>
              <w:rPr>
                <w:b/>
                <w:color w:val="1F4E79"/>
                <w:sz w:val="18"/>
              </w:rPr>
              <w:t>Reuse / Preserve</w:t>
            </w:r>
          </w:p>
        </w:tc>
        <w:tc>
          <w:tcPr>
            <w:tcW w:type="dxa" w:w="5040"/>
            <w:shd w:fill="D9EAF7"/>
            <w:tcMar>
              <w:top w:w="80" w:type="dxa"/>
              <w:start w:w="90" w:type="dxa"/>
              <w:bottom w:w="80" w:type="dxa"/>
              <w:end w:w="90" w:type="dxa"/>
            </w:tcMar>
          </w:tcPr>
          <w:p>
            <w:pPr>
              <w:jc w:val="center"/>
            </w:pPr>
            <w:r>
              <w:rPr>
                <w:b/>
                <w:color w:val="1F4E79"/>
                <w:sz w:val="18"/>
              </w:rPr>
              <w:t>Retire / Redesign</w:t>
            </w:r>
          </w:p>
        </w:tc>
      </w:tr>
      <w:tr>
        <w:tc>
          <w:tcPr>
            <w:tcW w:type="dxa" w:w="5040"/>
            <w:tcMar>
              <w:top w:w="80" w:type="dxa"/>
              <w:start w:w="90" w:type="dxa"/>
              <w:bottom w:w="80" w:type="dxa"/>
              <w:end w:w="90" w:type="dxa"/>
            </w:tcMar>
            <w:vAlign w:val="top"/>
          </w:tcPr>
          <w:p>
            <w:r>
              <w:rPr>
                <w:sz w:val="18"/>
              </w:rPr>
              <w:t>Excel mappings and source conventions</w:t>
            </w:r>
          </w:p>
        </w:tc>
        <w:tc>
          <w:tcPr>
            <w:tcW w:type="dxa" w:w="5040"/>
            <w:tcMar>
              <w:top w:w="80" w:type="dxa"/>
              <w:start w:w="90" w:type="dxa"/>
              <w:bottom w:w="80" w:type="dxa"/>
              <w:end w:w="90" w:type="dxa"/>
            </w:tcMar>
            <w:vAlign w:val="top"/>
          </w:tcPr>
          <w:p>
            <w:r>
              <w:rPr>
                <w:sz w:val="18"/>
              </w:rPr>
              <w:t>Generated monolithic dashboard HTML</w:t>
            </w:r>
          </w:p>
        </w:tc>
      </w:tr>
      <w:tr>
        <w:tc>
          <w:tcPr>
            <w:tcW w:type="dxa" w:w="5040"/>
            <w:tcMar>
              <w:top w:w="80" w:type="dxa"/>
              <w:start w:w="90" w:type="dxa"/>
              <w:bottom w:w="80" w:type="dxa"/>
              <w:end w:w="90" w:type="dxa"/>
            </w:tcMar>
            <w:vAlign w:val="top"/>
          </w:tcPr>
          <w:p>
            <w:r>
              <w:rPr>
                <w:sz w:val="18"/>
              </w:rPr>
              <w:t>Status/customer-approval normalization</w:t>
            </w:r>
          </w:p>
        </w:tc>
        <w:tc>
          <w:tcPr>
            <w:tcW w:type="dxa" w:w="5040"/>
            <w:tcMar>
              <w:top w:w="80" w:type="dxa"/>
              <w:start w:w="90" w:type="dxa"/>
              <w:bottom w:w="80" w:type="dxa"/>
              <w:end w:w="90" w:type="dxa"/>
            </w:tcMar>
            <w:vAlign w:val="top"/>
          </w:tcPr>
          <w:p>
            <w:r>
              <w:rPr>
                <w:sz w:val="18"/>
              </w:rPr>
              <w:t>Complete dataset embedded in DOM/JavaScript</w:t>
            </w:r>
          </w:p>
        </w:tc>
      </w:tr>
      <w:tr>
        <w:tc>
          <w:tcPr>
            <w:tcW w:type="dxa" w:w="5040"/>
            <w:tcMar>
              <w:top w:w="80" w:type="dxa"/>
              <w:start w:w="90" w:type="dxa"/>
              <w:bottom w:w="80" w:type="dxa"/>
              <w:end w:w="90" w:type="dxa"/>
            </w:tcMar>
            <w:vAlign w:val="top"/>
          </w:tcPr>
          <w:p>
            <w:r>
              <w:rPr>
                <w:sz w:val="18"/>
              </w:rPr>
              <w:t>Phase/overall progress rules</w:t>
            </w:r>
          </w:p>
        </w:tc>
        <w:tc>
          <w:tcPr>
            <w:tcW w:type="dxa" w:w="5040"/>
            <w:tcMar>
              <w:top w:w="80" w:type="dxa"/>
              <w:start w:w="90" w:type="dxa"/>
              <w:bottom w:w="80" w:type="dxa"/>
              <w:end w:w="90" w:type="dxa"/>
            </w:tcMar>
            <w:vAlign w:val="top"/>
          </w:tcPr>
          <w:p>
            <w:r>
              <w:rPr>
                <w:sz w:val="18"/>
              </w:rPr>
              <w:t>JSON as production application persistence</w:t>
            </w:r>
          </w:p>
        </w:tc>
      </w:tr>
      <w:tr>
        <w:tc>
          <w:tcPr>
            <w:tcW w:type="dxa" w:w="5040"/>
            <w:tcMar>
              <w:top w:w="80" w:type="dxa"/>
              <w:start w:w="90" w:type="dxa"/>
              <w:bottom w:w="80" w:type="dxa"/>
              <w:end w:w="90" w:type="dxa"/>
            </w:tcMar>
            <w:vAlign w:val="top"/>
          </w:tcPr>
          <w:p>
            <w:r>
              <w:rPr>
                <w:sz w:val="18"/>
              </w:rPr>
              <w:t>Metric/overdue rules</w:t>
            </w:r>
          </w:p>
        </w:tc>
        <w:tc>
          <w:tcPr>
            <w:tcW w:type="dxa" w:w="5040"/>
            <w:tcMar>
              <w:top w:w="80" w:type="dxa"/>
              <w:start w:w="90" w:type="dxa"/>
              <w:bottom w:w="80" w:type="dxa"/>
              <w:end w:w="90" w:type="dxa"/>
            </w:tcMar>
            <w:vAlign w:val="top"/>
          </w:tcPr>
          <w:p>
            <w:r>
              <w:rPr>
                <w:sz w:val="18"/>
              </w:rPr>
              <w:t>Client-side filtering as a security model</w:t>
            </w:r>
          </w:p>
        </w:tc>
      </w:tr>
      <w:tr>
        <w:tc>
          <w:tcPr>
            <w:tcW w:type="dxa" w:w="5040"/>
            <w:tcMar>
              <w:top w:w="80" w:type="dxa"/>
              <w:start w:w="90" w:type="dxa"/>
              <w:bottom w:w="80" w:type="dxa"/>
              <w:end w:w="90" w:type="dxa"/>
            </w:tcMar>
            <w:vAlign w:val="top"/>
          </w:tcPr>
          <w:p>
            <w:r>
              <w:rPr>
                <w:sz w:val="18"/>
              </w:rPr>
              <w:t>Useful current UX behavior</w:t>
            </w:r>
          </w:p>
        </w:tc>
        <w:tc>
          <w:tcPr>
            <w:tcW w:type="dxa" w:w="5040"/>
            <w:tcMar>
              <w:top w:w="80" w:type="dxa"/>
              <w:start w:w="90" w:type="dxa"/>
              <w:bottom w:w="80" w:type="dxa"/>
              <w:end w:w="90" w:type="dxa"/>
            </w:tcMar>
            <w:vAlign w:val="top"/>
          </w:tcPr>
          <w:p>
            <w:r>
              <w:rPr>
                <w:sz w:val="18"/>
              </w:rPr>
              <w:t>Full HTML regeneration as the refresh model</w:t>
            </w:r>
          </w:p>
        </w:tc>
      </w:tr>
      <w:tr>
        <w:tc>
          <w:tcPr>
            <w:tcW w:type="dxa" w:w="5040"/>
            <w:tcMar>
              <w:top w:w="80" w:type="dxa"/>
              <w:start w:w="90" w:type="dxa"/>
              <w:bottom w:w="80" w:type="dxa"/>
              <w:end w:w="90" w:type="dxa"/>
            </w:tcMar>
            <w:vAlign w:val="top"/>
          </w:tcPr>
          <w:p>
            <w:r>
              <w:rPr>
                <w:sz w:val="18"/>
              </w:rPr>
              <w:t>Representative inputs and expected results</w:t>
            </w:r>
          </w:p>
        </w:tc>
        <w:tc>
          <w:tcPr>
            <w:tcW w:type="dxa" w:w="5040"/>
            <w:tcMar>
              <w:top w:w="80" w:type="dxa"/>
              <w:start w:w="90" w:type="dxa"/>
              <w:bottom w:w="80" w:type="dxa"/>
              <w:end w:w="90" w:type="dxa"/>
            </w:tcMar>
            <w:vAlign w:val="top"/>
          </w:tcPr>
          <w:p>
            <w:r>
              <w:rPr>
                <w:sz w:val="18"/>
              </w:rPr>
              <w:t>Presentation logic tied to the old Python build script</w:t>
            </w:r>
          </w:p>
        </w:tc>
      </w:tr>
    </w:tbl>
    <w:p/>
    <w:p>
      <w:pPr>
        <w:pStyle w:val="Heading2"/>
      </w:pPr>
      <w:r>
        <w:t>3.2 Target architecture</w:t>
      </w:r>
    </w:p>
    <w:p>
      <w:pPr>
        <w:pStyle w:val="CodeFlow"/>
      </w:pPr>
      <w:r>
        <w:t>Controlled Excel input (V1)</w:t>
      </w:r>
    </w:p>
    <w:p>
      <w:pPr>
        <w:pStyle w:val="CodeFlow"/>
      </w:pPr>
      <w:r>
        <w:t xml:space="preserve">        |</w:t>
      </w:r>
    </w:p>
    <w:p>
      <w:pPr>
        <w:pStyle w:val="CodeFlow"/>
      </w:pPr>
      <w:r>
        <w:t xml:space="preserve">        v</w:t>
      </w:r>
    </w:p>
    <w:p>
      <w:pPr>
        <w:pStyle w:val="CodeFlow"/>
      </w:pPr>
      <w:r>
        <w:t>RLLOT Ingestion Component</w:t>
      </w:r>
    </w:p>
    <w:p>
      <w:pPr>
        <w:pStyle w:val="CodeFlow"/>
      </w:pPr>
      <w:r>
        <w:t xml:space="preserve">  - validate workbook/schema</w:t>
      </w:r>
    </w:p>
    <w:p>
      <w:pPr>
        <w:pStyle w:val="CodeFlow"/>
      </w:pPr>
      <w:r>
        <w:t xml:space="preserve">  - normalize fields</w:t>
      </w:r>
    </w:p>
    <w:p>
      <w:pPr>
        <w:pStyle w:val="CodeFlow"/>
      </w:pPr>
      <w:r>
        <w:t xml:space="preserve">  - persist import atomically</w:t>
      </w:r>
    </w:p>
    <w:p>
      <w:pPr>
        <w:pStyle w:val="CodeFlow"/>
      </w:pPr>
      <w:r>
        <w:t xml:space="preserve">        |</w:t>
      </w:r>
    </w:p>
    <w:p>
      <w:pPr>
        <w:pStyle w:val="CodeFlow"/>
      </w:pPr>
      <w:r>
        <w:t xml:space="preserve">        v</w:t>
      </w:r>
    </w:p>
    <w:p>
      <w:pPr>
        <w:pStyle w:val="CodeFlow"/>
      </w:pPr>
      <w:r>
        <w:t>Relational Persistence Boundary</w:t>
      </w:r>
    </w:p>
    <w:p>
      <w:pPr>
        <w:pStyle w:val="CodeFlow"/>
      </w:pPr>
      <w:r>
        <w:t xml:space="preserve">  SQLite (V1) | SQL Server (future/existing) | PostgreSQL (future)</w:t>
      </w:r>
    </w:p>
    <w:p>
      <w:pPr>
        <w:pStyle w:val="CodeFlow"/>
      </w:pPr>
      <w:r>
        <w:t xml:space="preserve">        |</w:t>
      </w:r>
    </w:p>
    <w:p>
      <w:pPr>
        <w:pStyle w:val="CodeFlow"/>
      </w:pPr>
      <w:r>
        <w:t xml:space="preserve">        v</w:t>
      </w:r>
    </w:p>
    <w:p>
      <w:pPr>
        <w:pStyle w:val="CodeFlow"/>
      </w:pPr>
      <w:r>
        <w:t>ASP.NET Core Application / API</w:t>
      </w:r>
    </w:p>
    <w:p>
      <w:pPr>
        <w:pStyle w:val="CodeFlow"/>
      </w:pPr>
      <w:r>
        <w:t xml:space="preserve">  - filtered/paged queries</w:t>
      </w:r>
    </w:p>
    <w:p>
      <w:pPr>
        <w:pStyle w:val="CodeFlow"/>
      </w:pPr>
      <w:r>
        <w:t xml:space="preserve">  - summary aggregation</w:t>
      </w:r>
    </w:p>
    <w:p>
      <w:pPr>
        <w:pStyle w:val="CodeFlow"/>
      </w:pPr>
      <w:r>
        <w:t xml:space="preserve">  - details on demand</w:t>
      </w:r>
    </w:p>
    <w:p>
      <w:pPr>
        <w:pStyle w:val="CodeFlow"/>
      </w:pPr>
      <w:r>
        <w:t xml:space="preserve">  - server-side authorization</w:t>
      </w:r>
    </w:p>
    <w:p>
      <w:pPr>
        <w:pStyle w:val="CodeFlow"/>
      </w:pPr>
      <w:r>
        <w:t xml:space="preserve">        |</w:t>
      </w:r>
    </w:p>
    <w:p>
      <w:pPr>
        <w:pStyle w:val="CodeFlow"/>
      </w:pPr>
      <w:r>
        <w:t xml:space="preserve">        v</w:t>
      </w:r>
    </w:p>
    <w:p>
      <w:pPr>
        <w:pStyle w:val="CodeFlow"/>
      </w:pPr>
      <w:r>
        <w:t>React Dashboard</w:t>
      </w:r>
    </w:p>
    <w:p>
      <w:pPr>
        <w:pStyle w:val="CodeFlow"/>
      </w:pPr>
      <w:r>
        <w:t xml:space="preserve">        |</w:t>
      </w:r>
    </w:p>
    <w:p>
      <w:pPr>
        <w:pStyle w:val="CodeFlow"/>
      </w:pPr>
      <w:r>
        <w:t xml:space="preserve">        v</w:t>
      </w:r>
    </w:p>
    <w:p>
      <w:pPr>
        <w:pStyle w:val="CodeFlow"/>
      </w:pPr>
      <w:r>
        <w:t>Existing Internal IIS / Windows Server</w:t>
      </w:r>
    </w:p>
    <w:p>
      <w:pPr>
        <w:pStyle w:val="Heading2"/>
      </w:pPr>
      <w:r>
        <w:t>3.3 Hosting</w:t>
      </w:r>
    </w:p>
    <w:p>
      <w:r>
        <w:t>The preferred V1 host is the existing internal IIS/Windows server, subject to validation that a supported ASP.NET Core runtime and required IIS hosting components are approved and available. Classic ASP.NET availability does not by itself prove ASP.NET Core hosting capability.</w:t>
      </w:r>
    </w:p>
    <w:p>
      <w:pPr>
        <w:pStyle w:val="Heading2"/>
      </w:pPr>
      <w:r>
        <w:t>3.4 Persistence</w:t>
      </w:r>
    </w:p>
    <w:p>
      <w:r>
        <w:t>The system will use a database-agnostic relational persistence design. SQLite is selected as the V1 implementation baseline, subject to infrastructure/security acceptance. It is an implementation choice, not an architectural dependency.</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448"/>
            <w:shd w:fill="D9EAF7"/>
            <w:tcMar>
              <w:top w:w="80" w:type="dxa"/>
              <w:start w:w="90" w:type="dxa"/>
              <w:bottom w:w="80" w:type="dxa"/>
              <w:end w:w="90" w:type="dxa"/>
            </w:tcMar>
          </w:tcPr>
          <w:p>
            <w:pPr>
              <w:jc w:val="center"/>
            </w:pPr>
            <w:r>
              <w:rPr>
                <w:b/>
                <w:color w:val="1F4E79"/>
                <w:sz w:val="18"/>
              </w:rPr>
              <w:t>Database</w:t>
            </w:r>
          </w:p>
        </w:tc>
        <w:tc>
          <w:tcPr>
            <w:tcW w:type="dxa" w:w="7632"/>
            <w:shd w:fill="D9EAF7"/>
            <w:tcMar>
              <w:top w:w="80" w:type="dxa"/>
              <w:start w:w="90" w:type="dxa"/>
              <w:bottom w:w="80" w:type="dxa"/>
              <w:end w:w="90" w:type="dxa"/>
            </w:tcMar>
          </w:tcPr>
          <w:p>
            <w:pPr>
              <w:jc w:val="center"/>
            </w:pPr>
            <w:r>
              <w:rPr>
                <w:b/>
                <w:color w:val="1F4E79"/>
                <w:sz w:val="18"/>
              </w:rPr>
              <w:t>Position</w:t>
            </w:r>
          </w:p>
        </w:tc>
      </w:tr>
      <w:tr>
        <w:tc>
          <w:tcPr>
            <w:tcW w:type="dxa" w:w="2448"/>
            <w:tcMar>
              <w:top w:w="80" w:type="dxa"/>
              <w:start w:w="90" w:type="dxa"/>
              <w:bottom w:w="80" w:type="dxa"/>
              <w:end w:w="90" w:type="dxa"/>
            </w:tcMar>
            <w:vAlign w:val="top"/>
          </w:tcPr>
          <w:p>
            <w:r>
              <w:rPr>
                <w:sz w:val="18"/>
              </w:rPr>
              <w:t>SQLite</w:t>
            </w:r>
          </w:p>
        </w:tc>
        <w:tc>
          <w:tcPr>
            <w:tcW w:type="dxa" w:w="7632"/>
            <w:tcMar>
              <w:top w:w="80" w:type="dxa"/>
              <w:start w:w="90" w:type="dxa"/>
              <w:bottom w:w="80" w:type="dxa"/>
              <w:end w:w="90" w:type="dxa"/>
            </w:tcMar>
            <w:vAlign w:val="top"/>
          </w:tcPr>
          <w:p>
            <w:r>
              <w:rPr>
                <w:sz w:val="18"/>
              </w:rPr>
              <w:t>Selected V1 baseline: no separate DB server, zero additional infrastructure, suitable for the small read-heavy workload.</w:t>
            </w:r>
          </w:p>
        </w:tc>
      </w:tr>
      <w:tr>
        <w:tc>
          <w:tcPr>
            <w:tcW w:type="dxa" w:w="2448"/>
            <w:tcMar>
              <w:top w:w="80" w:type="dxa"/>
              <w:start w:w="90" w:type="dxa"/>
              <w:bottom w:w="80" w:type="dxa"/>
              <w:end w:w="90" w:type="dxa"/>
            </w:tcMar>
            <w:vAlign w:val="top"/>
          </w:tcPr>
          <w:p>
            <w:r>
              <w:rPr>
                <w:sz w:val="18"/>
              </w:rPr>
              <w:t>Existing SQL Server</w:t>
            </w:r>
          </w:p>
        </w:tc>
        <w:tc>
          <w:tcPr>
            <w:tcW w:type="dxa" w:w="7632"/>
            <w:tcMar>
              <w:top w:w="80" w:type="dxa"/>
              <w:start w:w="90" w:type="dxa"/>
              <w:bottom w:w="80" w:type="dxa"/>
              <w:end w:w="90" w:type="dxa"/>
            </w:tcMar>
            <w:vAlign w:val="top"/>
          </w:tcPr>
          <w:p>
            <w:r>
              <w:rPr>
                <w:sz w:val="18"/>
              </w:rPr>
              <w:t>Preferred enterprise alternative if already provisioned at no incremental cost or required by policy.</w:t>
            </w:r>
          </w:p>
        </w:tc>
      </w:tr>
      <w:tr>
        <w:tc>
          <w:tcPr>
            <w:tcW w:type="dxa" w:w="2448"/>
            <w:tcMar>
              <w:top w:w="80" w:type="dxa"/>
              <w:start w:w="90" w:type="dxa"/>
              <w:bottom w:w="80" w:type="dxa"/>
              <w:end w:w="90" w:type="dxa"/>
            </w:tcMar>
            <w:vAlign w:val="top"/>
          </w:tcPr>
          <w:p>
            <w:r>
              <w:rPr>
                <w:sz w:val="18"/>
              </w:rPr>
              <w:t>PostgreSQL</w:t>
            </w:r>
          </w:p>
        </w:tc>
        <w:tc>
          <w:tcPr>
            <w:tcW w:type="dxa" w:w="7632"/>
            <w:tcMar>
              <w:top w:w="80" w:type="dxa"/>
              <w:start w:w="90" w:type="dxa"/>
              <w:bottom w:w="80" w:type="dxa"/>
              <w:end w:w="90" w:type="dxa"/>
            </w:tcMar>
            <w:vAlign w:val="top"/>
          </w:tcPr>
          <w:p>
            <w:r>
              <w:rPr>
                <w:sz w:val="18"/>
              </w:rPr>
              <w:t>Valid future relational target; not assumed to exist today.</w:t>
            </w:r>
          </w:p>
        </w:tc>
      </w:tr>
      <w:tr>
        <w:tc>
          <w:tcPr>
            <w:tcW w:type="dxa" w:w="2448"/>
            <w:tcMar>
              <w:top w:w="80" w:type="dxa"/>
              <w:start w:w="90" w:type="dxa"/>
              <w:bottom w:w="80" w:type="dxa"/>
              <w:end w:w="90" w:type="dxa"/>
            </w:tcMar>
            <w:vAlign w:val="top"/>
          </w:tcPr>
          <w:p>
            <w:r>
              <w:rPr>
                <w:sz w:val="18"/>
              </w:rPr>
              <w:t>JSON file</w:t>
            </w:r>
          </w:p>
        </w:tc>
        <w:tc>
          <w:tcPr>
            <w:tcW w:type="dxa" w:w="7632"/>
            <w:tcMar>
              <w:top w:w="80" w:type="dxa"/>
              <w:start w:w="90" w:type="dxa"/>
              <w:bottom w:w="80" w:type="dxa"/>
              <w:end w:w="90" w:type="dxa"/>
            </w:tcMar>
            <w:vAlign w:val="top"/>
          </w:tcPr>
          <w:p>
            <w:r>
              <w:rPr>
                <w:sz w:val="18"/>
              </w:rPr>
              <w:t>Transitional/diagnostic only; not production persistence.</w:t>
            </w:r>
          </w:p>
        </w:tc>
      </w:tr>
      <w:tr>
        <w:tc>
          <w:tcPr>
            <w:tcW w:type="dxa" w:w="2448"/>
            <w:tcMar>
              <w:top w:w="80" w:type="dxa"/>
              <w:start w:w="90" w:type="dxa"/>
              <w:bottom w:w="80" w:type="dxa"/>
              <w:end w:w="90" w:type="dxa"/>
            </w:tcMar>
            <w:vAlign w:val="top"/>
          </w:tcPr>
          <w:p>
            <w:r>
              <w:rPr>
                <w:sz w:val="18"/>
              </w:rPr>
              <w:t>Metered Azure database</w:t>
            </w:r>
          </w:p>
        </w:tc>
        <w:tc>
          <w:tcPr>
            <w:tcW w:type="dxa" w:w="7632"/>
            <w:tcMar>
              <w:top w:w="80" w:type="dxa"/>
              <w:start w:w="90" w:type="dxa"/>
              <w:bottom w:w="80" w:type="dxa"/>
              <w:end w:w="90" w:type="dxa"/>
            </w:tcMar>
            <w:vAlign w:val="top"/>
          </w:tcPr>
          <w:p>
            <w:r>
              <w:rPr>
                <w:sz w:val="18"/>
              </w:rPr>
              <w:t>Outside V1 zero-cost baseline.</w:t>
            </w:r>
          </w:p>
        </w:tc>
      </w:tr>
    </w:tbl>
    <w:p/>
    <w:p>
      <w:r>
        <w:t>EF Core/data-access boundaries should use portable relational concepts and avoid unnecessary SQLite-specific SQL/functions. A later provider change can still require provider-specific migrations or data-type adjustments; portability does not mean a guaranteed connection-string-only switch.</w:t>
      </w:r>
    </w:p>
    <w:p>
      <w:pPr>
        <w:pStyle w:val="Heading2"/>
      </w:pPr>
      <w:r>
        <w:t>3.5 Ingestion</w:t>
      </w:r>
    </w:p>
    <w:p>
      <w:r>
        <w:t>Excel remains the V1 business input/source. The database is the normalized application query store.</w:t>
      </w:r>
    </w:p>
    <w:p>
      <w:pPr>
        <w:pStyle w:val="ListBullet"/>
        <w:spacing w:after="40"/>
      </w:pPr>
      <w:r>
        <w:t>Validate required sheets and headers before import.</w:t>
      </w:r>
    </w:p>
    <w:p>
      <w:pPr>
        <w:pStyle w:val="ListBullet"/>
        <w:spacing w:after="40"/>
      </w:pPr>
      <w:r>
        <w:t>Prefer header/name-based mapping over fragile fixed indexes.</w:t>
      </w:r>
    </w:p>
    <w:p>
      <w:pPr>
        <w:pStyle w:val="ListBullet"/>
        <w:spacing w:after="40"/>
      </w:pPr>
      <w:r>
        <w:t>Normalize statuses, dates, approval values, and metrics.</w:t>
      </w:r>
    </w:p>
    <w:p>
      <w:pPr>
        <w:pStyle w:val="ListBullet"/>
        <w:spacing w:after="40"/>
      </w:pPr>
      <w:r>
        <w:t>Apply approved business rules.</w:t>
      </w:r>
    </w:p>
    <w:p>
      <w:pPr>
        <w:pStyle w:val="ListBullet"/>
        <w:spacing w:after="40"/>
      </w:pPr>
      <w:r>
        <w:t>Persist using transaction/staging semantics.</w:t>
      </w:r>
    </w:p>
    <w:p>
      <w:pPr>
        <w:pStyle w:val="ListBullet"/>
        <w:spacing w:after="40"/>
      </w:pPr>
      <w:r>
        <w:t>Record import metadata/result.</w:t>
      </w:r>
    </w:p>
    <w:p>
      <w:pPr>
        <w:pStyle w:val="ListBullet"/>
        <w:spacing w:after="40"/>
      </w:pPr>
      <w:r>
        <w:t>Retain the last-known-good dataset if an import fails.</w:t>
      </w:r>
    </w:p>
    <w:p>
      <w:r>
        <w:t>The current Python extractor is reused as business/parsing knowledge and as a parity reference. The production ingestion language remains open until the spike; .NET is preferred if parity and operational simplicity are achieved, while retaining/refactoring Python remains acceptable if it materially reduces risk.</w:t>
      </w:r>
    </w:p>
    <w:p>
      <w:pPr>
        <w:pStyle w:val="Heading2"/>
      </w:pPr>
      <w:r>
        <w:t>3.6 Authentication and authorization</w:t>
      </w:r>
    </w:p>
    <w:p>
      <w:r>
        <w:t>The access requirement is no additional interactive login for normal viewers, not necessarily anonymous access. If differentiated access is required, seamless corporate authentication such as Windows Authentication should be used where approved and filtering must occur on the server before records are returned.</w:t>
      </w:r>
    </w:p>
    <w:p>
      <w:pPr>
        <w:pStyle w:val="Heading2"/>
      </w:pPr>
      <w:r>
        <w:t>3.7 SharePoint automation</w:t>
      </w:r>
    </w:p>
    <w:p>
      <w:r>
        <w:t>Microsoft Graph / SharePoint automated retrieval is deferred. V1 uses controlled/manual Excel handoff so tenant identity and permission work cannot block the main modernization objective.</w:t>
      </w:r>
    </w:p>
    <w:p>
      <w:pPr>
        <w:pStyle w:val="Heading2"/>
      </w:pPr>
      <w:r>
        <w:t>3.8 Data correctness</w:t>
      </w:r>
    </w:p>
    <w:p>
      <w:r>
        <w:t>Automated business-rule parity testing is mandatory. A representative reference dataset must prove status/customer-approval normalization, phase/overall completion, overdue logic, metric behavior, excluded metrics, missing data, and the clarified Pre=0 behavior.</w:t>
      </w:r>
    </w:p>
    <w:p>
      <w:pPr>
        <w:pStyle w:val="Heading1"/>
      </w:pPr>
      <w:r>
        <w:t>4. Consequences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40"/>
            <w:shd w:fill="D9EAF7"/>
            <w:tcMar>
              <w:top w:w="80" w:type="dxa"/>
              <w:start w:w="90" w:type="dxa"/>
              <w:bottom w:w="80" w:type="dxa"/>
              <w:end w:w="90" w:type="dxa"/>
            </w:tcMar>
          </w:tcPr>
          <w:p>
            <w:pPr>
              <w:jc w:val="center"/>
            </w:pPr>
            <w:r>
              <w:rPr>
                <w:b/>
                <w:color w:val="1F4E79"/>
                <w:sz w:val="18"/>
              </w:rPr>
              <w:t>Positive Consequences</w:t>
            </w:r>
          </w:p>
        </w:tc>
        <w:tc>
          <w:tcPr>
            <w:tcW w:type="dxa" w:w="5040"/>
            <w:shd w:fill="D9EAF7"/>
            <w:tcMar>
              <w:top w:w="80" w:type="dxa"/>
              <w:start w:w="90" w:type="dxa"/>
              <w:bottom w:w="80" w:type="dxa"/>
              <w:end w:w="90" w:type="dxa"/>
            </w:tcMar>
          </w:tcPr>
          <w:p>
            <w:pPr>
              <w:jc w:val="center"/>
            </w:pPr>
            <w:r>
              <w:rPr>
                <w:b/>
                <w:color w:val="1F4E79"/>
                <w:sz w:val="18"/>
              </w:rPr>
              <w:t>Trade-offs / Costs</w:t>
            </w:r>
          </w:p>
        </w:tc>
      </w:tr>
      <w:tr>
        <w:tc>
          <w:tcPr>
            <w:tcW w:type="dxa" w:w="5040"/>
            <w:tcMar>
              <w:top w:w="80" w:type="dxa"/>
              <w:start w:w="90" w:type="dxa"/>
              <w:bottom w:w="80" w:type="dxa"/>
              <w:end w:w="90" w:type="dxa"/>
            </w:tcMar>
            <w:vAlign w:val="top"/>
          </w:tcPr>
          <w:p>
            <w:r>
              <w:rPr>
                <w:sz w:val="18"/>
              </w:rPr>
              <w:t>Eliminates monolithic static HTML growth</w:t>
            </w:r>
          </w:p>
        </w:tc>
        <w:tc>
          <w:tcPr>
            <w:tcW w:type="dxa" w:w="5040"/>
            <w:tcMar>
              <w:top w:w="80" w:type="dxa"/>
              <w:start w:w="90" w:type="dxa"/>
              <w:bottom w:w="80" w:type="dxa"/>
              <w:end w:w="90" w:type="dxa"/>
            </w:tcMar>
            <w:vAlign w:val="top"/>
          </w:tcPr>
          <w:p>
            <w:r>
              <w:rPr>
                <w:sz w:val="18"/>
              </w:rPr>
              <w:t>Requires an approved server-side runtime on IIS</w:t>
            </w:r>
          </w:p>
        </w:tc>
      </w:tr>
      <w:tr>
        <w:tc>
          <w:tcPr>
            <w:tcW w:type="dxa" w:w="5040"/>
            <w:tcMar>
              <w:top w:w="80" w:type="dxa"/>
              <w:start w:w="90" w:type="dxa"/>
              <w:bottom w:w="80" w:type="dxa"/>
              <w:end w:w="90" w:type="dxa"/>
            </w:tcMar>
            <w:vAlign w:val="top"/>
          </w:tcPr>
          <w:p>
            <w:r>
              <w:rPr>
                <w:sz w:val="18"/>
              </w:rPr>
              <w:t>Enables server-side filter/page/query behavior</w:t>
            </w:r>
          </w:p>
        </w:tc>
        <w:tc>
          <w:tcPr>
            <w:tcW w:type="dxa" w:w="5040"/>
            <w:tcMar>
              <w:top w:w="80" w:type="dxa"/>
              <w:start w:w="90" w:type="dxa"/>
              <w:bottom w:w="80" w:type="dxa"/>
              <w:end w:w="90" w:type="dxa"/>
            </w:tcMar>
            <w:vAlign w:val="top"/>
          </w:tcPr>
          <w:p>
            <w:r>
              <w:rPr>
                <w:sz w:val="18"/>
              </w:rPr>
              <w:t>Requires DB lifecycle/backup handling even with SQLite</w:t>
            </w:r>
          </w:p>
        </w:tc>
      </w:tr>
      <w:tr>
        <w:tc>
          <w:tcPr>
            <w:tcW w:type="dxa" w:w="5040"/>
            <w:tcMar>
              <w:top w:w="80" w:type="dxa"/>
              <w:start w:w="90" w:type="dxa"/>
              <w:bottom w:w="80" w:type="dxa"/>
              <w:end w:w="90" w:type="dxa"/>
            </w:tcMar>
            <w:vAlign w:val="top"/>
          </w:tcPr>
          <w:p>
            <w:r>
              <w:rPr>
                <w:sz w:val="18"/>
              </w:rPr>
              <w:t>Creates a real authorization boundary</w:t>
            </w:r>
          </w:p>
        </w:tc>
        <w:tc>
          <w:tcPr>
            <w:tcW w:type="dxa" w:w="5040"/>
            <w:tcMar>
              <w:top w:w="80" w:type="dxa"/>
              <w:start w:w="90" w:type="dxa"/>
              <w:bottom w:w="80" w:type="dxa"/>
              <w:end w:w="90" w:type="dxa"/>
            </w:tcMar>
            <w:vAlign w:val="top"/>
          </w:tcPr>
          <w:p>
            <w:r>
              <w:rPr>
                <w:sz w:val="18"/>
              </w:rPr>
              <w:t>Identity-aware access needs infrastructure/security input</w:t>
            </w:r>
          </w:p>
        </w:tc>
      </w:tr>
      <w:tr>
        <w:tc>
          <w:tcPr>
            <w:tcW w:type="dxa" w:w="5040"/>
            <w:tcMar>
              <w:top w:w="80" w:type="dxa"/>
              <w:start w:w="90" w:type="dxa"/>
              <w:bottom w:w="80" w:type="dxa"/>
              <w:end w:w="90" w:type="dxa"/>
            </w:tcMar>
            <w:vAlign w:val="top"/>
          </w:tcPr>
          <w:p>
            <w:r>
              <w:rPr>
                <w:sz w:val="18"/>
              </w:rPr>
              <w:t>Separates ingestion, storage, API, and UI</w:t>
            </w:r>
          </w:p>
        </w:tc>
        <w:tc>
          <w:tcPr>
            <w:tcW w:type="dxa" w:w="5040"/>
            <w:tcMar>
              <w:top w:w="80" w:type="dxa"/>
              <w:start w:w="90" w:type="dxa"/>
              <w:bottom w:w="80" w:type="dxa"/>
              <w:end w:w="90" w:type="dxa"/>
            </w:tcMar>
            <w:vAlign w:val="top"/>
          </w:tcPr>
          <w:p>
            <w:r>
              <w:rPr>
                <w:sz w:val="18"/>
              </w:rPr>
              <w:t>Existing rules must be revalidated carefully during migration</w:t>
            </w:r>
          </w:p>
        </w:tc>
      </w:tr>
      <w:tr>
        <w:tc>
          <w:tcPr>
            <w:tcW w:type="dxa" w:w="5040"/>
            <w:tcMar>
              <w:top w:w="80" w:type="dxa"/>
              <w:start w:w="90" w:type="dxa"/>
              <w:bottom w:w="80" w:type="dxa"/>
              <w:end w:w="90" w:type="dxa"/>
            </w:tcMar>
            <w:vAlign w:val="top"/>
          </w:tcPr>
          <w:p>
            <w:r>
              <w:rPr>
                <w:sz w:val="18"/>
              </w:rPr>
              <w:t>Keeps V1 infrastructure cost minimal</w:t>
            </w:r>
          </w:p>
        </w:tc>
        <w:tc>
          <w:tcPr>
            <w:tcW w:type="dxa" w:w="5040"/>
            <w:tcMar>
              <w:top w:w="80" w:type="dxa"/>
              <w:start w:w="90" w:type="dxa"/>
              <w:bottom w:w="80" w:type="dxa"/>
              <w:end w:w="90" w:type="dxa"/>
            </w:tcMar>
            <w:vAlign w:val="top"/>
          </w:tcPr>
          <w:p>
            <w:r>
              <w:rPr>
                <w:sz w:val="18"/>
              </w:rPr>
              <w:t>Provider portability still needs provider-specific testing/migrations</w:t>
            </w:r>
          </w:p>
        </w:tc>
      </w:tr>
      <w:tr>
        <w:tc>
          <w:tcPr>
            <w:tcW w:type="dxa" w:w="5040"/>
            <w:tcMar>
              <w:top w:w="80" w:type="dxa"/>
              <w:start w:w="90" w:type="dxa"/>
              <w:bottom w:w="80" w:type="dxa"/>
              <w:end w:w="90" w:type="dxa"/>
            </w:tcMar>
            <w:vAlign w:val="top"/>
          </w:tcPr>
          <w:p>
            <w:r>
              <w:rPr>
                <w:sz w:val="18"/>
              </w:rPr>
              <w:t>Allows parallel rollout and rollback</w:t>
            </w:r>
          </w:p>
        </w:tc>
        <w:tc>
          <w:tcPr>
            <w:tcW w:type="dxa" w:w="5040"/>
            <w:tcMar>
              <w:top w:w="80" w:type="dxa"/>
              <w:start w:w="90" w:type="dxa"/>
              <w:bottom w:w="80" w:type="dxa"/>
              <w:end w:w="90" w:type="dxa"/>
            </w:tcMar>
            <w:vAlign w:val="top"/>
          </w:tcPr>
          <w:p>
            <w:r>
              <w:rPr>
                <w:sz w:val="18"/>
              </w:rPr>
              <w:t>Introduces more application components than a static file</w:t>
            </w:r>
          </w:p>
        </w:tc>
      </w:tr>
    </w:tbl>
    <w:p/>
    <w:p>
      <w:pPr>
        <w:pStyle w:val="Heading1"/>
      </w:pPr>
      <w:r>
        <w:t>5. Alternatives Considered</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3600"/>
            <w:shd w:fill="D9EAF7"/>
            <w:tcMar>
              <w:top w:w="80" w:type="dxa"/>
              <w:start w:w="90" w:type="dxa"/>
              <w:bottom w:w="80" w:type="dxa"/>
              <w:end w:w="90" w:type="dxa"/>
            </w:tcMar>
          </w:tcPr>
          <w:p>
            <w:pPr>
              <w:jc w:val="center"/>
            </w:pPr>
            <w:r>
              <w:rPr>
                <w:b/>
                <w:color w:val="1F4E79"/>
                <w:sz w:val="18"/>
              </w:rPr>
              <w:t>Alternative</w:t>
            </w:r>
          </w:p>
        </w:tc>
        <w:tc>
          <w:tcPr>
            <w:tcW w:type="dxa" w:w="6480"/>
            <w:shd w:fill="D9EAF7"/>
            <w:tcMar>
              <w:top w:w="80" w:type="dxa"/>
              <w:start w:w="90" w:type="dxa"/>
              <w:bottom w:w="80" w:type="dxa"/>
              <w:end w:w="90" w:type="dxa"/>
            </w:tcMar>
          </w:tcPr>
          <w:p>
            <w:pPr>
              <w:jc w:val="center"/>
            </w:pPr>
            <w:r>
              <w:rPr>
                <w:b/>
                <w:color w:val="1F4E79"/>
                <w:sz w:val="18"/>
              </w:rPr>
              <w:t>Decision</w:t>
            </w:r>
          </w:p>
        </w:tc>
      </w:tr>
      <w:tr>
        <w:tc>
          <w:tcPr>
            <w:tcW w:type="dxa" w:w="3600"/>
            <w:tcMar>
              <w:top w:w="80" w:type="dxa"/>
              <w:start w:w="90" w:type="dxa"/>
              <w:bottom w:w="80" w:type="dxa"/>
              <w:end w:w="90" w:type="dxa"/>
            </w:tcMar>
            <w:vAlign w:val="top"/>
          </w:tcPr>
          <w:p>
            <w:r>
              <w:rPr>
                <w:sz w:val="18"/>
              </w:rPr>
              <w:t>Continue improving static HTML</w:t>
            </w:r>
          </w:p>
        </w:tc>
        <w:tc>
          <w:tcPr>
            <w:tcW w:type="dxa" w:w="6480"/>
            <w:tcMar>
              <w:top w:w="80" w:type="dxa"/>
              <w:start w:w="90" w:type="dxa"/>
              <w:bottom w:w="80" w:type="dxa"/>
              <w:end w:w="90" w:type="dxa"/>
            </w:tcMar>
            <w:vAlign w:val="top"/>
          </w:tcPr>
          <w:p>
            <w:r>
              <w:rPr>
                <w:sz w:val="18"/>
              </w:rPr>
              <w:t>Rejected as target architecture; preserves the core growth/security/operational limitations.</w:t>
            </w:r>
          </w:p>
        </w:tc>
      </w:tr>
      <w:tr>
        <w:tc>
          <w:tcPr>
            <w:tcW w:type="dxa" w:w="3600"/>
            <w:tcMar>
              <w:top w:w="80" w:type="dxa"/>
              <w:start w:w="90" w:type="dxa"/>
              <w:bottom w:w="80" w:type="dxa"/>
              <w:end w:w="90" w:type="dxa"/>
            </w:tcMar>
            <w:vAlign w:val="top"/>
          </w:tcPr>
          <w:p>
            <w:r>
              <w:rPr>
                <w:sz w:val="18"/>
              </w:rPr>
              <w:t>Keep Python + JSON + add API</w:t>
            </w:r>
          </w:p>
        </w:tc>
        <w:tc>
          <w:tcPr>
            <w:tcW w:type="dxa" w:w="6480"/>
            <w:tcMar>
              <w:top w:w="80" w:type="dxa"/>
              <w:start w:w="90" w:type="dxa"/>
              <w:bottom w:w="80" w:type="dxa"/>
              <w:end w:w="90" w:type="dxa"/>
            </w:tcMar>
            <w:vAlign w:val="top"/>
          </w:tcPr>
          <w:p>
            <w:r>
              <w:rPr>
                <w:sz w:val="18"/>
              </w:rPr>
              <w:t>Useful only as a transitional POC; JSON is not the selected production persistence model.</w:t>
            </w:r>
          </w:p>
        </w:tc>
      </w:tr>
      <w:tr>
        <w:tc>
          <w:tcPr>
            <w:tcW w:type="dxa" w:w="3600"/>
            <w:tcMar>
              <w:top w:w="80" w:type="dxa"/>
              <w:start w:w="90" w:type="dxa"/>
              <w:bottom w:w="80" w:type="dxa"/>
              <w:end w:w="90" w:type="dxa"/>
            </w:tcMar>
            <w:vAlign w:val="top"/>
          </w:tcPr>
          <w:p>
            <w:r>
              <w:rPr>
                <w:sz w:val="18"/>
              </w:rPr>
              <w:t>ASP.NET Core + React + SQLite on IIS</w:t>
            </w:r>
          </w:p>
        </w:tc>
        <w:tc>
          <w:tcPr>
            <w:tcW w:type="dxa" w:w="6480"/>
            <w:tcMar>
              <w:top w:w="80" w:type="dxa"/>
              <w:start w:w="90" w:type="dxa"/>
              <w:bottom w:w="80" w:type="dxa"/>
              <w:end w:w="90" w:type="dxa"/>
            </w:tcMar>
            <w:vAlign w:val="top"/>
          </w:tcPr>
          <w:p>
            <w:r>
              <w:rPr>
                <w:sz w:val="18"/>
              </w:rPr>
              <w:t>Selected V1 baseline, pending feasibility checks.</w:t>
            </w:r>
          </w:p>
        </w:tc>
      </w:tr>
      <w:tr>
        <w:tc>
          <w:tcPr>
            <w:tcW w:type="dxa" w:w="3600"/>
            <w:tcMar>
              <w:top w:w="80" w:type="dxa"/>
              <w:start w:w="90" w:type="dxa"/>
              <w:bottom w:w="80" w:type="dxa"/>
              <w:end w:w="90" w:type="dxa"/>
            </w:tcMar>
            <w:vAlign w:val="top"/>
          </w:tcPr>
          <w:p>
            <w:r>
              <w:rPr>
                <w:sz w:val="18"/>
              </w:rPr>
              <w:t>ASP.NET Core + existing SQL Server</w:t>
            </w:r>
          </w:p>
        </w:tc>
        <w:tc>
          <w:tcPr>
            <w:tcW w:type="dxa" w:w="6480"/>
            <w:tcMar>
              <w:top w:w="80" w:type="dxa"/>
              <w:start w:w="90" w:type="dxa"/>
              <w:bottom w:w="80" w:type="dxa"/>
              <w:end w:w="90" w:type="dxa"/>
            </w:tcMar>
            <w:vAlign w:val="top"/>
          </w:tcPr>
          <w:p>
            <w:r>
              <w:rPr>
                <w:sz w:val="18"/>
              </w:rPr>
              <w:t>Preferred alternative if already available at zero incremental cost or mandated.</w:t>
            </w:r>
          </w:p>
        </w:tc>
      </w:tr>
      <w:tr>
        <w:tc>
          <w:tcPr>
            <w:tcW w:type="dxa" w:w="3600"/>
            <w:tcMar>
              <w:top w:w="80" w:type="dxa"/>
              <w:start w:w="90" w:type="dxa"/>
              <w:bottom w:w="80" w:type="dxa"/>
              <w:end w:w="90" w:type="dxa"/>
            </w:tcMar>
            <w:vAlign w:val="top"/>
          </w:tcPr>
          <w:p>
            <w:r>
              <w:rPr>
                <w:sz w:val="18"/>
              </w:rPr>
              <w:t>New paid Azure services</w:t>
            </w:r>
          </w:p>
        </w:tc>
        <w:tc>
          <w:tcPr>
            <w:tcW w:type="dxa" w:w="6480"/>
            <w:tcMar>
              <w:top w:w="80" w:type="dxa"/>
              <w:start w:w="90" w:type="dxa"/>
              <w:bottom w:w="80" w:type="dxa"/>
              <w:end w:w="90" w:type="dxa"/>
            </w:tcMar>
            <w:vAlign w:val="top"/>
          </w:tcPr>
          <w:p>
            <w:r>
              <w:rPr>
                <w:sz w:val="18"/>
              </w:rPr>
              <w:t>Rejected for V1 due to zero-cost constraint.</w:t>
            </w:r>
          </w:p>
        </w:tc>
      </w:tr>
      <w:tr>
        <w:tc>
          <w:tcPr>
            <w:tcW w:type="dxa" w:w="3600"/>
            <w:tcMar>
              <w:top w:w="80" w:type="dxa"/>
              <w:start w:w="90" w:type="dxa"/>
              <w:bottom w:w="80" w:type="dxa"/>
              <w:end w:w="90" w:type="dxa"/>
            </w:tcMar>
            <w:vAlign w:val="top"/>
          </w:tcPr>
          <w:p>
            <w:r>
              <w:rPr>
                <w:sz w:val="18"/>
              </w:rPr>
              <w:t>Automate SharePoint first</w:t>
            </w:r>
          </w:p>
        </w:tc>
        <w:tc>
          <w:tcPr>
            <w:tcW w:type="dxa" w:w="6480"/>
            <w:tcMar>
              <w:top w:w="80" w:type="dxa"/>
              <w:start w:w="90" w:type="dxa"/>
              <w:bottom w:w="80" w:type="dxa"/>
              <w:end w:w="90" w:type="dxa"/>
            </w:tcMar>
            <w:vAlign w:val="top"/>
          </w:tcPr>
          <w:p>
            <w:r>
              <w:rPr>
                <w:sz w:val="18"/>
              </w:rPr>
              <w:t>Deferred because permissions/tenant dependencies are not required to prove the core modernization.</w:t>
            </w:r>
          </w:p>
        </w:tc>
      </w:tr>
    </w:tbl>
    <w:p/>
    <w:p>
      <w:pPr>
        <w:pStyle w:val="Heading1"/>
      </w:pPr>
      <w:r>
        <w:t>6. Feasibility Gates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016"/>
            <w:shd w:fill="D9EAF7"/>
            <w:tcMar>
              <w:top w:w="80" w:type="dxa"/>
              <w:start w:w="90" w:type="dxa"/>
              <w:bottom w:w="80" w:type="dxa"/>
              <w:end w:w="90" w:type="dxa"/>
            </w:tcMar>
          </w:tcPr>
          <w:p>
            <w:pPr>
              <w:jc w:val="center"/>
            </w:pPr>
            <w:r>
              <w:rPr>
                <w:b/>
                <w:color w:val="1F4E79"/>
                <w:sz w:val="18"/>
              </w:rPr>
              <w:t>Gate</w:t>
            </w:r>
          </w:p>
        </w:tc>
        <w:tc>
          <w:tcPr>
            <w:tcW w:type="dxa" w:w="5184"/>
            <w:shd w:fill="D9EAF7"/>
            <w:tcMar>
              <w:top w:w="80" w:type="dxa"/>
              <w:start w:w="90" w:type="dxa"/>
              <w:bottom w:w="80" w:type="dxa"/>
              <w:end w:w="90" w:type="dxa"/>
            </w:tcMar>
          </w:tcPr>
          <w:p>
            <w:pPr>
              <w:jc w:val="center"/>
            </w:pPr>
            <w:r>
              <w:rPr>
                <w:b/>
                <w:color w:val="1F4E79"/>
                <w:sz w:val="18"/>
              </w:rPr>
              <w:t>Pass Condition</w:t>
            </w:r>
          </w:p>
        </w:tc>
        <w:tc>
          <w:tcPr>
            <w:tcW w:type="dxa" w:w="3312"/>
            <w:shd w:fill="D9EAF7"/>
            <w:tcMar>
              <w:top w:w="80" w:type="dxa"/>
              <w:start w:w="90" w:type="dxa"/>
              <w:bottom w:w="80" w:type="dxa"/>
              <w:end w:w="90" w:type="dxa"/>
            </w:tcMar>
          </w:tcPr>
          <w:p>
            <w:pPr>
              <w:jc w:val="center"/>
            </w:pPr>
            <w:r>
              <w:rPr>
                <w:b/>
                <w:color w:val="1F4E79"/>
                <w:sz w:val="18"/>
              </w:rPr>
              <w:t>Fallback</w:t>
            </w:r>
          </w:p>
        </w:tc>
      </w:tr>
      <w:tr>
        <w:tc>
          <w:tcPr>
            <w:tcW w:type="dxa" w:w="2016"/>
            <w:tcMar>
              <w:top w:w="80" w:type="dxa"/>
              <w:start w:w="90" w:type="dxa"/>
              <w:bottom w:w="80" w:type="dxa"/>
              <w:end w:w="90" w:type="dxa"/>
            </w:tcMar>
            <w:vAlign w:val="top"/>
          </w:tcPr>
          <w:p>
            <w:r>
              <w:rPr>
                <w:sz w:val="18"/>
              </w:rPr>
              <w:t>IIS hosting</w:t>
            </w:r>
          </w:p>
        </w:tc>
        <w:tc>
          <w:tcPr>
            <w:tcW w:type="dxa" w:w="5184"/>
            <w:tcMar>
              <w:top w:w="80" w:type="dxa"/>
              <w:start w:w="90" w:type="dxa"/>
              <w:bottom w:w="80" w:type="dxa"/>
              <w:end w:w="90" w:type="dxa"/>
            </w:tcMar>
            <w:vAlign w:val="top"/>
          </w:tcPr>
          <w:p>
            <w:r>
              <w:rPr>
                <w:sz w:val="18"/>
              </w:rPr>
              <w:t>Minimal ASP.NET Core app runs on target/representative IIS.</w:t>
            </w:r>
          </w:p>
        </w:tc>
        <w:tc>
          <w:tcPr>
            <w:tcW w:type="dxa" w:w="3312"/>
            <w:tcMar>
              <w:top w:w="80" w:type="dxa"/>
              <w:start w:w="90" w:type="dxa"/>
              <w:bottom w:w="80" w:type="dxa"/>
              <w:end w:w="90" w:type="dxa"/>
            </w:tcMar>
            <w:vAlign w:val="top"/>
          </w:tcPr>
          <w:p>
            <w:r>
              <w:rPr>
                <w:sz w:val="18"/>
              </w:rPr>
              <w:t>Use another already-approved zero-cost internal host.</w:t>
            </w:r>
          </w:p>
        </w:tc>
      </w:tr>
      <w:tr>
        <w:tc>
          <w:tcPr>
            <w:tcW w:type="dxa" w:w="2016"/>
            <w:tcMar>
              <w:top w:w="80" w:type="dxa"/>
              <w:start w:w="90" w:type="dxa"/>
              <w:bottom w:w="80" w:type="dxa"/>
              <w:end w:w="90" w:type="dxa"/>
            </w:tcMar>
            <w:vAlign w:val="top"/>
          </w:tcPr>
          <w:p>
            <w:r>
              <w:rPr>
                <w:sz w:val="18"/>
              </w:rPr>
              <w:t>Authentication</w:t>
            </w:r>
          </w:p>
        </w:tc>
        <w:tc>
          <w:tcPr>
            <w:tcW w:type="dxa" w:w="5184"/>
            <w:tcMar>
              <w:top w:w="80" w:type="dxa"/>
              <w:start w:w="90" w:type="dxa"/>
              <w:bottom w:w="80" w:type="dxa"/>
              <w:end w:w="90" w:type="dxa"/>
            </w:tcMar>
            <w:vAlign w:val="top"/>
          </w:tcPr>
          <w:p>
            <w:r>
              <w:rPr>
                <w:sz w:val="18"/>
              </w:rPr>
              <w:t>Seamless Windows Authentication works if identity-aware access is required.</w:t>
            </w:r>
          </w:p>
        </w:tc>
        <w:tc>
          <w:tcPr>
            <w:tcW w:type="dxa" w:w="3312"/>
            <w:tcMar>
              <w:top w:w="80" w:type="dxa"/>
              <w:start w:w="90" w:type="dxa"/>
              <w:bottom w:w="80" w:type="dxa"/>
              <w:end w:w="90" w:type="dxa"/>
            </w:tcMar>
            <w:vAlign w:val="top"/>
          </w:tcPr>
          <w:p>
            <w:r>
              <w:rPr>
                <w:sz w:val="18"/>
              </w:rPr>
              <w:t>Use approved corporate alternative or same-data-for-all model.</w:t>
            </w:r>
          </w:p>
        </w:tc>
      </w:tr>
      <w:tr>
        <w:tc>
          <w:tcPr>
            <w:tcW w:type="dxa" w:w="2016"/>
            <w:tcMar>
              <w:top w:w="80" w:type="dxa"/>
              <w:start w:w="90" w:type="dxa"/>
              <w:bottom w:w="80" w:type="dxa"/>
              <w:end w:w="90" w:type="dxa"/>
            </w:tcMar>
            <w:vAlign w:val="top"/>
          </w:tcPr>
          <w:p>
            <w:r>
              <w:rPr>
                <w:sz w:val="18"/>
              </w:rPr>
              <w:t>Persistence</w:t>
            </w:r>
          </w:p>
        </w:tc>
        <w:tc>
          <w:tcPr>
            <w:tcW w:type="dxa" w:w="5184"/>
            <w:tcMar>
              <w:top w:w="80" w:type="dxa"/>
              <w:start w:w="90" w:type="dxa"/>
              <w:bottom w:w="80" w:type="dxa"/>
              <w:end w:w="90" w:type="dxa"/>
            </w:tcMar>
            <w:vAlign w:val="top"/>
          </w:tcPr>
          <w:p>
            <w:r>
              <w:rPr>
                <w:sz w:val="18"/>
              </w:rPr>
              <w:t>SQLite is permitted and representative read/write/backup behavior works.</w:t>
            </w:r>
          </w:p>
        </w:tc>
        <w:tc>
          <w:tcPr>
            <w:tcW w:type="dxa" w:w="3312"/>
            <w:tcMar>
              <w:top w:w="80" w:type="dxa"/>
              <w:start w:w="90" w:type="dxa"/>
              <w:bottom w:w="80" w:type="dxa"/>
              <w:end w:w="90" w:type="dxa"/>
            </w:tcMar>
            <w:vAlign w:val="top"/>
          </w:tcPr>
          <w:p>
            <w:r>
              <w:rPr>
                <w:sz w:val="18"/>
              </w:rPr>
              <w:t>Use existing zero-cost SQL Server if available.</w:t>
            </w:r>
          </w:p>
        </w:tc>
      </w:tr>
      <w:tr>
        <w:tc>
          <w:tcPr>
            <w:tcW w:type="dxa" w:w="2016"/>
            <w:tcMar>
              <w:top w:w="80" w:type="dxa"/>
              <w:start w:w="90" w:type="dxa"/>
              <w:bottom w:w="80" w:type="dxa"/>
              <w:end w:w="90" w:type="dxa"/>
            </w:tcMar>
            <w:vAlign w:val="top"/>
          </w:tcPr>
          <w:p>
            <w:r>
              <w:rPr>
                <w:sz w:val="18"/>
              </w:rPr>
              <w:t>Ingestion</w:t>
            </w:r>
          </w:p>
        </w:tc>
        <w:tc>
          <w:tcPr>
            <w:tcW w:type="dxa" w:w="5184"/>
            <w:tcMar>
              <w:top w:w="80" w:type="dxa"/>
              <w:start w:w="90" w:type="dxa"/>
              <w:bottom w:w="80" w:type="dxa"/>
              <w:end w:w="90" w:type="dxa"/>
            </w:tcMar>
            <w:vAlign w:val="top"/>
          </w:tcPr>
          <w:p>
            <w:r>
              <w:rPr>
                <w:sz w:val="18"/>
              </w:rPr>
              <w:t>Representative Excel imports with schema validation and parity.</w:t>
            </w:r>
          </w:p>
        </w:tc>
        <w:tc>
          <w:tcPr>
            <w:tcW w:type="dxa" w:w="3312"/>
            <w:tcMar>
              <w:top w:w="80" w:type="dxa"/>
              <w:start w:w="90" w:type="dxa"/>
              <w:bottom w:w="80" w:type="dxa"/>
              <w:end w:w="90" w:type="dxa"/>
            </w:tcMar>
            <w:vAlign w:val="top"/>
          </w:tcPr>
          <w:p>
            <w:r>
              <w:rPr>
                <w:sz w:val="18"/>
              </w:rPr>
              <w:t>Adjust parser/implementation before feature build.</w:t>
            </w:r>
          </w:p>
        </w:tc>
      </w:tr>
      <w:tr>
        <w:tc>
          <w:tcPr>
            <w:tcW w:type="dxa" w:w="2016"/>
            <w:tcMar>
              <w:top w:w="80" w:type="dxa"/>
              <w:start w:w="90" w:type="dxa"/>
              <w:bottom w:w="80" w:type="dxa"/>
              <w:end w:w="90" w:type="dxa"/>
            </w:tcMar>
            <w:vAlign w:val="top"/>
          </w:tcPr>
          <w:p>
            <w:r>
              <w:rPr>
                <w:sz w:val="18"/>
              </w:rPr>
              <w:t>API/query</w:t>
            </w:r>
          </w:p>
        </w:tc>
        <w:tc>
          <w:tcPr>
            <w:tcW w:type="dxa" w:w="5184"/>
            <w:tcMar>
              <w:top w:w="80" w:type="dxa"/>
              <w:start w:w="90" w:type="dxa"/>
              <w:bottom w:w="80" w:type="dxa"/>
              <w:end w:w="90" w:type="dxa"/>
            </w:tcMar>
            <w:vAlign w:val="top"/>
          </w:tcPr>
          <w:p>
            <w:r>
              <w:rPr>
                <w:sz w:val="18"/>
              </w:rPr>
              <w:t>Filtered/paged endpoint returns only required data acceptably.</w:t>
            </w:r>
          </w:p>
        </w:tc>
        <w:tc>
          <w:tcPr>
            <w:tcW w:type="dxa" w:w="3312"/>
            <w:tcMar>
              <w:top w:w="80" w:type="dxa"/>
              <w:start w:w="90" w:type="dxa"/>
              <w:bottom w:w="80" w:type="dxa"/>
              <w:end w:w="90" w:type="dxa"/>
            </w:tcMar>
            <w:vAlign w:val="top"/>
          </w:tcPr>
          <w:p>
            <w:r>
              <w:rPr>
                <w:sz w:val="18"/>
              </w:rPr>
              <w:t>Tune data model/index/query design.</w:t>
            </w:r>
          </w:p>
        </w:tc>
      </w:tr>
      <w:tr>
        <w:tc>
          <w:tcPr>
            <w:tcW w:type="dxa" w:w="2016"/>
            <w:tcMar>
              <w:top w:w="80" w:type="dxa"/>
              <w:start w:w="90" w:type="dxa"/>
              <w:bottom w:w="80" w:type="dxa"/>
              <w:end w:w="90" w:type="dxa"/>
            </w:tcMar>
            <w:vAlign w:val="top"/>
          </w:tcPr>
          <w:p>
            <w:r>
              <w:rPr>
                <w:sz w:val="18"/>
              </w:rPr>
              <w:t>Business rules</w:t>
            </w:r>
          </w:p>
        </w:tc>
        <w:tc>
          <w:tcPr>
            <w:tcW w:type="dxa" w:w="5184"/>
            <w:tcMar>
              <w:top w:w="80" w:type="dxa"/>
              <w:start w:w="90" w:type="dxa"/>
              <w:bottom w:w="80" w:type="dxa"/>
              <w:end w:w="90" w:type="dxa"/>
            </w:tcMar>
            <w:vAlign w:val="top"/>
          </w:tcPr>
          <w:p>
            <w:r>
              <w:rPr>
                <w:sz w:val="18"/>
              </w:rPr>
              <w:t>Reference dataset matches approved outcomes.</w:t>
            </w:r>
          </w:p>
        </w:tc>
        <w:tc>
          <w:tcPr>
            <w:tcW w:type="dxa" w:w="3312"/>
            <w:tcMar>
              <w:top w:w="80" w:type="dxa"/>
              <w:start w:w="90" w:type="dxa"/>
              <w:bottom w:w="80" w:type="dxa"/>
              <w:end w:w="90" w:type="dxa"/>
            </w:tcMar>
            <w:vAlign w:val="top"/>
          </w:tcPr>
          <w:p>
            <w:r>
              <w:rPr>
                <w:sz w:val="18"/>
              </w:rPr>
              <w:t>Resolve ambiguity before implementation.</w:t>
            </w:r>
          </w:p>
        </w:tc>
      </w:tr>
    </w:tbl>
    <w:p/>
    <w:p>
      <w:pPr>
        <w:pStyle w:val="Heading1"/>
      </w:pPr>
      <w:r>
        <w:t>7. SDD / GitHub Spec Kit Adoption</w:t>
      </w:r>
    </w:p>
    <w:p>
      <w:r>
        <w:t>This ADR is the bridge between discovery and SDD implementation. The architecture is not inserted into the feature specification prematurely. Spec Kit separates the product requirement from the technical plan.</w:t>
      </w:r>
    </w:p>
    <w:p>
      <w:pPr>
        <w:pStyle w:val="CodeFlow"/>
      </w:pPr>
      <w:r>
        <w:t>/speckit.constitution</w:t>
      </w:r>
    </w:p>
    <w:p>
      <w:pPr>
        <w:pStyle w:val="CodeFlow"/>
      </w:pPr>
      <w:r>
        <w:t xml:space="preserve">    -&gt; /speckit.specify</w:t>
      </w:r>
    </w:p>
    <w:p>
      <w:pPr>
        <w:pStyle w:val="CodeFlow"/>
      </w:pPr>
      <w:r>
        <w:t xml:space="preserve">    -&gt; /speckit.clarify</w:t>
      </w:r>
    </w:p>
    <w:p>
      <w:pPr>
        <w:pStyle w:val="CodeFlow"/>
      </w:pPr>
      <w:r>
        <w:t xml:space="preserve">    -&gt; /speckit.plan</w:t>
      </w:r>
    </w:p>
    <w:p>
      <w:pPr>
        <w:pStyle w:val="CodeFlow"/>
      </w:pPr>
      <w:r>
        <w:t xml:space="preserve">    -&gt; /speckit.checklist</w:t>
      </w:r>
    </w:p>
    <w:p>
      <w:pPr>
        <w:pStyle w:val="CodeFlow"/>
      </w:pPr>
      <w:r>
        <w:t xml:space="preserve">    -&gt; /speckit.tasks</w:t>
      </w:r>
    </w:p>
    <w:p>
      <w:pPr>
        <w:pStyle w:val="CodeFlow"/>
      </w:pPr>
      <w:r>
        <w:t xml:space="preserve">    -&gt; /speckit.analyze</w:t>
      </w:r>
    </w:p>
    <w:p>
      <w:pPr>
        <w:pStyle w:val="CodeFlow"/>
      </w:pPr>
      <w:r>
        <w:t xml:space="preserve">    -&gt; /speckit.implement</w:t>
      </w:r>
    </w:p>
    <w:p>
      <w:pPr>
        <w:pStyle w:val="CodeFlow"/>
      </w:pPr>
      <w:r>
        <w:t xml:space="preserve">    -&gt; /speckit.converge</w:t>
      </w:r>
    </w:p>
    <w:p>
      <w:pPr>
        <w:pStyle w:val="Heading2"/>
      </w:pPr>
      <w:r>
        <w:t>7.1 Constitution principles</w:t>
      </w:r>
    </w:p>
    <w:p>
      <w:pPr>
        <w:pStyle w:val="ListBullet"/>
        <w:spacing w:after="40"/>
      </w:pPr>
      <w:r>
        <w:t>Zero incremental infrastructure/service cost for V1.</w:t>
      </w:r>
    </w:p>
    <w:p>
      <w:pPr>
        <w:pStyle w:val="ListBullet"/>
        <w:spacing w:after="40"/>
      </w:pPr>
      <w:r>
        <w:t>Dynamic retrieval: do not send the full historical dataset when a subset is requested.</w:t>
      </w:r>
    </w:p>
    <w:p>
      <w:pPr>
        <w:pStyle w:val="ListBullet"/>
        <w:spacing w:after="40"/>
      </w:pPr>
      <w:r>
        <w:t>Server-side security: UI filtering is not authorization.</w:t>
      </w:r>
    </w:p>
    <w:p>
      <w:pPr>
        <w:pStyle w:val="ListBullet"/>
        <w:spacing w:after="40"/>
      </w:pPr>
      <w:r>
        <w:t>Preserve approved business rules unless a change is explicit.</w:t>
      </w:r>
    </w:p>
    <w:p>
      <w:pPr>
        <w:pStyle w:val="ListBullet"/>
        <w:spacing w:after="40"/>
      </w:pPr>
      <w:r>
        <w:t>Separate ingestion, persistence, application logic, and UI.</w:t>
      </w:r>
    </w:p>
    <w:p>
      <w:pPr>
        <w:pStyle w:val="ListBullet"/>
        <w:spacing w:after="40"/>
      </w:pPr>
      <w:r>
        <w:t>Automated business-rule parity tests are mandatory.</w:t>
      </w:r>
    </w:p>
    <w:p>
      <w:pPr>
        <w:pStyle w:val="ListBullet"/>
        <w:spacing w:after="40"/>
      </w:pPr>
      <w:r>
        <w:t>Invalid imports must not replace last-known-good data.</w:t>
      </w:r>
    </w:p>
    <w:p>
      <w:pPr>
        <w:pStyle w:val="ListBullet"/>
        <w:spacing w:after="40"/>
      </w:pPr>
      <w:r>
        <w:t>Avoid unnecessary database-provider-specific coupling.</w:t>
      </w:r>
    </w:p>
    <w:p>
      <w:pPr>
        <w:pStyle w:val="Heading2"/>
      </w:pPr>
      <w:r>
        <w:t>7.2 Specify vs Plan</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592"/>
            <w:shd w:fill="D9EAF7"/>
            <w:tcMar>
              <w:top w:w="80" w:type="dxa"/>
              <w:start w:w="90" w:type="dxa"/>
              <w:bottom w:w="80" w:type="dxa"/>
              <w:end w:w="90" w:type="dxa"/>
            </w:tcMar>
          </w:tcPr>
          <w:p>
            <w:pPr>
              <w:jc w:val="center"/>
            </w:pPr>
            <w:r>
              <w:rPr>
                <w:b/>
                <w:color w:val="1F4E79"/>
                <w:sz w:val="18"/>
              </w:rPr>
              <w:t>Artifact</w:t>
            </w:r>
          </w:p>
        </w:tc>
        <w:tc>
          <w:tcPr>
            <w:tcW w:type="dxa" w:w="7488"/>
            <w:shd w:fill="D9EAF7"/>
            <w:tcMar>
              <w:top w:w="80" w:type="dxa"/>
              <w:start w:w="90" w:type="dxa"/>
              <w:bottom w:w="80" w:type="dxa"/>
              <w:end w:w="90" w:type="dxa"/>
            </w:tcMar>
          </w:tcPr>
          <w:p>
            <w:pPr>
              <w:jc w:val="center"/>
            </w:pPr>
            <w:r>
              <w:rPr>
                <w:b/>
                <w:color w:val="1F4E79"/>
                <w:sz w:val="18"/>
              </w:rPr>
              <w:t>Contains</w:t>
            </w:r>
          </w:p>
        </w:tc>
      </w:tr>
      <w:tr>
        <w:tc>
          <w:tcPr>
            <w:tcW w:type="dxa" w:w="2592"/>
            <w:tcMar>
              <w:top w:w="80" w:type="dxa"/>
              <w:start w:w="90" w:type="dxa"/>
              <w:bottom w:w="80" w:type="dxa"/>
              <w:end w:w="90" w:type="dxa"/>
            </w:tcMar>
            <w:vAlign w:val="top"/>
          </w:tcPr>
          <w:p>
            <w:r>
              <w:rPr>
                <w:sz w:val="18"/>
              </w:rPr>
              <w:t>/speckit.specify</w:t>
            </w:r>
          </w:p>
        </w:tc>
        <w:tc>
          <w:tcPr>
            <w:tcW w:type="dxa" w:w="7488"/>
            <w:tcMar>
              <w:top w:w="80" w:type="dxa"/>
              <w:start w:w="90" w:type="dxa"/>
              <w:bottom w:w="80" w:type="dxa"/>
              <w:end w:w="90" w:type="dxa"/>
            </w:tcMar>
            <w:vAlign w:val="top"/>
          </w:tcPr>
          <w:p>
            <w:r>
              <w:rPr>
                <w:sz w:val="18"/>
              </w:rPr>
              <w:t>What users need and why; six initiatives, progress/metrics/detail behavior, filtering/search/paging outcomes, access outcomes, zero-cost constraint, acceptance criteria.</w:t>
            </w:r>
          </w:p>
        </w:tc>
      </w:tr>
      <w:tr>
        <w:tc>
          <w:tcPr>
            <w:tcW w:type="dxa" w:w="2592"/>
            <w:tcMar>
              <w:top w:w="80" w:type="dxa"/>
              <w:start w:w="90" w:type="dxa"/>
              <w:bottom w:w="80" w:type="dxa"/>
              <w:end w:w="90" w:type="dxa"/>
            </w:tcMar>
            <w:vAlign w:val="top"/>
          </w:tcPr>
          <w:p>
            <w:r>
              <w:rPr>
                <w:sz w:val="18"/>
              </w:rPr>
              <w:t>/speckit.clarify</w:t>
            </w:r>
          </w:p>
        </w:tc>
        <w:tc>
          <w:tcPr>
            <w:tcW w:type="dxa" w:w="7488"/>
            <w:tcMar>
              <w:top w:w="80" w:type="dxa"/>
              <w:start w:w="90" w:type="dxa"/>
              <w:bottom w:w="80" w:type="dxa"/>
              <w:end w:w="90" w:type="dxa"/>
            </w:tcMar>
            <w:vAlign w:val="top"/>
          </w:tcPr>
          <w:p>
            <w:r>
              <w:rPr>
                <w:sz w:val="18"/>
              </w:rPr>
              <w:t>Pre=0 rule, access scope, parity expectations, invalid workbook behavior, ambiguous calculations.</w:t>
            </w:r>
          </w:p>
        </w:tc>
      </w:tr>
      <w:tr>
        <w:tc>
          <w:tcPr>
            <w:tcW w:type="dxa" w:w="2592"/>
            <w:tcMar>
              <w:top w:w="80" w:type="dxa"/>
              <w:start w:w="90" w:type="dxa"/>
              <w:bottom w:w="80" w:type="dxa"/>
              <w:end w:w="90" w:type="dxa"/>
            </w:tcMar>
            <w:vAlign w:val="top"/>
          </w:tcPr>
          <w:p>
            <w:r>
              <w:rPr>
                <w:sz w:val="18"/>
              </w:rPr>
              <w:t>/speckit.plan</w:t>
            </w:r>
          </w:p>
        </w:tc>
        <w:tc>
          <w:tcPr>
            <w:tcW w:type="dxa" w:w="7488"/>
            <w:tcMar>
              <w:top w:w="80" w:type="dxa"/>
              <w:start w:w="90" w:type="dxa"/>
              <w:bottom w:w="80" w:type="dxa"/>
              <w:end w:w="90" w:type="dxa"/>
            </w:tcMar>
            <w:vAlign w:val="top"/>
          </w:tcPr>
          <w:p>
            <w:r>
              <w:rPr>
                <w:sz w:val="18"/>
              </w:rPr>
              <w:t>React, ASP.NET Core, IIS, EF Core persistence boundary, SQLite V1/provider portability, ingestion architecture, auth, logging, backup, deployment, rollback.</w:t>
            </w:r>
          </w:p>
        </w:tc>
      </w:tr>
    </w:tbl>
    <w:p/>
    <w:p>
      <w:pPr>
        <w:pStyle w:val="Heading1"/>
      </w:pPr>
      <w:r>
        <w:t>8. Implementation Sequence</w:t>
      </w:r>
    </w:p>
    <w:p>
      <w:pPr>
        <w:pStyle w:val="ListNumber"/>
        <w:spacing w:after="40"/>
      </w:pPr>
      <w:r>
        <w:t>Finalize corrected discovery baseline.</w:t>
      </w:r>
    </w:p>
    <w:p>
      <w:pPr>
        <w:pStyle w:val="ListNumber"/>
        <w:spacing w:after="40"/>
      </w:pPr>
      <w:r>
        <w:t>Run the five feasibility spikes: IIS, authentication if required, SQLite, ingestion, filtered/paged API.</w:t>
      </w:r>
    </w:p>
    <w:p>
      <w:pPr>
        <w:pStyle w:val="ListNumber"/>
        <w:spacing w:after="40"/>
      </w:pPr>
      <w:r>
        <w:t>Update ADR status to Accepted or record a superseding decision if a major assumption fails.</w:t>
      </w:r>
    </w:p>
    <w:p>
      <w:pPr>
        <w:pStyle w:val="ListNumber"/>
        <w:spacing w:after="40"/>
      </w:pPr>
      <w:r>
        <w:t>Initialize Spec Kit and create the constitution.</w:t>
      </w:r>
    </w:p>
    <w:p>
      <w:pPr>
        <w:pStyle w:val="ListNumber"/>
        <w:spacing w:after="40"/>
      </w:pPr>
      <w:r>
        <w:t>Specify and clarify the first bounded dynamic-dashboard feature.</w:t>
      </w:r>
    </w:p>
    <w:p>
      <w:pPr>
        <w:pStyle w:val="ListNumber"/>
        <w:spacing w:after="40"/>
      </w:pPr>
      <w:r>
        <w:t>Create the technical plan using this ADR.</w:t>
      </w:r>
    </w:p>
    <w:p>
      <w:pPr>
        <w:pStyle w:val="ListNumber"/>
        <w:spacing w:after="40"/>
      </w:pPr>
      <w:r>
        <w:t>Generate tasks, analyze consistency, implement incrementally, and converge.</w:t>
      </w:r>
    </w:p>
    <w:p>
      <w:pPr>
        <w:pStyle w:val="ListNumber"/>
        <w:spacing w:after="40"/>
      </w:pPr>
      <w:r>
        <w:t>Run the new and existing dashboards in parallel and validate parity.</w:t>
      </w:r>
    </w:p>
    <w:p>
      <w:pPr>
        <w:pStyle w:val="ListNumber"/>
        <w:spacing w:after="40"/>
      </w:pPr>
      <w:r>
        <w:t>Cut over after functional/operational acceptance.</w:t>
      </w:r>
    </w:p>
    <w:p>
      <w:pPr>
        <w:pStyle w:val="ListNumber"/>
        <w:spacing w:after="40"/>
      </w:pPr>
      <w:r>
        <w:t>Implement SharePoint automation and other deferred enhancements afterwards.</w:t>
      </w:r>
    </w:p>
    <w:p>
      <w:pPr>
        <w:pStyle w:val="Heading1"/>
      </w:pPr>
      <w:r>
        <w:t>9. Deferred Follow-On Scope</w:t>
      </w:r>
    </w:p>
    <w:p>
      <w:pPr>
        <w:pStyle w:val="ListBullet"/>
        <w:spacing w:after="40"/>
      </w:pPr>
      <w:r>
        <w:t>Automated SharePoint retrieval using approved Microsoft Graph / SharePoint access.</w:t>
      </w:r>
    </w:p>
    <w:p>
      <w:pPr>
        <w:pStyle w:val="ListBullet"/>
        <w:spacing w:after="40"/>
      </w:pPr>
      <w:r>
        <w:t>Scheduled ingestion.</w:t>
      </w:r>
    </w:p>
    <w:p>
      <w:pPr>
        <w:pStyle w:val="ListBullet"/>
        <w:spacing w:after="40"/>
      </w:pPr>
      <w:r>
        <w:t>Saved filters/views.</w:t>
      </w:r>
    </w:p>
    <w:p>
      <w:pPr>
        <w:pStyle w:val="ListBullet"/>
        <w:spacing w:after="40"/>
      </w:pPr>
      <w:r>
        <w:t>ADO/work-item drill-through.</w:t>
      </w:r>
    </w:p>
    <w:p>
      <w:pPr>
        <w:pStyle w:val="ListBullet"/>
        <w:spacing w:after="40"/>
      </w:pPr>
      <w:r>
        <w:t>Additional authorization scopes if not part of MVP.</w:t>
      </w:r>
    </w:p>
    <w:p>
      <w:pPr>
        <w:pStyle w:val="ListBullet"/>
        <w:spacing w:after="40"/>
      </w:pPr>
      <w:r>
        <w:t>Additional operational monitoring/audit as required.</w:t>
      </w:r>
    </w:p>
    <w:p>
      <w:pPr>
        <w:pStyle w:val="Heading1"/>
      </w:pPr>
      <w:r>
        <w:t>10. References</w:t>
      </w:r>
    </w:p>
    <w:p>
      <w:pPr>
        <w:spacing w:after="0"/>
      </w:pPr>
      <w:r>
        <w:rPr>
          <w:sz w:val="16"/>
        </w:rPr>
        <w:t>GitHub Spec Kit: https://github.com/github/spec-kit</w:t>
        <w:br/>
      </w:r>
      <w:r>
        <w:rPr>
          <w:sz w:val="16"/>
        </w:rPr>
        <w:t>ASP.NET Core on IIS: https://learn.microsoft.com/en-us/aspnet/core/host-and-deploy/iis/</w:t>
        <w:br/>
      </w:r>
      <w:r>
        <w:rPr>
          <w:sz w:val="16"/>
        </w:rPr>
        <w:t>Windows Authentication: https://learn.microsoft.com/en-us/aspnet/core/security/authentication/windowsauth</w:t>
        <w:br/>
      </w:r>
      <w:r>
        <w:rPr>
          <w:sz w:val="16"/>
        </w:rPr>
        <w:t>EF Core SQLite provider: https://learn.microsoft.com/en-us/ef/core/providers/sqlite/</w:t>
        <w:br/>
      </w:r>
      <w:r>
        <w:rPr>
          <w:sz w:val="16"/>
        </w:rPr>
        <w:t>EF Core SQLite limitations: https://learn.microsoft.com/en-us/ef/core/providers/sqlite/limitations</w:t>
        <w:br/>
      </w:r>
      <w:r>
        <w:rPr>
          <w:sz w:val="16"/>
        </w:rPr>
        <w:t>SQLite appropriate uses: https://www.sqlite.org/whentouse.html</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46464"/>
        <w:sz w:val="16"/>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646464"/>
        <w:sz w:val="16"/>
      </w:rPr>
      <w:t>RLLOT Production Rollout Dashboard | ADR-001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549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2D2D2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Flow">
    <w:name w:val="CodeFlow"/>
    <w:pPr>
      <w:spacing w:after="20"/>
      <w:ind w:left="288"/>
    </w:pPr>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