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89F4C" w14:textId="274BAEDD" w:rsidR="00A158E0" w:rsidRPr="0096535A" w:rsidRDefault="003D027B" w:rsidP="003D027B">
      <w:pPr>
        <w:jc w:val="center"/>
        <w:rPr>
          <w:rFonts w:ascii="Times New Roman" w:hAnsi="Times New Roman" w:cs="Times New Roman"/>
          <w:b/>
          <w:bCs/>
          <w:sz w:val="32"/>
          <w:szCs w:val="36"/>
        </w:rPr>
      </w:pPr>
      <w:r w:rsidRPr="0096535A">
        <w:rPr>
          <w:rFonts w:ascii="Times New Roman" w:hAnsi="Times New Roman" w:cs="Times New Roman" w:hint="eastAsia"/>
          <w:b/>
          <w:bCs/>
          <w:sz w:val="32"/>
          <w:szCs w:val="36"/>
        </w:rPr>
        <w:t>Proposal for STATS 506 Final Project</w:t>
      </w:r>
    </w:p>
    <w:p w14:paraId="11B2D467" w14:textId="77777777" w:rsidR="0096535A" w:rsidRPr="0096535A" w:rsidRDefault="0096535A" w:rsidP="0096535A">
      <w:pPr>
        <w:jc w:val="left"/>
        <w:rPr>
          <w:rFonts w:ascii="Times New Roman" w:hAnsi="Times New Roman" w:cs="Times New Roman"/>
          <w:b/>
          <w:bCs/>
          <w:sz w:val="28"/>
          <w:szCs w:val="32"/>
        </w:rPr>
      </w:pPr>
      <w:r w:rsidRPr="0096535A">
        <w:rPr>
          <w:rFonts w:ascii="Times New Roman" w:hAnsi="Times New Roman" w:cs="Times New Roman"/>
          <w:b/>
          <w:bCs/>
          <w:sz w:val="28"/>
          <w:szCs w:val="32"/>
        </w:rPr>
        <w:t>Objective:</w:t>
      </w:r>
    </w:p>
    <w:p w14:paraId="3B8A5BEE" w14:textId="73C17211" w:rsidR="0096535A" w:rsidRPr="0096535A" w:rsidRDefault="0096535A" w:rsidP="0096535A">
      <w:pPr>
        <w:jc w:val="left"/>
        <w:rPr>
          <w:rFonts w:ascii="Times New Roman" w:hAnsi="Times New Roman" w:cs="Times New Roman" w:hint="eastAsia"/>
          <w:sz w:val="28"/>
          <w:szCs w:val="32"/>
        </w:rPr>
      </w:pPr>
      <w:r w:rsidRPr="0096535A">
        <w:rPr>
          <w:rFonts w:ascii="Times New Roman" w:hAnsi="Times New Roman" w:cs="Times New Roman"/>
          <w:sz w:val="28"/>
          <w:szCs w:val="32"/>
        </w:rPr>
        <w:t>The aim of this study is to investigate the distribution of diseases across different districts in relation to zip codes, examining clinical capacity, economic factors, and disease types. Specifically, we aim to measure how district-level characteristics impact the prevalence of poverty-related and non-poverty-related diseases and whether these associations vary by location.</w:t>
      </w:r>
    </w:p>
    <w:p w14:paraId="45F58B52" w14:textId="77777777" w:rsidR="0096535A" w:rsidRPr="0096535A" w:rsidRDefault="0096535A" w:rsidP="0096535A">
      <w:pPr>
        <w:jc w:val="left"/>
        <w:rPr>
          <w:rFonts w:ascii="Times New Roman" w:hAnsi="Times New Roman" w:cs="Times New Roman"/>
          <w:b/>
          <w:bCs/>
          <w:sz w:val="28"/>
          <w:szCs w:val="32"/>
        </w:rPr>
      </w:pPr>
      <w:r w:rsidRPr="0096535A">
        <w:rPr>
          <w:rFonts w:ascii="Times New Roman" w:hAnsi="Times New Roman" w:cs="Times New Roman"/>
          <w:b/>
          <w:bCs/>
          <w:sz w:val="28"/>
          <w:szCs w:val="32"/>
        </w:rPr>
        <w:t>Methodology:</w:t>
      </w:r>
    </w:p>
    <w:p w14:paraId="53F4FABC" w14:textId="40CDEC16" w:rsidR="0096535A" w:rsidRPr="0096535A" w:rsidRDefault="0096535A" w:rsidP="0096535A">
      <w:pPr>
        <w:jc w:val="left"/>
        <w:rPr>
          <w:rFonts w:ascii="Times New Roman" w:hAnsi="Times New Roman" w:cs="Times New Roman"/>
          <w:sz w:val="28"/>
          <w:szCs w:val="32"/>
        </w:rPr>
      </w:pPr>
      <w:r w:rsidRPr="0096535A">
        <w:rPr>
          <w:rFonts w:ascii="Times New Roman" w:hAnsi="Times New Roman" w:cs="Times New Roman"/>
          <w:sz w:val="28"/>
          <w:szCs w:val="32"/>
        </w:rPr>
        <w:t>To assess clinical capacity in each district, we will analyze a range of healthcare and facility-related indicators, including:</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Number of Hospice Beds (indicator of long-term care facility characteristics)</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Number of Hospitals</w:t>
      </w:r>
    </w:p>
    <w:p w14:paraId="526B6F7A" w14:textId="7F5443D9" w:rsidR="0096535A" w:rsidRPr="0096535A" w:rsidRDefault="0096535A" w:rsidP="0096535A">
      <w:pPr>
        <w:jc w:val="left"/>
        <w:rPr>
          <w:rFonts w:ascii="Times New Roman" w:hAnsi="Times New Roman" w:cs="Times New Roman" w:hint="eastAsia"/>
          <w:sz w:val="28"/>
          <w:szCs w:val="32"/>
        </w:rPr>
      </w:pPr>
      <w:r w:rsidRPr="0096535A">
        <w:rPr>
          <w:rFonts w:ascii="Times New Roman" w:hAnsi="Times New Roman" w:cs="Times New Roman"/>
          <w:sz w:val="28"/>
          <w:szCs w:val="32"/>
        </w:rPr>
        <w:t>Skilled Nursing Facilities (utilizing Skilled Nursing Facility Change of Ownership - Owner Information data)</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These variables will help gauge the healthcare resources and long-term care capabilities available within each zip code.</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In addition to these healthcare indicators, we will include economic variables to control for potential endogeneity and year variables to account for fixed effects, ensuring that temporal factors and economic conditions influencing healthcare are addressed.</w:t>
      </w:r>
    </w:p>
    <w:p w14:paraId="7EA078D4" w14:textId="77777777" w:rsidR="0096535A" w:rsidRPr="0096535A" w:rsidRDefault="0096535A" w:rsidP="0096535A">
      <w:pPr>
        <w:jc w:val="left"/>
        <w:rPr>
          <w:rFonts w:ascii="Times New Roman" w:hAnsi="Times New Roman" w:cs="Times New Roman"/>
          <w:b/>
          <w:bCs/>
          <w:sz w:val="28"/>
          <w:szCs w:val="32"/>
        </w:rPr>
      </w:pPr>
      <w:r w:rsidRPr="0096535A">
        <w:rPr>
          <w:rFonts w:ascii="Times New Roman" w:hAnsi="Times New Roman" w:cs="Times New Roman"/>
          <w:b/>
          <w:bCs/>
          <w:sz w:val="28"/>
          <w:szCs w:val="32"/>
        </w:rPr>
        <w:t>Disease Focus:</w:t>
      </w:r>
    </w:p>
    <w:p w14:paraId="6D48513A" w14:textId="77777777" w:rsidR="0096535A" w:rsidRPr="0096535A" w:rsidRDefault="0096535A" w:rsidP="0096535A">
      <w:pPr>
        <w:jc w:val="left"/>
        <w:rPr>
          <w:rFonts w:ascii="Times New Roman" w:hAnsi="Times New Roman" w:cs="Times New Roman"/>
          <w:sz w:val="28"/>
          <w:szCs w:val="32"/>
        </w:rPr>
      </w:pPr>
      <w:r w:rsidRPr="0096535A">
        <w:rPr>
          <w:rFonts w:ascii="Times New Roman" w:hAnsi="Times New Roman" w:cs="Times New Roman"/>
          <w:sz w:val="28"/>
          <w:szCs w:val="32"/>
        </w:rPr>
        <w:t>We will compare the distribution of two primary types of diseases:</w:t>
      </w:r>
    </w:p>
    <w:p w14:paraId="45F61078" w14:textId="79FFBC4A" w:rsidR="0096535A" w:rsidRPr="0096535A" w:rsidRDefault="0096535A" w:rsidP="0096535A">
      <w:pPr>
        <w:jc w:val="left"/>
        <w:rPr>
          <w:rFonts w:ascii="Times New Roman" w:hAnsi="Times New Roman" w:cs="Times New Roman"/>
          <w:sz w:val="28"/>
          <w:szCs w:val="32"/>
        </w:rPr>
      </w:pPr>
      <w:r w:rsidRPr="0096535A">
        <w:rPr>
          <w:rFonts w:ascii="Times New Roman" w:hAnsi="Times New Roman" w:cs="Times New Roman"/>
          <w:sz w:val="28"/>
          <w:szCs w:val="32"/>
        </w:rPr>
        <w:t>Poverty-Related Diseases (e.g., malnutrition), which are often influenced by socioeconomic factors.</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 xml:space="preserve">Non-Poverty-Related Diseases (e.g., End-Stage Renal </w:t>
      </w:r>
      <w:r w:rsidRPr="0096535A">
        <w:rPr>
          <w:rFonts w:ascii="Times New Roman" w:hAnsi="Times New Roman" w:cs="Times New Roman"/>
          <w:sz w:val="28"/>
          <w:szCs w:val="32"/>
        </w:rPr>
        <w:lastRenderedPageBreak/>
        <w:t>Disease), which may be less directly impacted by poverty but are still relevant to assess in terms of healthcare resource allocation.</w:t>
      </w:r>
      <w:r>
        <w:rPr>
          <w:rFonts w:ascii="Times New Roman" w:hAnsi="Times New Roman" w:cs="Times New Roman" w:hint="eastAsia"/>
          <w:sz w:val="28"/>
          <w:szCs w:val="32"/>
        </w:rPr>
        <w:t xml:space="preserve"> </w:t>
      </w:r>
      <w:r w:rsidRPr="0096535A">
        <w:rPr>
          <w:rFonts w:ascii="Times New Roman" w:hAnsi="Times New Roman" w:cs="Times New Roman"/>
          <w:sz w:val="28"/>
          <w:szCs w:val="32"/>
        </w:rPr>
        <w:t>The study will also consider differences in drug usage patterns across districts, specifically examining Medicare Part D Opioid Prescribing Rates to determine if opioid prescribing practices vary significantly across zip codes.</w:t>
      </w:r>
    </w:p>
    <w:p w14:paraId="13C8A448" w14:textId="77777777" w:rsidR="0096535A" w:rsidRPr="0096535A" w:rsidRDefault="0096535A" w:rsidP="0096535A">
      <w:pPr>
        <w:jc w:val="left"/>
        <w:rPr>
          <w:rFonts w:ascii="Times New Roman" w:hAnsi="Times New Roman" w:cs="Times New Roman"/>
          <w:b/>
          <w:bCs/>
          <w:sz w:val="28"/>
          <w:szCs w:val="32"/>
        </w:rPr>
      </w:pPr>
      <w:r w:rsidRPr="0096535A">
        <w:rPr>
          <w:rFonts w:ascii="Times New Roman" w:hAnsi="Times New Roman" w:cs="Times New Roman"/>
          <w:b/>
          <w:bCs/>
          <w:sz w:val="28"/>
          <w:szCs w:val="32"/>
        </w:rPr>
        <w:t>Expected Outcomes:</w:t>
      </w:r>
    </w:p>
    <w:p w14:paraId="58D55A8A" w14:textId="13530A5E" w:rsidR="003D027B" w:rsidRPr="0041010E" w:rsidRDefault="0096535A" w:rsidP="0096535A">
      <w:pPr>
        <w:jc w:val="left"/>
        <w:rPr>
          <w:rFonts w:ascii="Times New Roman" w:hAnsi="Times New Roman" w:cs="Times New Roman" w:hint="eastAsia"/>
          <w:sz w:val="28"/>
          <w:szCs w:val="32"/>
        </w:rPr>
      </w:pPr>
      <w:r w:rsidRPr="0096535A">
        <w:rPr>
          <w:rFonts w:ascii="Times New Roman" w:hAnsi="Times New Roman" w:cs="Times New Roman"/>
          <w:sz w:val="28"/>
          <w:szCs w:val="32"/>
        </w:rPr>
        <w:t>By analyzing these variables, this study seeks to uncover how geographic and socioeconomic factors impact disease distribution and healthcare service allocation. Additionally, we aim to determine if poverty-related diseases and drug usage rates are significantly influenced by district characteristics, providing valuable insights into the equitable distribution of healthcare resources.</w:t>
      </w:r>
    </w:p>
    <w:sectPr w:rsidR="003D027B" w:rsidRPr="0041010E">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FB"/>
    <w:rsid w:val="00031AFB"/>
    <w:rsid w:val="0006590B"/>
    <w:rsid w:val="000727B7"/>
    <w:rsid w:val="003D027B"/>
    <w:rsid w:val="0041010E"/>
    <w:rsid w:val="007F1605"/>
    <w:rsid w:val="0096535A"/>
    <w:rsid w:val="00A158E0"/>
    <w:rsid w:val="00E209C4"/>
    <w:rsid w:val="00F575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4D92E"/>
  <w15:chartTrackingRefBased/>
  <w15:docId w15:val="{925FAF81-998D-4ED4-A56B-F34CE2700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1010E"/>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010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218414">
      <w:bodyDiv w:val="1"/>
      <w:marLeft w:val="0"/>
      <w:marRight w:val="0"/>
      <w:marTop w:val="0"/>
      <w:marBottom w:val="0"/>
      <w:divBdr>
        <w:top w:val="none" w:sz="0" w:space="0" w:color="auto"/>
        <w:left w:val="none" w:sz="0" w:space="0" w:color="auto"/>
        <w:bottom w:val="none" w:sz="0" w:space="0" w:color="auto"/>
        <w:right w:val="none" w:sz="0" w:space="0" w:color="auto"/>
      </w:divBdr>
    </w:div>
    <w:div w:id="1928418426">
      <w:bodyDiv w:val="1"/>
      <w:marLeft w:val="0"/>
      <w:marRight w:val="0"/>
      <w:marTop w:val="0"/>
      <w:marBottom w:val="0"/>
      <w:divBdr>
        <w:top w:val="none" w:sz="0" w:space="0" w:color="auto"/>
        <w:left w:val="none" w:sz="0" w:space="0" w:color="auto"/>
        <w:bottom w:val="none" w:sz="0" w:space="0" w:color="auto"/>
        <w:right w:val="none" w:sz="0" w:space="0" w:color="auto"/>
      </w:divBdr>
    </w:div>
    <w:div w:id="1991251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322</Words>
  <Characters>1836</Characters>
  <Application>Microsoft Office Word</Application>
  <DocSecurity>0</DocSecurity>
  <Lines>15</Lines>
  <Paragraphs>4</Paragraphs>
  <ScaleCrop>false</ScaleCrop>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hanyu ma</dc:creator>
  <cp:keywords/>
  <dc:description/>
  <cp:lastModifiedBy>hanyu ma</cp:lastModifiedBy>
  <cp:revision>3</cp:revision>
  <cp:lastPrinted>2024-11-07T06:25:00Z</cp:lastPrinted>
  <dcterms:created xsi:type="dcterms:W3CDTF">2024-11-07T04:54:00Z</dcterms:created>
  <dcterms:modified xsi:type="dcterms:W3CDTF">2024-11-07T06:26:00Z</dcterms:modified>
</cp:coreProperties>
</file>