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rFonts w:hint="default" w:ascii="Times New Roman" w:hAnsi="Times New Roman" w:cs="Times New Roman"/>
          <w:b/>
          <w:sz w:val="24"/>
          <w:szCs w:val="24"/>
        </w:rPr>
      </w:pPr>
      <w:r>
        <w:rPr>
          <w:rFonts w:hint="default" w:ascii="Times New Roman" w:hAnsi="Times New Roman" w:cs="Times New Roman"/>
          <w:b/>
          <w:sz w:val="24"/>
          <w:szCs w:val="24"/>
        </w:rPr>
        <w:t>Project Design Phase</w:t>
      </w:r>
    </w:p>
    <w:p w14:paraId="0E538A2F">
      <w:pPr>
        <w:spacing w:after="0"/>
        <w:jc w:val="center"/>
        <w:rPr>
          <w:rFonts w:hint="default" w:ascii="Times New Roman" w:hAnsi="Times New Roman" w:cs="Times New Roman"/>
          <w:b/>
          <w:sz w:val="24"/>
          <w:szCs w:val="24"/>
        </w:rPr>
      </w:pPr>
      <w:r>
        <w:rPr>
          <w:rFonts w:hint="default" w:ascii="Times New Roman" w:hAnsi="Times New Roman" w:cs="Times New Roman"/>
          <w:b/>
          <w:sz w:val="24"/>
          <w:szCs w:val="24"/>
        </w:rPr>
        <w:t>Proposed Solution Template</w:t>
      </w:r>
    </w:p>
    <w:p w14:paraId="35E8E725">
      <w:pPr>
        <w:spacing w:after="0"/>
        <w:jc w:val="center"/>
        <w:rPr>
          <w:rFonts w:hint="default" w:ascii="Times New Roman" w:hAnsi="Times New Roman" w:cs="Times New Roman"/>
          <w:b/>
        </w:rPr>
      </w:pPr>
    </w:p>
    <w:tbl>
      <w:tblPr>
        <w:tblStyle w:val="17"/>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rPr>
                <w:rFonts w:hint="default" w:ascii="Times New Roman" w:hAnsi="Times New Roman" w:cs="Times New Roman"/>
              </w:rPr>
            </w:pPr>
            <w:r>
              <w:rPr>
                <w:rFonts w:hint="default" w:ascii="Times New Roman" w:hAnsi="Times New Roman" w:cs="Times New Roman"/>
              </w:rPr>
              <w:t>Date</w:t>
            </w:r>
          </w:p>
        </w:tc>
        <w:tc>
          <w:tcPr>
            <w:tcW w:w="4335" w:type="dxa"/>
          </w:tcPr>
          <w:p w14:paraId="49DC5AF5">
            <w:pPr>
              <w:spacing w:after="0" w:line="240" w:lineRule="auto"/>
              <w:rPr>
                <w:rFonts w:hint="default" w:ascii="Times New Roman" w:hAnsi="Times New Roman" w:cs="Times New Roman"/>
                <w:lang w:val="en-IN"/>
              </w:rPr>
            </w:pPr>
            <w:r>
              <w:rPr>
                <w:rFonts w:hint="default" w:ascii="Times New Roman" w:hAnsi="Times New Roman" w:cs="Times New Roman"/>
                <w:lang w:val="en-IN"/>
              </w:rPr>
              <w:t>28 Feb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rPr>
                <w:rFonts w:hint="default" w:ascii="Times New Roman" w:hAnsi="Times New Roman" w:cs="Times New Roman"/>
              </w:rPr>
            </w:pPr>
            <w:r>
              <w:rPr>
                <w:rFonts w:hint="default" w:ascii="Times New Roman" w:hAnsi="Times New Roman" w:cs="Times New Roman"/>
              </w:rPr>
              <w:t>Team ID</w:t>
            </w:r>
          </w:p>
        </w:tc>
        <w:tc>
          <w:tcPr>
            <w:tcW w:w="4335" w:type="dxa"/>
          </w:tcPr>
          <w:p w14:paraId="1AD8634F">
            <w:pPr>
              <w:spacing w:after="0" w:line="240" w:lineRule="auto"/>
              <w:rPr>
                <w:rFonts w:hint="default" w:ascii="Times New Roman" w:hAnsi="Times New Roman" w:cs="Times New Roman"/>
              </w:rPr>
            </w:pPr>
            <w:r>
              <w:rPr>
                <w:rFonts w:hint="default" w:ascii="Times New Roman" w:hAnsi="Times New Roman" w:eastAsia="SimSun" w:cs="Times New Roman"/>
                <w:i w:val="0"/>
                <w:iCs w:val="0"/>
                <w:caps w:val="0"/>
                <w:color w:val="222222"/>
                <w:spacing w:val="0"/>
                <w:sz w:val="22"/>
                <w:szCs w:val="22"/>
                <w:shd w:val="clear" w:fill="FFFFFF"/>
              </w:rPr>
              <w:t>LTVIP2026TMIDS45591</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rPr>
                <w:rFonts w:hint="default" w:ascii="Times New Roman" w:hAnsi="Times New Roman" w:cs="Times New Roman"/>
              </w:rPr>
            </w:pPr>
            <w:r>
              <w:rPr>
                <w:rFonts w:hint="default" w:ascii="Times New Roman" w:hAnsi="Times New Roman" w:cs="Times New Roman"/>
              </w:rPr>
              <w:t>Project Name</w:t>
            </w:r>
          </w:p>
        </w:tc>
        <w:tc>
          <w:tcPr>
            <w:tcW w:w="4335" w:type="dxa"/>
          </w:tcPr>
          <w:p w14:paraId="56EAF34F">
            <w:pPr>
              <w:spacing w:after="0" w:line="240" w:lineRule="auto"/>
              <w:rPr>
                <w:rFonts w:hint="default" w:ascii="Times New Roman" w:hAnsi="Times New Roman" w:cs="Times New Roman"/>
                <w:sz w:val="22"/>
                <w:szCs w:val="22"/>
              </w:rPr>
            </w:pPr>
            <w:r>
              <w:rPr>
                <w:rFonts w:hint="default" w:ascii="Times New Roman" w:hAnsi="Times New Roman" w:eastAsia="sans-serif" w:cs="Times New Roman"/>
                <w:i w:val="0"/>
                <w:iCs w:val="0"/>
                <w:caps w:val="0"/>
                <w:color w:val="35475C"/>
                <w:spacing w:val="0"/>
                <w:sz w:val="22"/>
                <w:szCs w:val="22"/>
                <w:shd w:val="clear" w:fill="FFFFFF"/>
              </w:rPr>
              <w:t>Plugging into the Future: An Exploration of Electricity Consumption Patterns Using Tableau</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rPr>
                <w:rFonts w:hint="default" w:ascii="Times New Roman" w:hAnsi="Times New Roman" w:cs="Times New Roman"/>
              </w:rPr>
            </w:pPr>
            <w:r>
              <w:rPr>
                <w:rFonts w:hint="default" w:ascii="Times New Roman" w:hAnsi="Times New Roman" w:cs="Times New Roman"/>
              </w:rPr>
              <w:t>Maximum Marks</w:t>
            </w:r>
          </w:p>
        </w:tc>
        <w:tc>
          <w:tcPr>
            <w:tcW w:w="4335" w:type="dxa"/>
          </w:tcPr>
          <w:p w14:paraId="40F8E2A6">
            <w:pPr>
              <w:spacing w:after="0" w:line="240" w:lineRule="auto"/>
              <w:rPr>
                <w:rFonts w:hint="default" w:ascii="Times New Roman" w:hAnsi="Times New Roman" w:cs="Times New Roman"/>
              </w:rPr>
            </w:pPr>
            <w:r>
              <w:rPr>
                <w:rFonts w:hint="default" w:ascii="Times New Roman" w:hAnsi="Times New Roman" w:cs="Times New Roman"/>
              </w:rPr>
              <w:t>2 Marks</w:t>
            </w:r>
          </w:p>
        </w:tc>
      </w:tr>
    </w:tbl>
    <w:p w14:paraId="72C5D42E">
      <w:pPr>
        <w:rPr>
          <w:rFonts w:hint="default" w:ascii="Times New Roman" w:hAnsi="Times New Roman" w:cs="Times New Roman"/>
          <w:b/>
        </w:rPr>
      </w:pPr>
    </w:p>
    <w:p w14:paraId="2A69CBFE">
      <w:pPr>
        <w:rPr>
          <w:rFonts w:hint="default" w:ascii="Times New Roman" w:hAnsi="Times New Roman" w:cs="Times New Roman"/>
          <w:b/>
        </w:rPr>
      </w:pPr>
      <w:r>
        <w:rPr>
          <w:rFonts w:hint="default" w:ascii="Times New Roman" w:hAnsi="Times New Roman" w:cs="Times New Roman"/>
          <w:b/>
        </w:rPr>
        <w:t>Proposed Solution Template:</w:t>
      </w:r>
    </w:p>
    <w:p w14:paraId="37C39CAD">
      <w:pPr>
        <w:rPr>
          <w:rFonts w:hint="default" w:ascii="Times New Roman" w:hAnsi="Times New Roman" w:cs="Times New Roman"/>
        </w:rPr>
      </w:pPr>
      <w:r>
        <w:rPr>
          <w:rFonts w:hint="default" w:ascii="Times New Roman" w:hAnsi="Times New Roman" w:cs="Times New Roman"/>
        </w:rPr>
        <w:t>Project team shall fill the following information in the proposed solution template.</w:t>
      </w:r>
      <w:bookmarkStart w:id="0" w:name="_GoBack"/>
      <w:bookmarkEnd w:id="0"/>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2"/>
        <w:gridCol w:w="1829"/>
        <w:gridCol w:w="6765"/>
      </w:tblGrid>
      <w:tr w14:paraId="1F948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41D0C3">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S.No</w:t>
            </w:r>
          </w:p>
        </w:tc>
        <w:tc>
          <w:tcPr>
            <w:tcW w:w="0" w:type="auto"/>
            <w:shd w:val="clear"/>
            <w:vAlign w:val="center"/>
          </w:tcPr>
          <w:p w14:paraId="0DA7B80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Parameter</w:t>
            </w:r>
          </w:p>
        </w:tc>
        <w:tc>
          <w:tcPr>
            <w:tcW w:w="0" w:type="auto"/>
            <w:shd w:val="clear"/>
            <w:vAlign w:val="center"/>
          </w:tcPr>
          <w:p w14:paraId="79DF6F6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Description</w:t>
            </w:r>
          </w:p>
        </w:tc>
      </w:tr>
      <w:tr w14:paraId="7DD7B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C2BF0F">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1</w:t>
            </w:r>
          </w:p>
        </w:tc>
        <w:tc>
          <w:tcPr>
            <w:tcW w:w="0" w:type="auto"/>
            <w:shd w:val="clear"/>
            <w:vAlign w:val="center"/>
          </w:tcPr>
          <w:p w14:paraId="6E7CB556">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Problem Statement (Problem to be solved)</w:t>
            </w:r>
          </w:p>
        </w:tc>
        <w:tc>
          <w:tcPr>
            <w:tcW w:w="0" w:type="auto"/>
            <w:shd w:val="clear"/>
            <w:vAlign w:val="center"/>
          </w:tcPr>
          <w:p w14:paraId="47B065D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Lack of clear, interactive, and region-specific insights into electricity consumption patterns including peak demand, seasonal variation, and sector-wise usage. Raw electricity data is complex and difficult to interpret without proper visualization tools.</w:t>
            </w:r>
          </w:p>
        </w:tc>
      </w:tr>
      <w:tr w14:paraId="10F4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EF0A30">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2</w:t>
            </w:r>
          </w:p>
        </w:tc>
        <w:tc>
          <w:tcPr>
            <w:tcW w:w="0" w:type="auto"/>
            <w:shd w:val="clear"/>
            <w:vAlign w:val="center"/>
          </w:tcPr>
          <w:p w14:paraId="4E814BD7">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Idea / Solution Description</w:t>
            </w:r>
          </w:p>
        </w:tc>
        <w:tc>
          <w:tcPr>
            <w:tcW w:w="0" w:type="auto"/>
            <w:shd w:val="clear"/>
            <w:vAlign w:val="center"/>
          </w:tcPr>
          <w:p w14:paraId="4F126D1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A Tableau-based interactive dashboard that analyzes electricity consumption trends across regions, sectors, and time periods. The solution provides visual insights using line charts, maps, heatmaps, and KPI indicators to support better energy planning and decision-making.</w:t>
            </w:r>
          </w:p>
        </w:tc>
      </w:tr>
      <w:tr w14:paraId="55EC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6D40B7">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3</w:t>
            </w:r>
          </w:p>
        </w:tc>
        <w:tc>
          <w:tcPr>
            <w:tcW w:w="0" w:type="auto"/>
            <w:shd w:val="clear"/>
            <w:vAlign w:val="center"/>
          </w:tcPr>
          <w:p w14:paraId="5AC4CEFD">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Novelty / Uniqueness</w:t>
            </w:r>
          </w:p>
        </w:tc>
        <w:tc>
          <w:tcPr>
            <w:tcW w:w="0" w:type="auto"/>
            <w:shd w:val="clear"/>
            <w:vAlign w:val="center"/>
          </w:tcPr>
          <w:p w14:paraId="46F4D7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Unlike traditional static energy reports, this project provides dynamic, filterable dashboards enabling real-time exploration of electricity usage patterns. It integrates geographic mapping, time-series analysis, and sector-based comparison in one platform.</w:t>
            </w:r>
          </w:p>
        </w:tc>
      </w:tr>
      <w:tr w14:paraId="5120B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922D06">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4</w:t>
            </w:r>
          </w:p>
        </w:tc>
        <w:tc>
          <w:tcPr>
            <w:tcW w:w="0" w:type="auto"/>
            <w:shd w:val="clear"/>
            <w:vAlign w:val="center"/>
          </w:tcPr>
          <w:p w14:paraId="48722AEF">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Social Impact / Customer Satisfaction</w:t>
            </w:r>
          </w:p>
        </w:tc>
        <w:tc>
          <w:tcPr>
            <w:tcW w:w="0" w:type="auto"/>
            <w:shd w:val="clear"/>
            <w:vAlign w:val="center"/>
          </w:tcPr>
          <w:p w14:paraId="52BC65D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Helps utility companies improve grid management, supports policymakers in sustainable energy planning, and enables consumers to understand and optimize their electricity usage. Encourages data-driven and environmentally responsible decisions.</w:t>
            </w:r>
          </w:p>
        </w:tc>
      </w:tr>
      <w:tr w14:paraId="55569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11BE8A">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5</w:t>
            </w:r>
          </w:p>
        </w:tc>
        <w:tc>
          <w:tcPr>
            <w:tcW w:w="0" w:type="auto"/>
            <w:shd w:val="clear"/>
            <w:vAlign w:val="center"/>
          </w:tcPr>
          <w:p w14:paraId="7C5A641F">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Business Model (Revenue Model)</w:t>
            </w:r>
          </w:p>
        </w:tc>
        <w:tc>
          <w:tcPr>
            <w:tcW w:w="0" w:type="auto"/>
            <w:shd w:val="clear"/>
            <w:vAlign w:val="center"/>
          </w:tcPr>
          <w:p w14:paraId="53705D5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Freemium model: Basic dashboards accessible to the public; advanced analytics, forecasting modules, and downloadable reports available for utility companies and research institutions (future scope).</w:t>
            </w:r>
          </w:p>
        </w:tc>
      </w:tr>
      <w:tr w14:paraId="249B3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D80D6F">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6</w:t>
            </w:r>
          </w:p>
        </w:tc>
        <w:tc>
          <w:tcPr>
            <w:tcW w:w="0" w:type="auto"/>
            <w:shd w:val="clear"/>
            <w:vAlign w:val="center"/>
          </w:tcPr>
          <w:p w14:paraId="3075515C">
            <w:pPr>
              <w:keepNext w:val="0"/>
              <w:keepLines w:val="0"/>
              <w:widowControl/>
              <w:suppressLineNumbers w:val="0"/>
              <w:jc w:val="left"/>
              <w:rPr>
                <w:rFonts w:hint="default" w:ascii="Times New Roman" w:hAnsi="Times New Roman" w:cs="Times New Roman"/>
                <w:sz w:val="22"/>
                <w:szCs w:val="22"/>
              </w:rPr>
            </w:pPr>
            <w:r>
              <w:rPr>
                <w:rStyle w:val="11"/>
                <w:rFonts w:hint="default" w:ascii="Times New Roman" w:hAnsi="Times New Roman" w:eastAsia="SimSun" w:cs="Times New Roman"/>
                <w:kern w:val="0"/>
                <w:sz w:val="22"/>
                <w:szCs w:val="22"/>
                <w:lang w:val="en-US" w:eastAsia="zh-CN" w:bidi="ar"/>
              </w:rPr>
              <w:t>Scalability of the Solution</w:t>
            </w:r>
          </w:p>
        </w:tc>
        <w:tc>
          <w:tcPr>
            <w:tcW w:w="0" w:type="auto"/>
            <w:shd w:val="clear"/>
            <w:vAlign w:val="center"/>
          </w:tcPr>
          <w:p w14:paraId="0AAC9A1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Highly scalable – additional datasets such as renewable energy contribution, smart meter data, real-time IoT data, and predictive forecasting models can be integrated easily into the Tableau dashboard.</w:t>
            </w:r>
          </w:p>
        </w:tc>
      </w:tr>
    </w:tbl>
    <w:p w14:paraId="5BC2B474">
      <w:pPr>
        <w:rPr>
          <w:rFonts w:hint="default" w:ascii="Times New Roman" w:hAnsi="Times New Roman" w:cs="Times New Roman"/>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C7E8A"/>
    <w:rsid w:val="00350B1D"/>
    <w:rsid w:val="00604E29"/>
    <w:rsid w:val="00C27B72"/>
    <w:rsid w:val="00D90E76"/>
    <w:rsid w:val="00E75E64"/>
    <w:rsid w:val="6A1E3B11"/>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uiPriority w:val="0"/>
    <w:pPr>
      <w:spacing w:after="0" w:line="240" w:lineRule="auto"/>
    </w:pPr>
  </w:style>
  <w:style w:type="table" w:customStyle="1" w:styleId="18">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214</Words>
  <Characters>1223</Characters>
  <Lines>10</Lines>
  <Paragraphs>2</Paragraphs>
  <TotalTime>5</TotalTime>
  <ScaleCrop>false</ScaleCrop>
  <LinksUpToDate>false</LinksUpToDate>
  <CharactersWithSpaces>1435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2025-06-26T10:10:00Z</dcterms:created>
  <dc:creator>Amarender Katkam</dc:creator>
  <cp:lastModifiedBy>Maharshi Reddy</cp:lastModifiedBy>
  <dcterms:modified xsi:type="dcterms:W3CDTF">2026-02-28T08:24:27Z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3058BE488060431794E354D146583878_12</vt:lpwstr>
  </property>
</Properties>
</file>