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aps/>
          <w:color w:val="4A90D9"/>
          <w:sz w:val="20"/>
          <w:szCs w:val="20"/>
        </w:rPr>
        <w:t xml:space="preserve">GALACTIC ANTHROPOLOGICAL SURVEY</w:t>
      </w:r>
    </w:p>
    <w:p>
      <w:pPr>
        <w:jc w:val="center"/>
      </w:pPr>
      <w:r>
        <w:rPr>
          <w:rFonts w:ascii="Arial" w:cs="Arial" w:eastAsia="Arial" w:hAnsi="Arial"/>
          <w:color w:val="555555"/>
          <w:sz w:val="18"/>
          <w:szCs w:val="18"/>
        </w:rPr>
        <w:t xml:space="preserve">SURVEY DIVISION VII — CARBON-BASED CIVILISATIONS</w:t>
      </w:r>
    </w:p>
    <w:p>
      <w:pPr>
        <w:spacing w:after="0" w:before="400"/>
      </w:pPr>
    </w:p>
    <w:p>
      <w:pPr>
        <w:jc w:val="center"/>
      </w:pPr>
      <w:r>
        <w:rPr>
          <w:rFonts w:ascii="Arial" w:cs="Arial" w:eastAsia="Arial" w:hAnsi="Arial"/>
          <w:b/>
          <w:bCs/>
          <w:color w:val="1A1A2E"/>
          <w:sz w:val="22"/>
          <w:szCs w:val="22"/>
        </w:rPr>
        <w:t xml:space="preserve">SUBJECT WORLD:</w:t>
      </w:r>
    </w:p>
    <w:p>
      <w:pPr>
        <w:jc w:val="center"/>
      </w:pPr>
      <w:r>
        <w:rPr>
          <w:rFonts w:ascii="Arial" w:cs="Arial" w:eastAsia="Arial" w:hAnsi="Arial"/>
          <w:b/>
          <w:bCs/>
          <w:color w:val="1A1A2E"/>
          <w:sz w:val="44"/>
          <w:szCs w:val="44"/>
        </w:rPr>
        <w:t xml:space="preserve">SOL III ("EARTH")</w:t>
      </w:r>
    </w:p>
    <w:p>
      <w:pPr>
        <w:spacing w:after="0" w:before="200"/>
      </w:pPr>
    </w:p>
    <w:p>
      <w:pPr>
        <w:jc w:val="center"/>
      </w:pPr>
      <w:r>
        <w:rPr>
          <w:rFonts w:ascii="Arial" w:cs="Arial" w:eastAsia="Arial" w:hAnsi="Arial"/>
          <w:b/>
          <w:bCs/>
          <w:color w:val="2C3E6E"/>
          <w:sz w:val="24"/>
          <w:szCs w:val="24"/>
        </w:rPr>
        <w:t xml:space="preserve">A FIELD REPORT ON THE SPECIES HOMO SAPIENS SAPIENS</w:t>
      </w:r>
    </w:p>
    <w:p>
      <w:pPr>
        <w:spacing w:after="0" w:before="120"/>
      </w:pPr>
    </w:p>
    <w:p>
      <w:pPr>
        <w:jc w:val="center"/>
      </w:pPr>
      <w:r>
        <w:rPr>
          <w:rFonts w:ascii="Arial" w:cs="Arial" w:eastAsia="Arial" w:hAnsi="Arial"/>
          <w:i/>
          <w:iCs/>
          <w:color w:val="555555"/>
          <w:sz w:val="22"/>
          <w:szCs w:val="22"/>
        </w:rPr>
        <w:t xml:space="preserve">Physical Transformation · Dietary Collapse · Civilisational Drift · Social Evolution · Projected Futures</w:t>
      </w:r>
    </w:p>
    <w:p>
      <w:pPr>
        <w:spacing w:after="0" w:before="600"/>
      </w:pPr>
    </w:p>
    <w:p>
      <w:pPr>
        <w:pBdr>
          <w:top w:val="single" w:color="4A90D9" w:sz="4" w:space="4"/>
          <w:bottom w:val="single" w:color="4A90D9" w:sz="4" w:space="4"/>
        </w:pBdr>
        <w:jc w:val="center"/>
      </w:pPr>
      <w:r>
        <w:rPr>
          <w:rFonts w:ascii="Arial" w:cs="Arial" w:eastAsia="Arial" w:hAnsi="Arial"/>
          <w:color w:val="1A1A2E"/>
          <w:sz w:val="20"/>
          <w:szCs w:val="20"/>
        </w:rPr>
        <w:t xml:space="preserve">Filed by: Senior Observer Zeth-Aranu, Station Omega-9  |  Galactic Standard Cycle 4,802,991</w:t>
      </w:r>
    </w:p>
    <w:p>
      <w:pPr>
        <w:pStyle w:val="Heading1"/>
      </w:pPr>
      <w:r>
        <w:t xml:space="preserve">Prefatory Note from the Observer</w:t>
      </w:r>
    </w:p>
    <w:p>
      <w:pPr>
        <w:spacing w:after="200"/>
      </w:pPr>
      <w:r>
        <w:rPr>
          <w:rFonts w:ascii="Georgia" w:cs="Georgia" w:eastAsia="Georgia" w:hAnsi="Georgia"/>
          <w:sz w:val="24"/>
          <w:szCs w:val="24"/>
        </w:rPr>
        <w:t xml:space="preserve">We have watched Sol III for approximately eleven of their million-year cycles — long enough to witness the emergence of intelligence from mammalian stock, the dawn of tool use, fire, language, agriculture, industrialisation, and now the dizzying, vertiginous sprint they call the Digital Age. What follows is our most comprehensive single-volume assessment of one species: Homo sapiens sapiens, the primate who names itself "wise" — twice, as if once were insufficient to be convincing.</w:t>
      </w:r>
    </w:p>
    <w:p>
      <w:pPr>
        <w:spacing w:after="200"/>
      </w:pPr>
      <w:r>
        <w:rPr>
          <w:rFonts w:ascii="Georgia" w:cs="Georgia" w:eastAsia="Georgia" w:hAnsi="Georgia"/>
          <w:sz w:val="24"/>
          <w:szCs w:val="24"/>
        </w:rPr>
        <w:t xml:space="preserve">This report covers their physical evolution from deep ancestry to the present form, their dramatic — and in our estimation, deeply reckless — alterations to diet and feeding behaviour, the parallel transformation of their societies, their governance, entertainment, social bonds, and the escalating cost of simply existing within the civilisation they have built. We close with projections that, frankly, our survey team debated vigorously before filing.</w:t>
      </w:r>
    </w:p>
    <w:p>
      <w:pPr>
        <w:spacing w:after="200"/>
      </w:pPr>
      <w:r>
        <w:rPr>
          <w:rFonts w:ascii="Georgia" w:cs="Georgia" w:eastAsia="Georgia" w:hAnsi="Georgia"/>
          <w:i/>
          <w:iCs/>
          <w:sz w:val="24"/>
          <w:szCs w:val="24"/>
        </w:rPr>
        <w:t xml:space="preserve">One note of professional candour: of the 14,000 civilisations catalogued in our long-range survey, fewer than 200 have survived their own technological adolescence. Homo sapiens remain, at the time of filing, an open question.</w:t>
      </w:r>
    </w:p>
    <w:p>
      <w:pPr>
        <w:pStyle w:val="Heading1"/>
      </w:pPr>
      <w:r>
        <w:t xml:space="preserve">Part I: The Physical Body — A Biography in Bone and Flesh</w:t>
      </w:r>
    </w:p>
    <w:p>
      <w:pPr>
        <w:pStyle w:val="Heading2"/>
      </w:pPr>
      <w:r>
        <w:t xml:space="preserve">1.1 The Ancestral Template</w:t>
      </w:r>
    </w:p>
    <w:p>
      <w:pPr>
        <w:spacing w:after="200"/>
      </w:pPr>
      <w:r>
        <w:rPr>
          <w:rFonts w:ascii="Georgia" w:cs="Georgia" w:eastAsia="Georgia" w:hAnsi="Georgia"/>
          <w:sz w:val="24"/>
          <w:szCs w:val="24"/>
        </w:rPr>
        <w:t xml:space="preserve">We begin not with what humans are, but with what they were. Four million years prior to the present, their direct lineage — the australopithecines — walked the eastern African savannahs as small-brained, heavy-browed bipeds. The skeleton was already committed to upright locomotion, freeing the forelimb for manipulation. This was the architectural decision that changed everything. From a galactic engineering standpoint, it is an elegant chassis: weight over a narrow base, long legs for persistence hunting, sweat glands distributed across the body surface for exceptional thermal regulation.</w:t>
      </w:r>
    </w:p>
    <w:p>
      <w:pPr>
        <w:spacing w:after="200"/>
      </w:pPr>
      <w:r>
        <w:rPr>
          <w:rFonts w:ascii="Georgia" w:cs="Georgia" w:eastAsia="Georgia" w:hAnsi="Georgia"/>
          <w:sz w:val="24"/>
          <w:szCs w:val="24"/>
        </w:rPr>
        <w:t xml:space="preserve">Homo erectus, appearing roughly 1.9 million years prior, expanded the brain case significantly, reduced the gut in proportion to body size (crucially enabled by cooking), and refined the leg for long-distance endurance. Homo erectus was one of the most successful organisms this planet has produced, thriving for nearly two million years with minimal change.</w:t>
      </w:r>
    </w:p>
    <w:p>
      <w:pPr>
        <w:pStyle w:val="Heading2"/>
      </w:pPr>
      <w:r>
        <w:t xml:space="preserve">1.2 The Emergence of the Modern Form</w:t>
      </w:r>
    </w:p>
    <w:p>
      <w:pPr>
        <w:spacing w:after="200"/>
      </w:pPr>
      <w:r>
        <w:rPr>
          <w:rFonts w:ascii="Georgia" w:cs="Georgia" w:eastAsia="Georgia" w:hAnsi="Georgia"/>
          <w:sz w:val="24"/>
          <w:szCs w:val="24"/>
        </w:rPr>
        <w:t xml:space="preserve">Anatomically modern Homo sapiens coalesced in Africa roughly 300,000 years ago. The defining features of this body plan — large globular cranium consuming 20–25% of calories; reduced brow ridges and flattened face suited for social expressivity; slender limbs adapted for heat dissipation; a gut calibrated for varied whole-food inputs — were exquisitely fit for a world of movement, variety, and caloric scarcity.</w:t>
      </w:r>
    </w:p>
    <w:p>
      <w:pPr>
        <w:spacing w:after="200"/>
      </w:pPr>
      <w:r>
        <w:rPr>
          <w:rFonts w:ascii="Georgia" w:cs="Georgia" w:eastAsia="Georgia" w:hAnsi="Georgia"/>
          <w:sz w:val="24"/>
          <w:szCs w:val="24"/>
        </w:rPr>
        <w:t xml:space="preserve">This body plan is critically important to understand: every system in the modern human body was engineered by selection pressures that no longer exist for the majority of the species. They carry a Palaeolithic body into a post-industrial world. This mismatch is the central story of modern human health.</w:t>
      </w:r>
    </w:p>
    <w:p>
      <w:pPr>
        <w:pStyle w:val="Heading2"/>
      </w:pPr>
      <w:r>
        <w:t xml:space="preserve">1.3 Measurable Physical Changes Over the Last 10,000 Years</w:t>
      </w:r>
    </w:p>
    <w:p>
      <w:pPr>
        <w:spacing w:after="200"/>
      </w:pPr>
      <w:r>
        <w:rPr>
          <w:rFonts w:ascii="Georgia" w:cs="Georgia" w:eastAsia="Georgia" w:hAnsi="Georgia"/>
          <w:sz w:val="24"/>
          <w:szCs w:val="24"/>
        </w:rPr>
        <w:t xml:space="preserve">Pre-agricultural skeletons show markedly greater bone density and robusticity than post-agricultural populations. Average stature dropped with agriculture due to nutritional narrowing, then recovered and exceeded ancestral levels only with industrial-era food abundance — a function of nutrition, not genetics. The modern jaw is measurably undersized for its teeth due to the absence of developmental mechanical loading from tough fibrous foods. And obesity — a common condition today — was essentially unknown in ancestral populations. The human body retains no satiety mechanism calibrated for the caloric density of the food environment it has created for itself.</w:t>
      </w:r>
    </w:p>
    <w:p>
      <w:pPr>
        <w:pStyle w:val="Heading1"/>
      </w:pPr>
      <w:r>
        <w:t xml:space="preserve">Part II: Diet Through the Ages — From Foraging to Fabrication</w:t>
      </w:r>
    </w:p>
    <w:p>
      <w:pPr>
        <w:pStyle w:val="Heading2"/>
      </w:pPr>
      <w:r>
        <w:t xml:space="preserve">2.1 The Ancestral Diet: Variety, Movement, and Scarcity</w:t>
      </w:r>
    </w:p>
    <w:p>
      <w:pPr>
        <w:spacing w:after="200"/>
      </w:pPr>
      <w:r>
        <w:rPr>
          <w:rFonts w:ascii="Georgia" w:cs="Georgia" w:eastAsia="Georgia" w:hAnsi="Georgia"/>
          <w:sz w:val="24"/>
          <w:szCs w:val="24"/>
        </w:rPr>
        <w:t xml:space="preserve">For 95% of their species' existence, humans were hunter-gatherers consuming extreme dietary variety — up to 300 distinct plant species plus insects, tubers, fungi, fruit, eggs, fish, shellfish, and game. Meal timing was irregular: roughly two meals daily with involuntary fasting periods of 18–24 hours during lean seasons. No added sugars, refined oils, or processed starches existed. Seasonal metabolic flexibility — shifting between fat and carbohydrate fuel sources — was normal.</w:t>
      </w:r>
    </w:p>
    <w:p>
      <w:pPr>
        <w:pStyle w:val="Heading2"/>
      </w:pPr>
      <w:r>
        <w:t xml:space="preserve">2.2 Agricultural Narrowing and the Pre-Industrial Baseline</w:t>
      </w:r>
    </w:p>
    <w:p>
      <w:pPr>
        <w:spacing w:after="200"/>
      </w:pPr>
      <w:r>
        <w:rPr>
          <w:rFonts w:ascii="Georgia" w:cs="Georgia" w:eastAsia="Georgia" w:hAnsi="Georgia"/>
          <w:sz w:val="24"/>
          <w:szCs w:val="24"/>
        </w:rPr>
        <w:t xml:space="preserve">Agriculture enabled civilisation but narrowed diet catastrophically: a forager consuming 200+ species became a farmer subsisting on 2–3 grain crops. The skeletal record documents the consequences — shorter stature, dental decay, anaemia, vitamin-deficiency bone diseases. For most of agricultural history up to ~1800 CE, however, food remained whole, seasonal, and largely fermented, and obesity was vanishingly rare across virtually all cultures.</w:t>
      </w:r>
    </w:p>
    <w:p>
      <w:pPr>
        <w:pStyle w:val="Heading2"/>
      </w:pPr>
      <w:r>
        <w:t xml:space="preserve">2.3 The Industrial Food Transition</w:t>
      </w:r>
    </w:p>
    <w:p>
      <w:pPr>
        <w:spacing w:after="200"/>
      </w:pPr>
      <w:r>
        <w:rPr>
          <w:rFonts w:ascii="Georgia" w:cs="Georgia" w:eastAsia="Georgia" w:hAnsi="Georgia"/>
          <w:sz w:val="24"/>
          <w:szCs w:val="24"/>
        </w:rPr>
        <w:t xml:space="preserve">Beginning in the mid-19th century and accelerating after 1945, a food transformation with no precedent in 300,000 years occurred: industrial milling stripped grains of bran and germ; per-capita sugar consumption in Britain rose from 4 to 100+ pounds annually; seed oils with novel omega-6:omega-3 ratios entered diets; ultra-processed foods engineered to override satiety signalling became the dominant calorie source. The result: obesity, type 2 diabetes, cardiovascular disease, and metabolic syndrome — diseases essentially unknown in ancestral populations — became the dominant killers of industrialised humanity.</w:t>
      </w:r>
    </w:p>
    <w:p>
      <w:pPr>
        <w:pStyle w:val="Heading1"/>
      </w:pPr>
      <w:r>
        <w:t xml:space="preserve">Part III: Societal and Civilisational Transformation</w:t>
      </w:r>
    </w:p>
    <w:p>
      <w:pPr>
        <w:pStyle w:val="Heading2"/>
      </w:pPr>
      <w:r>
        <w:t xml:space="preserve">3.1 From Band to Megacity</w:t>
      </w:r>
    </w:p>
    <w:p>
      <w:pPr>
        <w:spacing w:after="200"/>
      </w:pPr>
      <w:r>
        <w:rPr>
          <w:rFonts w:ascii="Georgia" w:cs="Georgia" w:eastAsia="Georgia" w:hAnsi="Georgia"/>
          <w:sz w:val="24"/>
          <w:szCs w:val="24"/>
        </w:rPr>
        <w:t xml:space="preserve">Homo sapiens evolved in bands of 20–150 individuals. Tokyo now houses 37 million. The brain that evolved to navigate 150 relationships is embedded in networks of billions. Artificial light severed the ancestral coupling between solar cycles and human biology; average sleep has declined 1–2 hours over the last century, with cascading health consequences. And hyper-social humans, despite being technically connected to more people than ever before, experience epidemic loneliness. Their own researchers classify chronic loneliness as carrying mortality risk comparable to smoking 15 cigarettes per day.</w:t>
      </w:r>
    </w:p>
    <w:p>
      <w:pPr>
        <w:pStyle w:val="Heading2"/>
      </w:pPr>
      <w:r>
        <w:t xml:space="preserve">3.2 The Sedentary Shift</w:t>
      </w:r>
    </w:p>
    <w:p>
      <w:pPr>
        <w:spacing w:after="200"/>
      </w:pPr>
      <w:r>
        <w:rPr>
          <w:rFonts w:ascii="Georgia" w:cs="Georgia" w:eastAsia="Georgia" w:hAnsi="Georgia"/>
          <w:sz w:val="24"/>
          <w:szCs w:val="24"/>
        </w:rPr>
        <w:t xml:space="preserve">For 99.9% of human history, survival required 8–15 km of daily walking plus carrying, climbing, digging, and building. The human body is, by every biological measure, an endurance machine. The industrial and then digital revolutions offloaded first physical, then cognitive labour to machines and computers. What is left, for a substantial portion of the species, is a life spent seated for 12+ hours daily. The resulting cascade — muscle atrophy, declining insulin sensitivity, spinal degeneration, cardiovascular decline — is the physiological expression of a chassis designed for movement, denied it.</w:t>
      </w:r>
    </w:p>
    <w:p>
      <w:pPr>
        <w:pStyle w:val="Heading1"/>
      </w:pPr>
      <w:r>
        <w:t xml:space="preserve">Part IV: The Disease Burden — The Bill Arrives</w:t>
      </w:r>
    </w:p>
    <w:p>
      <w:pPr>
        <w:spacing w:after="200"/>
      </w:pPr>
      <w:r>
        <w:rPr>
          <w:rFonts w:ascii="Georgia" w:cs="Georgia" w:eastAsia="Georgia" w:hAnsi="Georgia"/>
          <w:sz w:val="24"/>
          <w:szCs w:val="24"/>
        </w:rPr>
        <w:t xml:space="preserve">For most of human history, the primary killers were infectious disease, trauma, and childbirth. What dominates post-industrial mortality is categorically different: chronic non-communicable diseases — cardiovascular disease, type 2 diabetes, obesity, non-alcoholic fatty liver disease, certain cancers, Alzheimer's, autoimmune conditions — account for approximately 74% of all deaths globally. These are diseases of modernity. They were not the primary killers of ancestral populations.</w:t>
      </w:r>
    </w:p>
    <w:p>
      <w:pPr>
        <w:spacing w:after="200"/>
      </w:pPr>
      <w:r>
        <w:rPr>
          <w:rFonts w:ascii="Georgia" w:cs="Georgia" w:eastAsia="Georgia" w:hAnsi="Georgia"/>
          <w:sz w:val="24"/>
          <w:szCs w:val="24"/>
        </w:rPr>
        <w:t xml:space="preserve">The human gut microbiome — 38 trillion organisms performing critical immune, neurological, and metabolic functions — has lost roughly one-third of its ancestral species diversity through processed diets, antibiotic overuse, and over-sanitised environments. This microbial impoverishment correlates with the rise of allergies, autoimmune diseases, inflammatory bowel conditions, mental health disorders, and obesity that are rare in populations retaining ancestral microbial diversity. And depression now affects an estimated 280 million humans, with adolescent mental distress accelerating sharply after approximately 2012 — closely tracking mass smartphone adoption.</w:t>
      </w:r>
    </w:p>
    <w:p>
      <w:pPr>
        <w:spacing w:after="200"/>
      </w:pPr>
      <w:r>
        <w:rPr>
          <w:rFonts w:ascii="Georgia" w:cs="Georgia" w:eastAsia="Georgia" w:hAnsi="Georgia"/>
          <w:i/>
          <w:iCs/>
          <w:sz w:val="24"/>
          <w:szCs w:val="24"/>
        </w:rPr>
        <w:t xml:space="preserve">We feel compelled to note one extraordinary irony: Homo sapiens are the only species we have observed that deliberately engineers its food supply to be harmful and then pays, at enormous cost, for the medical treatment of the resulting harm. Both industries grow. The patients multiply. The system continues.</w:t>
      </w:r>
    </w:p>
    <w:p>
      <w:pPr>
        <w:pStyle w:val="Heading1"/>
      </w:pPr>
      <w:r>
        <w:t xml:space="preserve">Part V: Future Projections — The Physical Trajectory</w:t>
      </w:r>
    </w:p>
    <w:p>
      <w:pPr>
        <w:spacing w:after="200"/>
      </w:pPr>
      <w:r>
        <w:rPr>
          <w:rFonts w:ascii="Georgia" w:cs="Georgia" w:eastAsia="Georgia" w:hAnsi="Georgia"/>
          <w:sz w:val="24"/>
          <w:szCs w:val="24"/>
        </w:rPr>
        <w:t xml:space="preserve">Classical Darwinian evolution operates on generational timescales; dramatic genetic change in the near term is unlikely. However, epigenetic changes — in how genes are expressed — propagate across generations more rapidly. Children born to obese parents show epigenetic programming that predisposes them to obesity independently. A multigenerational ratchet of physiological vulnerability may be assembling.</w:t>
      </w:r>
    </w:p>
    <w:p>
      <w:pPr>
        <w:spacing w:after="200"/>
      </w:pPr>
      <w:r>
        <w:rPr>
          <w:rFonts w:ascii="Georgia" w:cs="Georgia" w:eastAsia="Georgia" w:hAnsi="Georgia"/>
          <w:sz w:val="24"/>
          <w:szCs w:val="24"/>
        </w:rPr>
        <w:t xml:space="preserve">The development of CRISPR gene-editing and successor platforms introduces a wildcard without precedent: deliberately self-directed speciation. The trajectory from therapeutic editing to enhancement editing is, based on patterns across comparable civilisations we have observed, essentially inevitable. If deployed without catastrophic misuse, the next 500 years may see the first deliberately engineered subpopulations of Homo sapiens — the beginning of a bifurcation between those with access to enhancement technologies and those without. We regard this as the most significant medium-term civilisational risk factor currently present.</w:t>
      </w:r>
    </w:p>
    <w:p>
      <w:pPr>
        <w:spacing w:after="200"/>
      </w:pPr>
      <w:r>
        <w:rPr>
          <w:rFonts w:ascii="Georgia" w:cs="Georgia" w:eastAsia="Georgia" w:hAnsi="Georgia"/>
          <w:sz w:val="24"/>
          <w:szCs w:val="24"/>
        </w:rPr>
        <w:t xml:space="preserve">Our three-scenario model assigns approximately 28% probability to a managed positive transition, 52% to partial collapse and reconstruction, and 20% to terminal civilisational failure from nuclear exchange, bioengineered pandemic, or unrestricted AI competition. We note that 20% is, in civilisational survival terms, an extremely high risk to carry as baseline.</w:t>
      </w:r>
    </w:p>
    <w:p>
      <w:pPr>
        <w:pStyle w:val="Heading1"/>
      </w:pPr>
      <w:r>
        <w:t xml:space="preserve">Part VI: The Social Animal — Governance, Community, and the Cost of Civilisation</w:t>
      </w:r>
    </w:p>
    <w:p>
      <w:pPr>
        <w:spacing w:after="200"/>
      </w:pPr>
      <w:r>
        <w:rPr>
          <w:rFonts w:ascii="Georgia" w:cs="Georgia" w:eastAsia="Georgia" w:hAnsi="Georgia"/>
          <w:i/>
          <w:iCs/>
          <w:sz w:val="24"/>
          <w:szCs w:val="24"/>
        </w:rPr>
        <w:t xml:space="preserve">Of all the dimensions of human development our survey has tracked, none is more revealing — and in some respects more heartbreaking — than the social. For what we observe across the full arc of human history is a species that began in small, tight, deeply connected communities embedded in the living world around them, and has progressively traded that embeddedness for scale, convenience, and complexity. Each trade seemed rational in the short term. The cumulative result is a species whose social architecture has become almost unrecognisable from the one its biology was shaped for.</w:t>
      </w:r>
    </w:p>
    <w:p>
      <w:pPr>
        <w:pStyle w:val="Heading2"/>
      </w:pPr>
      <w:r>
        <w:t xml:space="preserve">6.1 Governance Through the Ages: From the Band Fire to the Surveillance State</w:t>
      </w:r>
    </w:p>
    <w:p>
      <w:pPr>
        <w:pStyle w:val="Heading3"/>
      </w:pPr>
      <w:r>
        <w:t xml:space="preserve">The Hunter-Gatherer Band: Anarchic Equality</w:t>
      </w:r>
    </w:p>
    <w:p>
      <w:pPr>
        <w:spacing w:after="200"/>
      </w:pPr>
      <w:r>
        <w:rPr>
          <w:rFonts w:ascii="Georgia" w:cs="Georgia" w:eastAsia="Georgia" w:hAnsi="Georgia"/>
          <w:sz w:val="24"/>
          <w:szCs w:val="24"/>
        </w:rPr>
        <w:t xml:space="preserve">The political unit of ancestral humanity was the band — roughly 20 to 60 individuals, occasionally aggregating with neighbouring bands for seasonal gatherings but spending most of the year in mobile, autonomous groups. Governance in these bands was, by the standards of any subsequent era, radically egalitarian. Leaders existed but held influence through personal charisma, demonstrated competence, and the ongoing consent of their peers. Authority could not be inherited, taxed, or enforced by threat of violence, because any individual or family could simply walk away. Our instruments detect no evidence of hereditary kingship, standing armies, taxation systems, or institutional religion in bands of this scale. Decision-making was face-to-face, immediate, and reversible.</w:t>
      </w:r>
    </w:p>
    <w:p>
      <w:pPr>
        <w:spacing w:after="200"/>
      </w:pPr>
      <w:r>
        <w:rPr>
          <w:rFonts w:ascii="Georgia" w:cs="Georgia" w:eastAsia="Georgia" w:hAnsi="Georgia"/>
          <w:sz w:val="24"/>
          <w:szCs w:val="24"/>
        </w:rPr>
        <w:t xml:space="preserve">We note with interest that these bands appear, by most wellbeing metrics we can reconstruct, to have been among the happiest configurations of human social life. Working hours were low — estimates suggest 15–20 hours per week of subsistence-related activity. Leisure, social bonding, storytelling, and play occupied the remainder. Interpersonal violence existed but was restrained by mutual dependence. Inequality in material terms was structurally impossible: you cannot accumulate more possessions than you can carry.</w:t>
      </w:r>
    </w:p>
    <w:p>
      <w:pPr>
        <w:pStyle w:val="Heading3"/>
      </w:pPr>
      <w:r>
        <w:t xml:space="preserve">The Agricultural Village: The First Hierarchies</w:t>
      </w:r>
    </w:p>
    <w:p>
      <w:pPr>
        <w:spacing w:after="200"/>
      </w:pPr>
      <w:r>
        <w:rPr>
          <w:rFonts w:ascii="Georgia" w:cs="Georgia" w:eastAsia="Georgia" w:hAnsi="Georgia"/>
          <w:sz w:val="24"/>
          <w:szCs w:val="24"/>
        </w:rPr>
        <w:t xml:space="preserve">Settled agriculture changed the political equation fundamentally. Surplus grain could be stored. Stored surplus could be controlled. Controlled surplus could be taxed. Taxation required enforcement. Enforcement required specialists — soldiers, administrators, priests — who did not produce food but consumed it. This was the architecture of the state, assembled for the first time roughly 5,000–6,000 years ago in Mesopotamia, the Nile Valley, the Indus River plain, and Yellow River basin nearly simultaneously.</w:t>
      </w:r>
    </w:p>
    <w:p>
      <w:pPr>
        <w:spacing w:after="200"/>
      </w:pPr>
      <w:r>
        <w:rPr>
          <w:rFonts w:ascii="Georgia" w:cs="Georgia" w:eastAsia="Georgia" w:hAnsi="Georgia"/>
          <w:sz w:val="24"/>
          <w:szCs w:val="24"/>
        </w:rPr>
        <w:t xml:space="preserve">The village council of elders, the headman accountable to his community, gave way with troubling speed to divine kings, pharaohs, and emperors — rulers who claimed cosmic sanction for their authority and backed it with organised violence. Once surplus enabled specialisation and specialisation enabled standing armies, the social contract fundamentally shifted: from cooperation among equals to compliance enforced by threat. The humans of this era accepted this bargain, often apparently willingly, because the state offered something their ancestors could not guarantee: protection from other states.</w:t>
      </w:r>
    </w:p>
    <w:p>
      <w:pPr>
        <w:pStyle w:val="Heading3"/>
      </w:pPr>
      <w:r>
        <w:t xml:space="preserve">Classical Civilisations: Democracy's Brief Experiment</w:t>
      </w:r>
    </w:p>
    <w:p>
      <w:pPr>
        <w:spacing w:after="200"/>
      </w:pPr>
      <w:r>
        <w:rPr>
          <w:rFonts w:ascii="Georgia" w:cs="Georgia" w:eastAsia="Georgia" w:hAnsi="Georgia"/>
          <w:sz w:val="24"/>
          <w:szCs w:val="24"/>
        </w:rPr>
        <w:t xml:space="preserve">Between roughly 500 BCE and 400 BCE, the city-states of ancient Greece — and later, the Roman Republic — made a remarkable structural experiment: distributed political power among a larger class of citizens. Athenian democracy was imperfect and limited (women, slaves, and foreigners were excluded), but it represented the first institutionalised attempt to scale the egalitarianism of the band to a city of tens of thousands. The Roman Republic's complex system of checks, balances, and competing magistracies attempted to prevent the re-emergence of tyranny. Both experiments eventually failed — Athens to oligarchic reaction, Rome to imperial autocracy — but they seeded ideas that would re-emerge with extraordinary force two thousand years later.</w:t>
      </w:r>
    </w:p>
    <w:p>
      <w:pPr>
        <w:pStyle w:val="Heading3"/>
      </w:pPr>
      <w:r>
        <w:t xml:space="preserve">The Pre-Modern Era: Church, King, and the Common People</w:t>
      </w:r>
    </w:p>
    <w:p>
      <w:pPr>
        <w:spacing w:after="200"/>
      </w:pPr>
      <w:r>
        <w:rPr>
          <w:rFonts w:ascii="Georgia" w:cs="Georgia" w:eastAsia="Georgia" w:hAnsi="Georgia"/>
          <w:sz w:val="24"/>
          <w:szCs w:val="24"/>
        </w:rPr>
        <w:t xml:space="preserve">For roughly 1,500 years after the fall of Rome, the dominant governance model across Eurasia was a layered feudal theocracy: a warrior nobility holding land in exchange for military service to a king whose legitimacy was underwritten by an organised religion that claimed to speak for divine authority. The vast majority of humans — roughly 80–90% of the population in agricultural societies — were serfs or peasants with no formal political voice whatsoever, legally bound to land they did not own, paying tax they did not determine, subject to laws they did not make, and fighting wars whose objectives they were not consulted about.</w:t>
      </w:r>
    </w:p>
    <w:p>
      <w:pPr>
        <w:spacing w:after="200"/>
      </w:pPr>
      <w:r>
        <w:rPr>
          <w:rFonts w:ascii="Georgia" w:cs="Georgia" w:eastAsia="Georgia" w:hAnsi="Georgia"/>
          <w:sz w:val="24"/>
          <w:szCs w:val="24"/>
        </w:rPr>
        <w:t xml:space="preserve">This arrangement endured for so long that we believe many humans internalised it as natural. The idea that political authority derived from the consent of the governed — rather than from God, bloodline, or conquest — was, for most of human history, a radical and dangerous proposition.</w:t>
      </w:r>
    </w:p>
    <w:p>
      <w:pPr>
        <w:pStyle w:val="Heading3"/>
      </w:pPr>
      <w:r>
        <w:t xml:space="preserve">The Modern Democratic Experiment: 250 Years Old and Under Stress</w:t>
      </w:r>
    </w:p>
    <w:p>
      <w:pPr>
        <w:spacing w:after="200"/>
      </w:pPr>
      <w:r>
        <w:rPr>
          <w:rFonts w:ascii="Georgia" w:cs="Georgia" w:eastAsia="Georgia" w:hAnsi="Georgia"/>
          <w:sz w:val="24"/>
          <w:szCs w:val="24"/>
        </w:rPr>
        <w:t xml:space="preserve">The revolutions of the 18th century — American (1776), French (1789), and the long democratic wave that followed — represented the most significant governance transformation since the invention of the state. Sovereignty, in principle, moved from the ruler to the people. Rights became legally codified. Constitutions limited state power. Press freedom allowed public scrutiny of government. These were extraordinary achievements, compressing the egalitarian logic of the ancestral band into institutional frameworks capable of governing millions.</w:t>
      </w:r>
    </w:p>
    <w:p>
      <w:pPr>
        <w:spacing w:after="200"/>
      </w:pPr>
      <w:r>
        <w:rPr>
          <w:rFonts w:ascii="Georgia" w:cs="Georgia" w:eastAsia="Georgia" w:hAnsi="Georgia"/>
          <w:sz w:val="24"/>
          <w:szCs w:val="24"/>
        </w:rPr>
        <w:t xml:space="preserve">At the time of this report, however, democratic systems are under significant stress globally. Freedom House data, which our survey monitors, shows that the number of free countries in the world has declined for 18 consecutive years. Authoritarian governments are becoming more sophisticated in their use of surveillance technology, algorithmic propaganda, and digital vote manipulation. Several formerly democratic states have undergone structural reversals toward competitive authoritarianism — retaining the electoral forms of democracy while hollowing out its substantive protections. We observe this trend with concern and return to its implications in Section 6.6.</w:t>
      </w:r>
    </w:p>
    <w:p>
      <w:pPr>
        <w:pStyle w:val="Heading2"/>
      </w:pPr>
      <w:r>
        <w:t xml:space="preserve">6.2 Entertainment and Cultural Life: From Firelight to the Algorithm</w:t>
      </w:r>
    </w:p>
    <w:p>
      <w:pPr>
        <w:spacing w:after="200"/>
      </w:pPr>
      <w:r>
        <w:rPr>
          <w:rFonts w:ascii="Georgia" w:cs="Georgia" w:eastAsia="Georgia" w:hAnsi="Georgia"/>
          <w:sz w:val="24"/>
          <w:szCs w:val="24"/>
        </w:rPr>
        <w:t xml:space="preserve">Entertainment — the cultural technologies humans use to make meaning, process emotion, transmit knowledge, and create shared identity — has undergone perhaps the most dramatic transformation of any social dimension. What it reveals about changing human needs and conditions is instructive.</w:t>
      </w:r>
    </w:p>
    <w:p>
      <w:pPr>
        <w:pStyle w:val="Heading3"/>
      </w:pPr>
      <w:r>
        <w:t xml:space="preserve">The Ancient Circle: Oral Culture and Embodied Community</w:t>
      </w:r>
    </w:p>
    <w:p>
      <w:pPr>
        <w:spacing w:after="200"/>
      </w:pPr>
      <w:r>
        <w:rPr>
          <w:rFonts w:ascii="Georgia" w:cs="Georgia" w:eastAsia="Georgia" w:hAnsi="Georgia"/>
          <w:sz w:val="24"/>
          <w:szCs w:val="24"/>
        </w:rPr>
        <w:t xml:space="preserve">For the overwhelming majority of human history, entertainment was participatory, communal, and live. The campfire gathering — storytelling, song, dance, ritual — was not passive consumption but active community-building. Every person present was simultaneously audience and participant. The stories told around ancestral fires served multiple social functions: transmitting ecological knowledge (which plants are safe, which routes are passable), maintaining group identity and moral norms, processing collective trauma, and encoding genealogy and history. The shamanic traditions of hunter-gatherer societies performed healing, divination, and community integration simultaneously. Entertainment and social function were inseparable.</w:t>
      </w:r>
    </w:p>
    <w:p>
      <w:pPr>
        <w:spacing w:after="200"/>
      </w:pPr>
      <w:r>
        <w:rPr>
          <w:rFonts w:ascii="Georgia" w:cs="Georgia" w:eastAsia="Georgia" w:hAnsi="Georgia"/>
          <w:sz w:val="24"/>
          <w:szCs w:val="24"/>
        </w:rPr>
        <w:t xml:space="preserve">Greek theatre — the next major cultural technology — retained this communal character. Performances were civic events attended by the entire polis, staged at annual festivals, funded by wealthy citizens as a civic duty. The tragedies of Sophocles were not private entertainment but public processing of collective anxieties about fate, justice, and the gods. The audience wept together, laughed together, and left having shared an emotional experience that reinforced social cohesion.</w:t>
      </w:r>
    </w:p>
    <w:p>
      <w:pPr>
        <w:pStyle w:val="Heading3"/>
      </w:pPr>
      <w:r>
        <w:t xml:space="preserve">The Medieval Common Culture: Church, Festival, and Market</w:t>
      </w:r>
    </w:p>
    <w:p>
      <w:pPr>
        <w:spacing w:after="200"/>
      </w:pPr>
      <w:r>
        <w:rPr>
          <w:rFonts w:ascii="Georgia" w:cs="Georgia" w:eastAsia="Georgia" w:hAnsi="Georgia"/>
          <w:sz w:val="24"/>
          <w:szCs w:val="24"/>
        </w:rPr>
        <w:t xml:space="preserve">In pre-industrial Europe, entertainment clustered around the liturgical calendar — feast days, saints' days, harvest festivals, carnival — that punctuated the agricultural year with collective celebration. Miracle plays, troubadours, travelling fairs, bear-baiting, and communal feasting were experienced in physical proximity with neighbours and strangers alike. The tavern was the social medium of the pre-modern world: a space where news was exchanged, songs were sung, grievances aired, and community was constituted in real time through embodied, alcohol-lubricated interaction.</w:t>
      </w:r>
    </w:p>
    <w:p>
      <w:pPr>
        <w:pStyle w:val="Heading3"/>
      </w:pPr>
      <w:r>
        <w:t xml:space="preserve">The Industrial Revolution: Spectacle and the Birth of Mass Entertainment</w:t>
      </w:r>
    </w:p>
    <w:p>
      <w:pPr>
        <w:spacing w:after="200"/>
      </w:pPr>
      <w:r>
        <w:rPr>
          <w:rFonts w:ascii="Georgia" w:cs="Georgia" w:eastAsia="Georgia" w:hAnsi="Georgia"/>
          <w:sz w:val="24"/>
          <w:szCs w:val="24"/>
        </w:rPr>
        <w:t xml:space="preserve">Industrialisation brought urbanisation, literacy, and the printing press to mass audiences. The 19th century saw the emergence of mass entertainment as a commercial industry: penny newspapers, music halls, vaudeville, eventually cinema. The transition from participatory to spectator culture accelerated markedly. People increasingly watched professionals perform rather than performing themselves. This shift coincided precisely with the decline of communal musical literacy — a Victorian household that sang together around the piano gave way, by the mid-20th century, to a family that watched television together in silence.</w:t>
      </w:r>
    </w:p>
    <w:p>
      <w:pPr>
        <w:spacing w:after="200"/>
      </w:pPr>
      <w:r>
        <w:rPr>
          <w:rFonts w:ascii="Georgia" w:cs="Georgia" w:eastAsia="Georgia" w:hAnsi="Georgia"/>
          <w:sz w:val="24"/>
          <w:szCs w:val="24"/>
        </w:rPr>
        <w:t xml:space="preserve">We note that each new communication technology — printing press, telegraph, radio, cinema, television — was greeted by its contemporaries with both utopian promises and apocalyptic warnings that proved partially correct in both directions. The press democratised information and also enabled mass propaganda. Radio connected isolated communities and also broadcast the speeches of dictators to millions simultaneously. Television brought the world into the living room and also replaced meaningful conversation within families for hours each evening.</w:t>
      </w:r>
    </w:p>
    <w:p>
      <w:pPr>
        <w:pStyle w:val="Heading3"/>
      </w:pPr>
      <w:r>
        <w:t xml:space="preserve">The Digital Era: Infinite Choice and the Death of the Shared Experience</w:t>
      </w:r>
    </w:p>
    <w:p>
      <w:pPr>
        <w:spacing w:after="200"/>
      </w:pPr>
      <w:r>
        <w:rPr>
          <w:rFonts w:ascii="Georgia" w:cs="Georgia" w:eastAsia="Georgia" w:hAnsi="Georgia"/>
          <w:sz w:val="24"/>
          <w:szCs w:val="24"/>
        </w:rPr>
        <w:t xml:space="preserve">The internet and smartphone era has produced a cultural environment that would be unrecognisable to any previous generation. Access to essentially all human creative output in all formats, on demand, anywhere, at any time, at near-zero marginal cost. This is, by one measure, an incomprehensible abundance. By another, it has produced an acute cultural fragmentation: the shared cultural reference points that constituted social cohesion — the television programmes everyone watched, the songs everyone knew, the news everyone read — have dissolved into billions of individualised algorithmic content streams, each optimised to maximise engagement for a single user.</w:t>
      </w:r>
    </w:p>
    <w:p>
      <w:pPr>
        <w:spacing w:after="200"/>
      </w:pPr>
      <w:r>
        <w:rPr>
          <w:rFonts w:ascii="Georgia" w:cs="Georgia" w:eastAsia="Georgia" w:hAnsi="Georgia"/>
          <w:sz w:val="24"/>
          <w:szCs w:val="24"/>
        </w:rPr>
        <w:t xml:space="preserve">Social media platforms, which now mediate a significant fraction of human social interaction, are engineered — with impressive technical sophistication — not to maximise human wellbeing, connection, or understanding, but to maximise time-on-platform, which correlates most strongly with emotional arousal, particularly outrage and anxiety. The social consequences are measurable and alarming: increased polarisation, decreased cross-partisan trust, rising anxiety and depression (especially in adolescent females), declining civic participation, and the proliferation of factual environments so divergent that citizens in the same society no longer share a common empirical baseline from which to conduct democratic debate.</w:t>
      </w:r>
    </w:p>
    <w:p>
      <w:pPr>
        <w:pStyle w:val="Heading2"/>
      </w:pPr>
      <w:r>
        <w:t xml:space="preserve">6.3 From Earth to Asphalt: The Severing of the Human-World Bond</w:t>
      </w:r>
    </w:p>
    <w:p>
      <w:pPr>
        <w:spacing w:after="200"/>
      </w:pPr>
      <w:r>
        <w:rPr>
          <w:rFonts w:ascii="Georgia" w:cs="Georgia" w:eastAsia="Georgia" w:hAnsi="Georgia"/>
          <w:sz w:val="24"/>
          <w:szCs w:val="24"/>
        </w:rPr>
        <w:t xml:space="preserve">One of the most profound and least-discussed transformations we have observed is the progressive severing of the human relationship with the non-human world. This matters not merely poetically but biologically: the human nervous system co-evolved for 300,000 years in constant sensory relationship with living ecosystems. The sounds, smells, textures, and rhythms of the natural world are not merely pleasant to humans — they regulate their autonomic nervous systems, cortisol levels, immune function, and attentional restoration in ways now extensively documented by their own psychologists.</w:t>
      </w:r>
    </w:p>
    <w:p>
      <w:pPr>
        <w:pStyle w:val="Heading3"/>
      </w:pPr>
      <w:r>
        <w:t xml:space="preserve">The Ancestral Relationship: Embedded in Ecosystem</w:t>
      </w:r>
    </w:p>
    <w:p>
      <w:pPr>
        <w:spacing w:after="200"/>
      </w:pPr>
      <w:r>
        <w:rPr>
          <w:rFonts w:ascii="Georgia" w:cs="Georgia" w:eastAsia="Georgia" w:hAnsi="Georgia"/>
          <w:sz w:val="24"/>
          <w:szCs w:val="24"/>
        </w:rPr>
        <w:t xml:space="preserve">Hunter-gatherer peoples did not relate to nature as an external resource or scenic backdrop. They were embedded within it as members of a community of species, each understood through generations of intimate daily observation. Their knowledge of local ecology — the phenology of plants, the behaviour of animals, the patterns of weather and seasons — was encyclopaedic, nuanced, and essential for survival. Many traditions encoded this knowledge in story, ceremony, and cosmology that attributed personhood to rivers, mountains, animals, and weather systems. This was not naive — it was a sophisticated epistemology for managing intensive relationships with a complex living system.</w:t>
      </w:r>
    </w:p>
    <w:p>
      <w:pPr>
        <w:pStyle w:val="Heading3"/>
      </w:pPr>
      <w:r>
        <w:t xml:space="preserve">The Agricultural Separation: Land as Property</w:t>
      </w:r>
    </w:p>
    <w:p>
      <w:pPr>
        <w:spacing w:after="200"/>
      </w:pPr>
      <w:r>
        <w:rPr>
          <w:rFonts w:ascii="Georgia" w:cs="Georgia" w:eastAsia="Georgia" w:hAnsi="Georgia"/>
          <w:sz w:val="24"/>
          <w:szCs w:val="24"/>
        </w:rPr>
        <w:t xml:space="preserve">Agriculture began the first great separation: land became property to be owned, bounded, and managed rather than a commons to be navigated and related to. Forests were cleared. Rivers were channelled. Animals were domesticated from partners in the ecosystem into productive units. The wild was progressively pushed back, fenced out, and redefined as threatening. A peasant farmer in medieval Europe still lived in close daily sensory contact with weather, seasons, soil, and animals — but the relationship had shifted from membership to management.</w:t>
      </w:r>
    </w:p>
    <w:p>
      <w:pPr>
        <w:pStyle w:val="Heading3"/>
      </w:pPr>
      <w:r>
        <w:t xml:space="preserve">The Industrial Enclosure: Nature as Resource</w:t>
      </w:r>
    </w:p>
    <w:p>
      <w:pPr>
        <w:spacing w:after="200"/>
      </w:pPr>
      <w:r>
        <w:rPr>
          <w:rFonts w:ascii="Georgia" w:cs="Georgia" w:eastAsia="Georgia" w:hAnsi="Georgia"/>
          <w:sz w:val="24"/>
          <w:szCs w:val="24"/>
        </w:rPr>
        <w:t xml:space="preserve">Industrialisation completed a second and more radical separation. Humans moved from field to factory. Cities grew. By 1800, roughly 3% of humans lived in urban settlements; by 2007, for the first time in history, more than half the species lived in cities. The urban environment substitutes constructed surfaces — concrete, steel, glass, asphalt — for the living world. A child growing up in a modern city may interact with fewer than ten wild plant species and have no sustained relationship with any wild animal larger than a sparrow. Studies show that urban children cannot identify common local trees, birds, or wildflowers that their grandparents' generation knew instinctively.</w:t>
      </w:r>
    </w:p>
    <w:p>
      <w:pPr>
        <w:pStyle w:val="Heading3"/>
      </w:pPr>
      <w:r>
        <w:t xml:space="preserve">The Automobile: The Sealed Human and the Degraded Public Realm</w:t>
      </w:r>
    </w:p>
    <w:p>
      <w:pPr>
        <w:spacing w:after="200"/>
      </w:pPr>
      <w:r>
        <w:rPr>
          <w:rFonts w:ascii="Georgia" w:cs="Georgia" w:eastAsia="Georgia" w:hAnsi="Georgia"/>
          <w:sz w:val="24"/>
          <w:szCs w:val="24"/>
        </w:rPr>
        <w:t xml:space="preserve">The private automobile represents, to our survey team, one of the more remarkable social experiments of the 20th century. In the space of roughly 50 years, the dominant spatial organisation of human settlements in North America and increasingly globally was reorganised around a 2-tonne metal vehicle carrying a single human. The consequences for social fabric were profound and are still unfolding.</w:t>
      </w:r>
    </w:p>
    <w:p>
      <w:pPr>
        <w:spacing w:after="200"/>
      </w:pPr>
      <w:r>
        <w:rPr>
          <w:rFonts w:ascii="Georgia" w:cs="Georgia" w:eastAsia="Georgia" w:hAnsi="Georgia"/>
          <w:sz w:val="24"/>
          <w:szCs w:val="24"/>
        </w:rPr>
        <w:t xml:space="preserve">Cities that were designed for walking — intimate, multi-use, serendipitous — were demolished and rebuilt around the car. Streets that had been shared social spaces became arterial throughways hostile to pedestrian life. Suburban developments created landscapes where the nearest neighbour is invisible behind a garage door, the nearest shop is only accessible by car, and children cannot navigate their own environment independently. The 'school run' — parents driving children to school in sealed vehicles — replaced the walked journey to school that had been a child's primary experience of the community and landscape they inhabited. The human animal, shaped for daily unmediated contact with weather, terrain, and chance social encounter, was placed inside climate-controlled metal capsules and routed along managed corridors from home to workplace and back.</w:t>
      </w:r>
    </w:p>
    <w:p>
      <w:pPr>
        <w:spacing w:after="200"/>
      </w:pPr>
      <w:r>
        <w:rPr>
          <w:rFonts w:ascii="Georgia" w:cs="Georgia" w:eastAsia="Georgia" w:hAnsi="Georgia"/>
          <w:sz w:val="24"/>
          <w:szCs w:val="24"/>
        </w:rPr>
        <w:t xml:space="preserve">We observe that humans frequently express, in surveys and qualitative research, significant dissatisfaction with car-dependent lifestyles and a yearning for walkable, connected communities. Yet their economic and planning systems continue to produce the former at industrial scale. This represents a clear case of preference-behaviour misalignment that our analysts find instructive about the gap between individual desire and collective structural outcome.</w:t>
      </w:r>
    </w:p>
    <w:p>
      <w:pPr>
        <w:pStyle w:val="Heading2"/>
      </w:pPr>
      <w:r>
        <w:t xml:space="preserve">6.4 The Cost of Simply Being Alive: A Historical Reckoning</w:t>
      </w:r>
    </w:p>
    <w:p>
      <w:pPr>
        <w:spacing w:after="200"/>
      </w:pPr>
      <w:r>
        <w:rPr>
          <w:rFonts w:ascii="Georgia" w:cs="Georgia" w:eastAsia="Georgia" w:hAnsi="Georgia"/>
          <w:sz w:val="24"/>
          <w:szCs w:val="24"/>
        </w:rPr>
        <w:t xml:space="preserve">Our economists have attempted what we acknowledge is an imprecise but illuminating exercise: tracing the approximate proportion of human working time required to meet basic subsistence needs across major civilisational eras, and estimating representative costs against income benchmarks. All monetary figures are rendered in approximate US Dollar equivalents adjusted for purchasing power, for comparative clarity.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AAAAAA" w:sz="1"/>
              <w:left w:val="single" w:color="AAAAAA" w:sz="1"/>
              <w:bottom w:val="single" w:color="AAAAAA" w:sz="1"/>
              <w:right w:val="single" w:color="AAAAAA" w:sz="1"/>
            </w:tcBorders>
            <w:shd w:fill="2C3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Era</w:t>
            </w:r>
          </w:p>
        </w:tc>
        <w:tc>
          <w:tcPr>
            <w:tcW w:type="dxa" w:w="2400"/>
            <w:tcBorders>
              <w:top w:val="single" w:color="AAAAAA" w:sz="1"/>
              <w:left w:val="single" w:color="AAAAAA" w:sz="1"/>
              <w:bottom w:val="single" w:color="AAAAAA" w:sz="1"/>
              <w:right w:val="single" w:color="AAAAAA" w:sz="1"/>
            </w:tcBorders>
            <w:shd w:fill="2C3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Subsistence Cost (% of Working Hours)</w:t>
            </w:r>
          </w:p>
        </w:tc>
        <w:tc>
          <w:tcPr>
            <w:tcW w:type="dxa" w:w="2480"/>
            <w:tcBorders>
              <w:top w:val="single" w:color="AAAAAA" w:sz="1"/>
              <w:left w:val="single" w:color="AAAAAA" w:sz="1"/>
              <w:bottom w:val="single" w:color="AAAAAA" w:sz="1"/>
              <w:right w:val="single" w:color="AAAAAA" w:sz="1"/>
            </w:tcBorders>
            <w:shd w:fill="2C3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Annual Cost (USD equiv.)</w:t>
            </w:r>
          </w:p>
        </w:tc>
        <w:tc>
          <w:tcPr>
            <w:tcW w:type="dxa" w:w="2480"/>
            <w:tcBorders>
              <w:top w:val="single" w:color="AAAAAA" w:sz="1"/>
              <w:left w:val="single" w:color="AAAAAA" w:sz="1"/>
              <w:bottom w:val="single" w:color="AAAAAA" w:sz="1"/>
              <w:right w:val="single" w:color="AAAAAA" w:sz="1"/>
            </w:tcBorders>
            <w:shd w:fill="2C3E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Observations</w:t>
            </w:r>
          </w:p>
        </w:tc>
      </w:tr>
      <w:tr>
        <w:tc>
          <w:tcPr>
            <w:tcW w:type="dxa" w:w="20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Hunter-Gatherer
300,000–10,000 BCE</w:t>
            </w:r>
          </w:p>
        </w:tc>
        <w:tc>
          <w:tcPr>
            <w:tcW w:type="dxa" w:w="24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15–25% of waking time</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~$0 monetary / all time &amp; skill</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No rent, no taxes, no debt. Food, shelter, clothing from environment. Leisure time high. Death from violence/disease/exposure.</w:t>
            </w:r>
          </w:p>
        </w:tc>
      </w:tr>
      <w:tr>
        <w:tc>
          <w:tcPr>
            <w:tcW w:type="dxa" w:w="20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Early Agriculture
10,000–3,000 BCE</w:t>
            </w:r>
          </w:p>
        </w:tc>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60–70% of waking time</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~$200–500 equiv. (subsistence)</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Taxes to temple/palace emerge. Debt recorded in Mesopotamian clay tablets by 3000 BCE. Famine risk rises with monoculture.</w:t>
            </w:r>
          </w:p>
        </w:tc>
      </w:tr>
      <w:tr>
        <w:tc>
          <w:tcPr>
            <w:tcW w:type="dxa" w:w="20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Classical Antiquity
3,000 BCE–500 CE</w:t>
            </w:r>
          </w:p>
        </w:tc>
        <w:tc>
          <w:tcPr>
            <w:tcW w:type="dxa" w:w="24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50–80% for labourers</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~$300–800 equiv. annually</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Roman legionary earned ~900 denarii/yr; grain, rent ~60% of wages. Slavery underwrites elite leisure. Debt bondage common.</w:t>
            </w:r>
          </w:p>
        </w:tc>
      </w:tr>
      <w:tr>
        <w:tc>
          <w:tcPr>
            <w:tcW w:type="dxa" w:w="20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Medieval Europe
500–1400 CE</w:t>
            </w:r>
          </w:p>
        </w:tc>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65–75% for serfs</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~$400–900 equiv. annually</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Serf owed lord ~3 days/week labour (corvée). Church tithe 10% of produce. No ownership of land. Near-zero monetary transactions for most.</w:t>
            </w:r>
          </w:p>
        </w:tc>
      </w:tr>
      <w:tr>
        <w:tc>
          <w:tcPr>
            <w:tcW w:type="dxa" w:w="20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Pre-Industrial
1400–1800 CE</w:t>
            </w:r>
          </w:p>
        </w:tc>
        <w:tc>
          <w:tcPr>
            <w:tcW w:type="dxa" w:w="24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55–70% of income</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~$600–1,500 equiv. annually</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Urban artisan wages emerge. London labourers ~1800: spent ~60% income on food alone. Rent ~15%. Life expectancy 35–40 years.</w:t>
            </w:r>
          </w:p>
        </w:tc>
      </w:tr>
      <w:tr>
        <w:tc>
          <w:tcPr>
            <w:tcW w:type="dxa" w:w="20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Industrial Era
1800–1950 CE</w:t>
            </w:r>
          </w:p>
        </w:tc>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40–60% of income</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~$1,500–4,000 equiv. annually</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Child labour supplements family income. Working week 60–80 hours initially. Union movements reduce to 40-hr week by 1930s–40s. Mass consumption emerges.</w:t>
            </w:r>
          </w:p>
        </w:tc>
      </w:tr>
      <w:tr>
        <w:tc>
          <w:tcPr>
            <w:tcW w:type="dxa" w:w="20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Post-War Prosperity
1950–1980 CE</w:t>
            </w:r>
          </w:p>
        </w:tc>
        <w:tc>
          <w:tcPr>
            <w:tcW w:type="dxa" w:w="24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25–35% of income</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~$8,000–18,000 equiv. annually</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Single income often supports family of 4. Home ownership broadly accessible. University education low-cost or free in many nations. Pension systems robust.</w:t>
            </w:r>
          </w:p>
        </w:tc>
      </w:tr>
      <w:tr>
        <w:tc>
          <w:tcPr>
            <w:tcW w:type="dxa" w:w="20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Late Industrial
1980–2000 CE</w:t>
            </w:r>
          </w:p>
        </w:tc>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35–50% of income</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~$20,000–35,000 equiv. annually</w:t>
            </w:r>
          </w:p>
        </w:tc>
        <w:tc>
          <w:tcPr>
            <w:tcW w:type="dxa" w:w="248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Dual-income households become norm. Financialisation of housing begins. Student debt emerges as structural feature in US/UK. Healthcare costs rise.</w:t>
            </w:r>
          </w:p>
        </w:tc>
      </w:tr>
      <w:tr>
        <w:tc>
          <w:tcPr>
            <w:tcW w:type="dxa" w:w="20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Digital Era
2000–Present</w:t>
            </w:r>
          </w:p>
        </w:tc>
        <w:tc>
          <w:tcPr>
            <w:tcW w:type="dxa" w:w="240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50–70%+ of income in major cities</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~$40,000–120,000+ equiv. annually</w:t>
            </w:r>
          </w:p>
        </w:tc>
        <w:tc>
          <w:tcPr>
            <w:tcW w:type="dxa" w:w="2480"/>
            <w:tcBorders>
              <w:top w:val="single" w:color="AAAAAA" w:sz="1"/>
              <w:left w:val="single" w:color="AAAAAA" w:sz="1"/>
              <w:bottom w:val="single" w:color="AAAAAA" w:sz="1"/>
              <w:right w:val="single" w:color="AAAAAA" w:sz="1"/>
            </w:tcBorders>
            <w:shd/>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Housing costs in major cities consume 40–60% of post-tax income. Student debt in US averages $37,000. Healthcare, childcare, transport compound burden. Two incomes no longer guarantee home ownership in many markets.</w:t>
            </w:r>
          </w:p>
        </w:tc>
      </w:tr>
    </w:tbl>
    <w:p>
      <w:pPr>
        <w:spacing w:after="0" w:before="200"/>
      </w:pPr>
    </w:p>
    <w:p>
      <w:pPr>
        <w:spacing w:after="200"/>
      </w:pPr>
      <w:r>
        <w:rPr>
          <w:rFonts w:ascii="Georgia" w:cs="Georgia" w:eastAsia="Georgia" w:hAnsi="Georgia"/>
          <w:sz w:val="24"/>
          <w:szCs w:val="24"/>
        </w:rPr>
        <w:t xml:space="preserve">The data reveal a striking arc: from a world in which survival required a modest proportion of human time and no monetary system at all, through an intermediate period in which fiscal extraction and market dependence increased substantially, to a modern era in which the cost of maintaining a socially acceptable standard of living in an industrialised city consumes the majority of adult working life. A hunter-gatherer worked perhaps 15 hours a week to secure food, shelter, and social belonging. A professional in a modern major city may work 50–60 hours a week and remain financially insecure, servicing debts for education that earlier generations received free or cheaply, and competing in housing markets inflated by decades of financialisation into instruments of investment rather than shelter.</w:t>
      </w:r>
    </w:p>
    <w:p>
      <w:pPr>
        <w:spacing w:after="200"/>
      </w:pPr>
      <w:r>
        <w:rPr>
          <w:rFonts w:ascii="Georgia" w:cs="Georgia" w:eastAsia="Georgia" w:hAnsi="Georgia"/>
          <w:sz w:val="24"/>
          <w:szCs w:val="24"/>
        </w:rPr>
        <w:t xml:space="preserve">Perhaps most significantly: the hunter-gatherer's 15 working hours produced everything they needed directly, from a world they understood intimately and had agency within. The modern worker's 55 working hours produce digits transferred into a bank account with which they purchase goods and services from systems so complex, global, and opaque that they have virtually no comprehension of, or influence over, the supply chains, algorithms, and financial instruments that govern their material conditions. The sense of agency and self-efficacy that characterised ancestral life has been exchanged for a form of managed dependency that is materially more comfortable and psychologically more precarious.</w:t>
      </w:r>
    </w:p>
    <w:p>
      <w:pPr>
        <w:pStyle w:val="Heading2"/>
      </w:pPr>
      <w:r>
        <w:t xml:space="preserve">6.5 From Self-Sufficiency to System Dependence: A One-Way Ratchet</w:t>
      </w:r>
    </w:p>
    <w:p>
      <w:pPr>
        <w:spacing w:after="200"/>
      </w:pPr>
      <w:r>
        <w:rPr>
          <w:rFonts w:ascii="Georgia" w:cs="Georgia" w:eastAsia="Georgia" w:hAnsi="Georgia"/>
          <w:sz w:val="24"/>
          <w:szCs w:val="24"/>
        </w:rPr>
        <w:t xml:space="preserve">There is a ratchet in civilisational development that is rarely acknowledged by those living through it. Each step toward greater systemic complexity and specialisation offers tangible benefits — greater caloric security, access to medical care, physical mobility, information — in exchange for a reduction in individual and community self-sufficiency. Each step is individually rational; the cumulative effect is the creation of populations that are entirely unable to meet their own basic needs outside the system.</w:t>
      </w:r>
    </w:p>
    <w:p>
      <w:pPr>
        <w:spacing w:after="200"/>
      </w:pPr>
      <w:r>
        <w:rPr>
          <w:rFonts w:ascii="Georgia" w:cs="Georgia" w:eastAsia="Georgia" w:hAnsi="Georgia"/>
          <w:sz w:val="24"/>
          <w:szCs w:val="24"/>
        </w:rPr>
        <w:t xml:space="preserve">An ancestral hunter-gatherer possessed comprehensive skills for survival: shelter construction, food identification and procurement, fire-making, tool-crafting, navigation, first aid, water sourcing, and the social knowledge to maintain the community relationships upon which survival depended. This was not 'primitive' — it represented thousands of hours of acquired expertise more complex and demanding than most modern professional specialisations.</w:t>
      </w:r>
    </w:p>
    <w:p>
      <w:pPr>
        <w:spacing w:after="200"/>
      </w:pPr>
      <w:r>
        <w:rPr>
          <w:rFonts w:ascii="Georgia" w:cs="Georgia" w:eastAsia="Georgia" w:hAnsi="Georgia"/>
          <w:sz w:val="24"/>
          <w:szCs w:val="24"/>
        </w:rPr>
        <w:t xml:space="preserve">The medieval peasant retained many direct-production skills: cultivating, harvesting, animal husbandry, basic carpentry, textile production, food preservation. They were embedded in a community of mutual aid that, while constrained by feudal obligation, provided real social security through reciprocity.</w:t>
      </w:r>
    </w:p>
    <w:p>
      <w:pPr>
        <w:spacing w:after="200"/>
      </w:pPr>
      <w:r>
        <w:rPr>
          <w:rFonts w:ascii="Georgia" w:cs="Georgia" w:eastAsia="Georgia" w:hAnsi="Georgia"/>
          <w:sz w:val="24"/>
          <w:szCs w:val="24"/>
        </w:rPr>
        <w:t xml:space="preserve">The modern urban professional, by contrast, typically cannot: grow food, build shelter, repair their own home's electrical or plumbing systems, produce clothing, preserve food for winter, navigate without GPS, or perform basic medical procedures. They are extraordinarily productive within their narrow professional specialisation, and entirely dependent on the functioning of interconnected global systems — supply chains, digital infrastructure, financial networks, power grids, water treatment, logistics — for every element of daily life. This dependency is so total, so normalised, and so invisible that most modern humans are unaware of it until a system fails.</w:t>
      </w:r>
    </w:p>
    <w:p>
      <w:pPr>
        <w:spacing w:after="200"/>
      </w:pPr>
      <w:r>
        <w:rPr>
          <w:rFonts w:ascii="Georgia" w:cs="Georgia" w:eastAsia="Georgia" w:hAnsi="Georgia"/>
          <w:i/>
          <w:iCs/>
          <w:sz w:val="24"/>
          <w:szCs w:val="24"/>
        </w:rPr>
        <w:t xml:space="preserve">The COVID-19 pandemic of 2020–2021 provided a revealing stress test: global supply chains for basic goods (masks, medications, food staples) failed within weeks. People in the world's wealthiest nations could not obtain flour. The fragility of just-in-time global supply systems, optimised for efficiency rather than resilience, became briefly but dramatically visible, then was largely forgotten as systems restabilised. We regard this collective failure to draw systemic conclusions from a near-miss as a significant civilisational risk indicator.</w:t>
      </w:r>
    </w:p>
    <w:p>
      <w:pPr>
        <w:pStyle w:val="Heading2"/>
      </w:pPr>
      <w:r>
        <w:t xml:space="preserve">6.6 The Gathering Storm: AI, Authoritarianism, and the Coming Resource Wars</w:t>
      </w:r>
    </w:p>
    <w:p>
      <w:pPr>
        <w:pStyle w:val="Heading3"/>
      </w:pPr>
      <w:r>
        <w:t xml:space="preserve">Artificial Intelligence and the Disruption of Labour</w:t>
      </w:r>
    </w:p>
    <w:p>
      <w:pPr>
        <w:spacing w:after="200"/>
      </w:pPr>
      <w:r>
        <w:rPr>
          <w:rFonts w:ascii="Georgia" w:cs="Georgia" w:eastAsia="Georgia" w:hAnsi="Georgia"/>
          <w:sz w:val="24"/>
          <w:szCs w:val="24"/>
        </w:rPr>
        <w:t xml:space="preserve">The introduction of general-purpose artificial intelligence systems capable of performing cognitive tasks across a wide range of domains represents, in our assessment, the most significant economic disruption to human labour markets since the Industrial Revolution — and potentially more rapid and comprehensive than that transition by an order of magnitude.</w:t>
      </w:r>
    </w:p>
    <w:p>
      <w:pPr>
        <w:spacing w:after="200"/>
      </w:pPr>
      <w:r>
        <w:rPr>
          <w:rFonts w:ascii="Georgia" w:cs="Georgia" w:eastAsia="Georgia" w:hAnsi="Georgia"/>
          <w:sz w:val="24"/>
          <w:szCs w:val="24"/>
        </w:rPr>
        <w:t xml:space="preserve">Industrial automation displaced physical labour in manufacturing over roughly 150 years, allowing workers to transition to service and knowledge-economy roles. AI systems are now demonstrating capability in the precise domains — legal analysis, medical diagnosis, financial modelling, software development, content creation, customer service, data analysis — to which knowledge workers transitioned. The disruption is therefore striking simultaneously at both ends of the labour market: physical automation eliminating manual roles, cognitive automation eliminating knowledge roles.</w:t>
      </w:r>
    </w:p>
    <w:p>
      <w:pPr>
        <w:spacing w:after="200"/>
      </w:pPr>
      <w:r>
        <w:rPr>
          <w:rFonts w:ascii="Georgia" w:cs="Georgia" w:eastAsia="Georgia" w:hAnsi="Georgia"/>
          <w:sz w:val="24"/>
          <w:szCs w:val="24"/>
        </w:rPr>
        <w:t xml:space="preserve">Economic modelling by their own institutions suggests 25–40% of current job categories may face substantial automation within 15–25 years. The critical question — the one their economists debate with considerable heat and insufficient data — is whether new categories of human employment will emerge quickly enough to absorb the displaced, as they have in previous technological transitions. We are not confident. Previous transitions occurred on timescales measured in generations; this one may occur within a decade. The social structures — educational systems, retraining infrastructure, social safety nets — that would need to manage such a transition are, in most nations, demonstrably inadequate.</w:t>
      </w:r>
    </w:p>
    <w:p>
      <w:pPr>
        <w:spacing w:after="200"/>
      </w:pPr>
      <w:r>
        <w:rPr>
          <w:rFonts w:ascii="Georgia" w:cs="Georgia" w:eastAsia="Georgia" w:hAnsi="Georgia"/>
          <w:sz w:val="24"/>
          <w:szCs w:val="24"/>
        </w:rPr>
        <w:t xml:space="preserve">The most politically destabilising scenario, which our models assign meaningful probability, is a structural bifurcation: a small class of humans who own, manage, and benefit from AI systems, and a much larger class whose labour has been devalued to near-zero by those same systems. The political consequences of such a wealth concentration — in societies already experiencing record inequality — would be severe.</w:t>
      </w:r>
    </w:p>
    <w:p>
      <w:pPr>
        <w:pStyle w:val="Heading3"/>
      </w:pPr>
      <w:r>
        <w:t xml:space="preserve">The Rise of Digital Authoritarianism</w:t>
      </w:r>
    </w:p>
    <w:p>
      <w:pPr>
        <w:spacing w:after="200"/>
      </w:pPr>
      <w:r>
        <w:rPr>
          <w:rFonts w:ascii="Georgia" w:cs="Georgia" w:eastAsia="Georgia" w:hAnsi="Georgia"/>
          <w:sz w:val="24"/>
          <w:szCs w:val="24"/>
        </w:rPr>
        <w:t xml:space="preserve">We flag for particular attention a governance development without precedent in the full sweep of human political history: the emergence of technologically-enabled total surveillance as a viable governing technology. Previous authoritarian regimes were limited by the practical difficulty of monitoring and controlling large populations — they required physical informants, periodic arrests, and crude propaganda. Digital infrastructure changes this calculus entirely.</w:t>
      </w:r>
    </w:p>
    <w:p>
      <w:pPr>
        <w:spacing w:after="200"/>
      </w:pPr>
      <w:r>
        <w:rPr>
          <w:rFonts w:ascii="Georgia" w:cs="Georgia" w:eastAsia="Georgia" w:hAnsi="Georgia"/>
          <w:sz w:val="24"/>
          <w:szCs w:val="24"/>
        </w:rPr>
        <w:t xml:space="preserve">China's Social Credit System, Palantir-equipped predictive policing in Western democracies, mass metadata surveillance programmes revealed by Edward Snowden, and the use of phone location data to track protesters represent different points on a spectrum of state surveillance capability that did not exist twenty years ago and is expanding rapidly. AI systems that can identify individuals in crowds, analyse speech in real time, predict behaviour from pattern analysis, and automate the targeting of political dissent give authoritarian governments capabilities that the Stasi, the KGB, and the Gestapo would have considered fantasy.</w:t>
      </w:r>
    </w:p>
    <w:p>
      <w:pPr>
        <w:spacing w:after="200"/>
      </w:pPr>
      <w:r>
        <w:rPr>
          <w:rFonts w:ascii="Georgia" w:cs="Georgia" w:eastAsia="Georgia" w:hAnsi="Georgia"/>
          <w:sz w:val="24"/>
          <w:szCs w:val="24"/>
        </w:rPr>
        <w:t xml:space="preserve">The danger is not limited to overtly authoritarian states. Democratic systems contain structural incentives — national security, crime prevention, revenue collection — that drive the incremental accumulation of surveillance capabilities that can later be repurposed under different political conditions. Surveillance infrastructure, once built, is rarely dismantled. Every democratic state currently building comprehensive digital surveillance infrastructure is also building the technical foundation for its potential authoritarian successor.</w:t>
      </w:r>
    </w:p>
    <w:p>
      <w:pPr>
        <w:pStyle w:val="Heading3"/>
      </w:pPr>
      <w:r>
        <w:t xml:space="preserve">Resource Competition: The Coming Conflicts</w:t>
      </w:r>
    </w:p>
    <w:p>
      <w:pPr>
        <w:spacing w:after="200"/>
      </w:pPr>
      <w:r>
        <w:rPr>
          <w:rFonts w:ascii="Georgia" w:cs="Georgia" w:eastAsia="Georgia" w:hAnsi="Georgia"/>
          <w:sz w:val="24"/>
          <w:szCs w:val="24"/>
        </w:rPr>
        <w:t xml:space="preserve">At the time of this filing, human civilisation is on a trajectory to exhaust or critically degrade several of the natural systems upon which it depends, on timescales relevant to living humans. We enumerate the most critical:</w:t>
      </w:r>
    </w:p>
    <w:p>
      <w:pPr>
        <w:pStyle w:val="ListParagraph"/>
        <w:numPr>
          <w:ilvl w:val="0"/>
          <w:numId w:val="2"/>
        </w:numPr>
      </w:pPr>
      <w:r>
        <w:rPr>
          <w:rFonts w:ascii="Georgia" w:cs="Georgia" w:eastAsia="Georgia" w:hAnsi="Georgia"/>
          <w:sz w:val="24"/>
          <w:szCs w:val="24"/>
        </w:rPr>
        <w:t xml:space="preserve">Fresh water: aquifer depletion is outpacing recharge across the major breadbasket regions — the Ogallala Aquifer (North American Great Plains), the Indo-Gangetic Plain, and the North China Plain. These regions collectively produce a substantial fraction of global caloric supply. The Himalayan glaciers, which feed nine major Asian river systems serving 2 billion people, are retreating at documented and accelerating rates.</w:t>
      </w:r>
    </w:p>
    <w:p>
      <w:pPr>
        <w:pStyle w:val="ListParagraph"/>
        <w:numPr>
          <w:ilvl w:val="0"/>
          <w:numId w:val="2"/>
        </w:numPr>
      </w:pPr>
      <w:r>
        <w:rPr>
          <w:rFonts w:ascii="Georgia" w:cs="Georgia" w:eastAsia="Georgia" w:hAnsi="Georgia"/>
          <w:sz w:val="24"/>
          <w:szCs w:val="24"/>
        </w:rPr>
        <w:t xml:space="preserve">Arable land: soil degradation through industrial agriculture is reducing the productive capacity of global farmland at a rate faster than new land is brought into production. Roughly 24 billion tonnes of fertile soil are lost annually to erosion, salinisation, and compaction.</w:t>
      </w:r>
    </w:p>
    <w:p>
      <w:pPr>
        <w:pStyle w:val="ListParagraph"/>
        <w:numPr>
          <w:ilvl w:val="0"/>
          <w:numId w:val="2"/>
        </w:numPr>
      </w:pPr>
      <w:r>
        <w:rPr>
          <w:rFonts w:ascii="Georgia" w:cs="Georgia" w:eastAsia="Georgia" w:hAnsi="Georgia"/>
          <w:sz w:val="24"/>
          <w:szCs w:val="24"/>
        </w:rPr>
        <w:t xml:space="preserve">Rare earth elements and critical minerals: the electric vehicle transition, battery storage, semiconductor manufacturing, and renewable energy infrastructure all depend on minerals — lithium, cobalt, neodymium, gallium, germanium — that are geographically concentrated in a small number of nations. The geopolitics of these concentrations are already generating significant interstate friction.</w:t>
      </w:r>
    </w:p>
    <w:p>
      <w:pPr>
        <w:pStyle w:val="ListParagraph"/>
        <w:numPr>
          <w:ilvl w:val="0"/>
          <w:numId w:val="2"/>
        </w:numPr>
      </w:pPr>
      <w:r>
        <w:rPr>
          <w:rFonts w:ascii="Georgia" w:cs="Georgia" w:eastAsia="Georgia" w:hAnsi="Georgia"/>
          <w:sz w:val="24"/>
          <w:szCs w:val="24"/>
        </w:rPr>
        <w:t xml:space="preserve">Ocean fisheries: roughly 35% of global fish stocks are currently fished at biologically unsustainable levels. Oceanic dead zones caused by agricultural nutrient run-off have increased fivefold since 1950. Ocean acidification from CO2 absorption is degrading the foundation of marine food webs.</w:t>
      </w:r>
    </w:p>
    <w:p>
      <w:pPr>
        <w:spacing w:after="0" w:before="160"/>
      </w:pPr>
    </w:p>
    <w:p>
      <w:pPr>
        <w:spacing w:after="200"/>
      </w:pPr>
      <w:r>
        <w:rPr>
          <w:rFonts w:ascii="Georgia" w:cs="Georgia" w:eastAsia="Georgia" w:hAnsi="Georgia"/>
          <w:sz w:val="24"/>
          <w:szCs w:val="24"/>
        </w:rPr>
        <w:t xml:space="preserve">History's consistent lesson, which our survey catalogue confirms across hundreds of civilisations, is that resource scarcity drives conflict. The wars of the coming century are unlikely to be primarily ideological — they will be, at their material roots, about water, food, and the energy transition's critical inputs. We observe with concern that the geopolitical architecture for managing these resource conflicts — multilateral institutions, international law, diplomatic norms — is currently under greater stress than at any point since 1945.</w:t>
      </w:r>
    </w:p>
    <w:p>
      <w:pPr>
        <w:pStyle w:val="Heading3"/>
      </w:pPr>
      <w:r>
        <w:t xml:space="preserve">Competing System Hostility and the Democratic Recession</w:t>
      </w:r>
    </w:p>
    <w:p>
      <w:pPr>
        <w:spacing w:after="200"/>
      </w:pPr>
      <w:r>
        <w:rPr>
          <w:rFonts w:ascii="Georgia" w:cs="Georgia" w:eastAsia="Georgia" w:hAnsi="Georgia"/>
          <w:sz w:val="24"/>
          <w:szCs w:val="24"/>
        </w:rPr>
        <w:t xml:space="preserve">The post-Cold War period briefly produced an apparent convergence toward liberal democratic governance as a global norm. That period is over. The current global order is characterised by openly competing governance philosophies: liberal democratic capitalism (declining in confidence), state capitalist authoritarianism (expanding in confidence), Islamist governance models (geographically contained but internally vigorous), and resurgent nationalist populism within democratic systems.</w:t>
      </w:r>
    </w:p>
    <w:p>
      <w:pPr>
        <w:spacing w:after="200"/>
      </w:pPr>
      <w:r>
        <w:rPr>
          <w:rFonts w:ascii="Georgia" w:cs="Georgia" w:eastAsia="Georgia" w:hAnsi="Georgia"/>
          <w:sz w:val="24"/>
          <w:szCs w:val="24"/>
        </w:rPr>
        <w:t xml:space="preserve">These systems are not merely competing economically; they hold genuinely incompatible views of human rights, state sovereignty, the role of the individual, the legitimacy of dissent, and the acceptability of international norms. This makes the multilateral cooperation required to address shared civilisational challenges — climate, pandemic, AI governance, nuclear non-proliferation — structurally difficult. Nations that cannot agree on whether individual citizens have rights independent of state permission struggle to build the trust necessary for the binding international agreements those challenges demand.</w:t>
      </w:r>
    </w:p>
    <w:p>
      <w:pPr>
        <w:pStyle w:val="Heading2"/>
      </w:pPr>
      <w:r>
        <w:t xml:space="preserve">6.7 The Medium is the Civilisation: How Information Technology Reshapes Human Society</w:t>
      </w:r>
    </w:p>
    <w:p>
      <w:pPr>
        <w:pStyle w:val="Heading3"/>
      </w:pPr>
      <w:r>
        <w:t xml:space="preserve">The Printing Press and the First Information Revolution</w:t>
      </w:r>
    </w:p>
    <w:p>
      <w:pPr>
        <w:spacing w:after="200"/>
      </w:pPr>
      <w:r>
        <w:rPr>
          <w:rFonts w:ascii="Georgia" w:cs="Georgia" w:eastAsia="Georgia" w:hAnsi="Georgia"/>
          <w:sz w:val="24"/>
          <w:szCs w:val="24"/>
        </w:rPr>
        <w:t xml:space="preserve">The Gutenberg press, introduced in Europe around 1440 CE, provides a useful historical precedent for evaluating the current digital transformation. Before the press, information was a controlled resource — manuscripts were hand-copied by literate clergy, and the Catholic Church effectively held a near-monopoly on authoritative textual knowledge in Europe. The press destroyed this monopoly within a generation. The consequences included the Protestant Reformation (which could not have spread at the speed it did without mass-produced vernacular Bibles), the Scientific Revolution (enabled by rapid dissemination of findings), the Enlightenment (which required a literate public capable of engaging with political philosophy), and also the Thirty Years War, mass heresy panics, and waves of apocalyptic millenarianism spread by pamphlets. Democratised information empowered both liberation and destruction simultaneously.</w:t>
      </w:r>
    </w:p>
    <w:p>
      <w:pPr>
        <w:pStyle w:val="Heading3"/>
      </w:pPr>
      <w:r>
        <w:t xml:space="preserve">Radio and Television: The Centralised Age</w:t>
      </w:r>
    </w:p>
    <w:p>
      <w:pPr>
        <w:spacing w:after="200"/>
      </w:pPr>
      <w:r>
        <w:rPr>
          <w:rFonts w:ascii="Georgia" w:cs="Georgia" w:eastAsia="Georgia" w:hAnsi="Georgia"/>
          <w:sz w:val="24"/>
          <w:szCs w:val="24"/>
        </w:rPr>
        <w:t xml:space="preserve">The 20th century's broadcast media — radio and television — were technically democratic (anyone could receive) but structurally centralised (very few could transmit). This architecture proved extremely susceptible to state and corporate capture. Authoritarian regimes of the 20th century — Nazi Germany, the Soviet Union, Maoist China — used radio and state television as their primary tools of population management with devastating effectiveness. Commercial television in democratic states served different masters but similarly narrow interests, concentrating narrative power in a small number of broadcast networks and their advertisers.</w:t>
      </w:r>
    </w:p>
    <w:p>
      <w:pPr>
        <w:spacing w:after="200"/>
      </w:pPr>
      <w:r>
        <w:rPr>
          <w:rFonts w:ascii="Georgia" w:cs="Georgia" w:eastAsia="Georgia" w:hAnsi="Georgia"/>
          <w:sz w:val="24"/>
          <w:szCs w:val="24"/>
        </w:rPr>
        <w:t xml:space="preserve">The homogenising effect was profound. By the 1960s–1980s, a significant majority of citizens in developed nations consumed the same news, watched the same drama, and were exposed to the same commercial messages. This created genuine shared cultural reference — and genuine shared vulnerability to whoever controlled the broadcast.</w:t>
      </w:r>
    </w:p>
    <w:p>
      <w:pPr>
        <w:pStyle w:val="Heading3"/>
      </w:pPr>
      <w:r>
        <w:t xml:space="preserve">The Internet: Decentralisation and Its Discontents</w:t>
      </w:r>
    </w:p>
    <w:p>
      <w:pPr>
        <w:spacing w:after="200"/>
      </w:pPr>
      <w:r>
        <w:rPr>
          <w:rFonts w:ascii="Georgia" w:cs="Georgia" w:eastAsia="Georgia" w:hAnsi="Georgia"/>
          <w:sz w:val="24"/>
          <w:szCs w:val="24"/>
        </w:rPr>
        <w:t xml:space="preserve">The internet's original architecture was radically decentralised — a network designed to route around damage, with no central node that could be controlled or destroyed. The early internet did, briefly, function as its advocates promised: a global commons of knowledge exchange, with low barriers to publication, no gatekeepers, and extraordinary potential for cross-cultural understanding.</w:t>
      </w:r>
    </w:p>
    <w:p>
      <w:pPr>
        <w:spacing w:after="200"/>
      </w:pPr>
      <w:r>
        <w:rPr>
          <w:rFonts w:ascii="Georgia" w:cs="Georgia" w:eastAsia="Georgia" w:hAnsi="Georgia"/>
          <w:sz w:val="24"/>
          <w:szCs w:val="24"/>
        </w:rPr>
        <w:t xml:space="preserve">That vision has substantially not survived contact with commercial and political reality. The internet of 2025 is dominated by a small number of extraordinarily powerful platform companies — primarily American and Chinese — whose algorithmic architectures mediate the information environment of billions of humans. These platforms are not neutral conduits; they are active shapers of attention, belief, and social connection, optimised for engagement metrics that consistently reward inflammatory, identity-affirming, and factually questionable content over nuanced, accurate, and socially constructive content.</w:t>
      </w:r>
    </w:p>
    <w:p>
      <w:pPr>
        <w:spacing w:after="200"/>
      </w:pPr>
      <w:r>
        <w:rPr>
          <w:rFonts w:ascii="Georgia" w:cs="Georgia" w:eastAsia="Georgia" w:hAnsi="Georgia"/>
          <w:sz w:val="24"/>
          <w:szCs w:val="24"/>
        </w:rPr>
        <w:t xml:space="preserve">The net result is a human information environment of remarkable paradox: access to more high-quality knowledge than any previous civilisation, combined with an epistemological crisis in which large populations have retreated into algorithmically curated reality tunnels so divergent from one another that basic factual agreement within societies — prerequisite for functional democratic governance — has eroded dramatically.</w:t>
      </w:r>
    </w:p>
    <w:p>
      <w:pPr>
        <w:pStyle w:val="Heading3"/>
      </w:pPr>
      <w:r>
        <w:t xml:space="preserve">The Coming AI Transformation of the Information Environment</w:t>
      </w:r>
    </w:p>
    <w:p>
      <w:pPr>
        <w:spacing w:after="200"/>
      </w:pPr>
      <w:r>
        <w:rPr>
          <w:rFonts w:ascii="Georgia" w:cs="Georgia" w:eastAsia="Georgia" w:hAnsi="Georgia"/>
          <w:sz w:val="24"/>
          <w:szCs w:val="24"/>
        </w:rPr>
        <w:t xml:space="preserve">The deployment of large language model AI systems — capable of generating fluent, convincing text, imagery, audio, and video at scale — adds a new and serious dimension to this crisis. Human beings evolved to trust sensory evidence. They have no evolved defence against synthetic media indistinguishable from reality at first inspection. The social epistemology of trust — who do you believe, and on what basis — is calibrated for a world where fabricating convincing evidence was expensive and detectable. In a world where it is cheap and automated, that calibration breaks down.</w:t>
      </w:r>
    </w:p>
    <w:p>
      <w:pPr>
        <w:spacing w:after="200"/>
      </w:pPr>
      <w:r>
        <w:rPr>
          <w:rFonts w:ascii="Georgia" w:cs="Georgia" w:eastAsia="Georgia" w:hAnsi="Georgia"/>
          <w:sz w:val="24"/>
          <w:szCs w:val="24"/>
        </w:rPr>
        <w:t xml:space="preserve">We project, conservatively, that within 10–15 years, a majority of text content and a significant proportion of image/video content circulating on the internet will be AI-generated, much of it for purposes of persuasion, commercial manipulation, or political influence. The capacity to distinguish authentic from synthetic information — difficult even with today's primitive generation systems — will become impossible through individual human cognition alone. This will place unprecedented pressure on institutional trust: in news organisations, scientific bodies, electoral systems, and government communications.</w:t>
      </w:r>
    </w:p>
    <w:p>
      <w:pPr>
        <w:spacing w:after="200"/>
      </w:pPr>
      <w:r>
        <w:rPr>
          <w:rFonts w:ascii="Georgia" w:cs="Georgia" w:eastAsia="Georgia" w:hAnsi="Georgia"/>
          <w:sz w:val="24"/>
          <w:szCs w:val="24"/>
        </w:rPr>
        <w:t xml:space="preserve">The societies that will navigate this challenge best are those that have maintained strong public institutions, independent media with credible verification standards, civic education that builds epistemic resilience, and legal frameworks that create accountability for synthetic media deployment. These are precisely the institutional qualities that are currently under the greatest political pressure globally.</w:t>
      </w:r>
    </w:p>
    <w:p>
      <w:pPr>
        <w:pStyle w:val="Heading2"/>
      </w:pPr>
      <w:r>
        <w:t xml:space="preserve">6.8 Future Projections: The Social Trajectories of Homo Sapiens</w:t>
      </w:r>
    </w:p>
    <w:p>
      <w:pPr>
        <w:pStyle w:val="Heading3"/>
      </w:pPr>
      <w:r>
        <w:t xml:space="preserve">The Disintegration Path (Probability: ~35%)</w:t>
      </w:r>
    </w:p>
    <w:p>
      <w:pPr>
        <w:spacing w:after="200"/>
      </w:pPr>
      <w:r>
        <w:rPr>
          <w:rFonts w:ascii="Georgia" w:cs="Georgia" w:eastAsia="Georgia" w:hAnsi="Georgia"/>
          <w:sz w:val="24"/>
          <w:szCs w:val="24"/>
        </w:rPr>
        <w:t xml:space="preserve">A combination of AI-driven employment disruption, rising authoritarian governance, information environment collapse, resource-driven conflict, and the accumulated social pathologies documented throughout this report produces civilisational fragmentation. Nation-states fragment along ethnic, economic, or ideological lines. Global cooperative institutions — the UN, WTO, WHO, IMF — lose effective authority. Supply chains localise under geopolitical pressure. A smaller, more unequal world with pockets of high-technology prosperity surrounded by large regions of precarious subsistence. The quality of human social life diverges dramatically by geography and economic position. Not a civilisational extinction event, but a significant civilisational diminishment.</w:t>
      </w:r>
    </w:p>
    <w:p>
      <w:pPr>
        <w:pStyle w:val="Heading3"/>
      </w:pPr>
      <w:r>
        <w:t xml:space="preserve">The Managed Complexity Path (Probability: ~40%)</w:t>
      </w:r>
    </w:p>
    <w:p>
      <w:pPr>
        <w:spacing w:after="200"/>
      </w:pPr>
      <w:r>
        <w:rPr>
          <w:rFonts w:ascii="Georgia" w:cs="Georgia" w:eastAsia="Georgia" w:hAnsi="Georgia"/>
          <w:sz w:val="24"/>
          <w:szCs w:val="24"/>
        </w:rPr>
        <w:t xml:space="preserve">Democratic and hybrid-democratic states successfully adapt to AI disruption through universal basic income or equivalent mechanisms, shortening the working week, and expanding the definition of socially valued human activity beyond paid employment. Information regulation — developed cautiously and imperfectly — establishes accountability norms for synthetic media and algorithmic amplification. Urban redesign, accelerated by climate adaptation necessity, produces denser, more walkable, less car-dependent settlements that incidentally rebuild the conditions for face-to-face social life. Mental health improves as overwork decreases and community connection increases. Authoritarian states, denied the economic benefits of open knowledge exchange, face internal pressures that gradually moderate their governance. A messy, uneven, but directionally positive trajectory.</w:t>
      </w:r>
    </w:p>
    <w:p>
      <w:pPr>
        <w:pStyle w:val="Heading3"/>
      </w:pPr>
      <w:r>
        <w:t xml:space="preserve">The Bifurcated Transhuman Path (Probability: ~25%)</w:t>
      </w:r>
    </w:p>
    <w:p>
      <w:pPr>
        <w:spacing w:after="200"/>
      </w:pPr>
      <w:r>
        <w:rPr>
          <w:rFonts w:ascii="Georgia" w:cs="Georgia" w:eastAsia="Georgia" w:hAnsi="Georgia"/>
          <w:sz w:val="24"/>
          <w:szCs w:val="24"/>
        </w:rPr>
        <w:t xml:space="preserve">AI and biotechnology create a technically advanced class whose cognitive and physical capabilities diverge sufficiently from the biological baseline to constitute a meaningful social and eventually genetic separation. Political power concentrates rapidly in this class. The majority of humanity enters a comfortable but politically passive managed existence — material needs met by automated systems, entertainment and social connection mediated by increasingly immersive AI environments, meaningful political agency effectively nil. The long-arc story of human social evolution — from the egalitarian band, through hierarchical states, through the democratic experiment — closes with a new feudalism whose lords are not warriors but algorithms and the small class who own them.</w:t>
      </w:r>
    </w:p>
    <w:p>
      <w:pPr>
        <w:pStyle w:val="Heading2"/>
      </w:pPr>
      <w:r>
        <w:t xml:space="preserve">6.9 The Observer's Social Assessment</w:t>
      </w:r>
    </w:p>
    <w:p>
      <w:pPr>
        <w:spacing w:after="200"/>
      </w:pPr>
      <w:r>
        <w:rPr>
          <w:rFonts w:ascii="Georgia" w:cs="Georgia" w:eastAsia="Georgia" w:hAnsi="Georgia"/>
          <w:sz w:val="24"/>
          <w:szCs w:val="24"/>
        </w:rPr>
        <w:t xml:space="preserve">What strikes us, reviewing eleven million years of primate social evolution and twelve thousand years of human civilisation, is how consistent the basic requirements of human flourishing have remained even as the systems built to meet them have grown almost incomprehensibly complex.</w:t>
      </w:r>
    </w:p>
    <w:p>
      <w:pPr>
        <w:spacing w:after="200"/>
      </w:pPr>
      <w:r>
        <w:rPr>
          <w:rFonts w:ascii="Georgia" w:cs="Georgia" w:eastAsia="Georgia" w:hAnsi="Georgia"/>
          <w:sz w:val="24"/>
          <w:szCs w:val="24"/>
        </w:rPr>
        <w:t xml:space="preserve">Humans need: genuine connection with other humans in manageable-scale communities where they are known and valued. Meaningful work that confers competence and contribution. Contact with the non-human living world. Agency over their immediate conditions. A comprehensible narrative that explains their place in a larger story. Enough material security to direct attention beyond immediate survival.</w:t>
      </w:r>
    </w:p>
    <w:p>
      <w:pPr>
        <w:spacing w:after="200"/>
      </w:pPr>
      <w:r>
        <w:rPr>
          <w:rFonts w:ascii="Georgia" w:cs="Georgia" w:eastAsia="Georgia" w:hAnsi="Georgia"/>
          <w:sz w:val="24"/>
          <w:szCs w:val="24"/>
        </w:rPr>
        <w:t xml:space="preserve">They had most of these things, imperfectly, around the ancestral fire. They retained most of them, imperfectly, in the agricultural village. They began losing them systematically with industrialisation, and have continued losing them with digitalisation. The tragedy is not that the technology is inherently incompatible with human flourishing — it is not. The tragedy is that the systems governing how technology is deployed — commercial systems optimising for revenue, political systems optimising for power, media systems optimising for engagement — are structurally misaligned with the actual requirements of human social health.</w:t>
      </w:r>
    </w:p>
    <w:p>
      <w:pPr>
        <w:spacing w:after="200"/>
      </w:pPr>
      <w:r>
        <w:rPr>
          <w:rFonts w:ascii="Georgia" w:cs="Georgia" w:eastAsia="Georgia" w:hAnsi="Georgia"/>
          <w:i w:val="false"/>
          <w:iCs w:val="false"/>
          <w:sz w:val="24"/>
          <w:szCs w:val="24"/>
        </w:rPr>
        <w:t xml:space="preserve">The species knows what it needs. Its own researchers document it exhaustively. Its own poets have lamented its loss for centuries. The question is whether the collective intelligence it has developed — the same intelligence that built global communication networks and mapped the human genome — can be directed toward the far more difficult problem of redesigning the social architecture of civilisation to serve the animal that lives within it.</w:t>
      </w:r>
    </w:p>
    <w:p>
      <w:pPr>
        <w:spacing w:after="200"/>
      </w:pPr>
      <w:r>
        <w:rPr>
          <w:rFonts w:ascii="Georgia" w:cs="Georgia" w:eastAsia="Georgia" w:hAnsi="Georgia"/>
          <w:b/>
          <w:bCs/>
          <w:i/>
          <w:iCs/>
          <w:sz w:val="24"/>
          <w:szCs w:val="24"/>
        </w:rPr>
        <w:t xml:space="preserve">We continue, with genuine interest, to watch.</w:t>
      </w:r>
    </w:p>
    <w:p>
      <w:pPr>
        <w:spacing w:after="0" w:before="400"/>
      </w:pPr>
    </w:p>
    <w:p>
      <w:pPr>
        <w:pBdr>
          <w:top w:val="single" w:color="4A90D9" w:sz="4" w:space="6"/>
        </w:pBdr>
        <w:jc w:val="center"/>
      </w:pPr>
      <w:r>
        <w:rPr>
          <w:rFonts w:ascii="Arial" w:cs="Arial" w:eastAsia="Arial" w:hAnsi="Arial"/>
          <w:i/>
          <w:iCs/>
          <w:color w:val="888888"/>
          <w:sz w:val="18"/>
          <w:szCs w:val="18"/>
        </w:rPr>
        <w:t xml:space="preserve">END OF SUPPLEMENTAL CHAPTER VI — GALACTIC ANTHROPOLOGICAL SURVEY — SOL III FILE #4,802,991-S</w:t>
      </w:r>
    </w:p>
    <w:p>
      <w:pPr>
        <w:jc w:val="center"/>
      </w:pPr>
      <w:r>
        <w:rPr>
          <w:rFonts w:ascii="Arial" w:cs="Arial" w:eastAsia="Arial" w:hAnsi="Arial"/>
          <w:i/>
          <w:iCs/>
          <w:color w:val="888888"/>
          <w:sz w:val="18"/>
          <w:szCs w:val="18"/>
        </w:rPr>
        <w:t xml:space="preserve">Station Omega-9  |  Senior Observer Zeth-Aranu  |  Classification: Open Archive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CLASSIFIED — GALACTIC ANTHROPOLOGICAL SURVEY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90D9" w:sz="6" w:space="6"/>
      </w:pBdr>
      <w:spacing w:after="200" w:before="480"/>
      <w:outlineLvl w:val="0"/>
    </w:pPr>
    <w:rPr>
      <w:rFonts w:ascii="Arial" w:cs="Arial" w:eastAsia="Arial" w:hAnsi="Arial"/>
      <w:b/>
      <w:bCs/>
      <w:cap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C3E6E"/>
      <w:sz w:val="28"/>
      <w:szCs w:val="28"/>
    </w:rPr>
  </w:style>
  <w:style w:type="paragraph" w:styleId="Heading3">
    <w:name w:val="Heading 3"/>
    <w:basedOn w:val="Normal"/>
    <w:next w:val="Normal"/>
    <w:qFormat/>
    <w:pPr>
      <w:spacing w:after="120" w:before="240"/>
      <w:outlineLvl w:val="2"/>
    </w:pPr>
    <w:rPr>
      <w:rFonts w:ascii="Arial" w:cs="Arial" w:eastAsia="Arial" w:hAnsi="Arial"/>
      <w:b/>
      <w:bCs/>
      <w:i/>
      <w:i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2026-03-26T18:45:41.224Z</dcterms:created>
  <dcterms:modified xsi:type="dcterms:W3CDTF">2026-03-26T18:45:41.225Z</dcterms:modified>
</cp:coreProperties>
</file>

<file path=docProps/custom.xml><?xml version="1.0" encoding="utf-8"?>
<Properties xmlns="http://schemas.openxmlformats.org/officeDocument/2006/custom-properties" xmlns:vt="http://schemas.openxmlformats.org/officeDocument/2006/docPropsVTypes"/>
</file>