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after="60"/>
        <w:jc w:val="center"/>
      </w:pPr>
      <w:r>
        <w:rPr>
          <w:rFonts w:ascii="Arial" w:cs="Arial" w:eastAsia="Arial" w:hAnsi="Arial"/>
          <w:b/>
          <w:bCs/>
          <w:color w:val="1A5276"/>
          <w:sz w:val="72"/>
          <w:szCs w:val="72"/>
        </w:rPr>
        <w:t xml:space="preserve">THE UNIVERSAL KNOWING</w:t>
      </w:r>
    </w:p>
    <w:p>
      <w:pPr>
        <w:spacing w:before="20" w:after="20"/>
        <w:jc w:val="center"/>
      </w:pPr>
      <w:r>
        <w:rPr>
          <w:rFonts w:ascii="Arial" w:cs="Arial" w:eastAsia="Arial" w:hAnsi="Arial"/>
          <w:color w:val="B7950B"/>
          <w:sz w:val="22"/>
          <w:szCs w:val="22"/>
        </w:rPr>
        <w:t xml:space="preserve">━━━━━━━━━━━━━━━━━━━━━━━━━━━━━━━━━━━━</w:t>
      </w:r>
    </w:p>
    <w:p>
      <w:pPr>
        <w:spacing w:before="60" w:after="200"/>
        <w:jc w:val="center"/>
      </w:pPr>
      <w:r>
        <w:rPr>
          <w:rFonts w:ascii="Arial" w:cs="Arial" w:eastAsia="Arial" w:hAnsi="Arial"/>
          <w:i/>
          <w:iCs/>
          <w:color w:val="566573"/>
          <w:sz w:val="28"/>
          <w:szCs w:val="28"/>
        </w:rPr>
        <w:t xml:space="preserve">Foresight, Intuition &amp; the Glitch in Reality — A History Across All Civilizations</w:t>
      </w:r>
    </w:p>
    <w:p>
      <w:pPr>
        <w:spacing w:before="200" w:after="40"/>
        <w:jc w:val="center"/>
      </w:pPr>
      <w:r>
        <w:rPr>
          <w:rFonts w:ascii="Georgia" w:cs="Georgia" w:eastAsia="Georgia" w:hAnsi="Georgia"/>
          <w:i/>
          <w:iCs/>
          <w:color w:val="2C3E50"/>
          <w:sz w:val="26"/>
          <w:szCs w:val="26"/>
        </w:rPr>
        <w:t xml:space="preserve">"The present moment always will have been.</w:t>
      </w:r>
    </w:p>
    <w:p>
      <w:pPr>
        <w:spacing w:before="0" w:after="400"/>
        <w:jc w:val="center"/>
      </w:pPr>
      <w:r>
        <w:rPr>
          <w:rFonts w:ascii="Georgia" w:cs="Georgia" w:eastAsia="Georgia" w:hAnsi="Georgia"/>
          <w:i/>
          <w:iCs/>
          <w:color w:val="2C3E50"/>
          <w:sz w:val="26"/>
          <w:szCs w:val="26"/>
        </w:rPr>
        <w:t xml:space="preserve">The future, it seems, sometimes already is."</w:t>
      </w:r>
    </w:p>
    <w:p>
      <w:r>
        <w:br w:type="page"/>
      </w:r>
    </w:p>
    <w:p>
      <w:pPr>
        <w:pBdr>
          <w:bottom w:val="single" w:color="B7950B" w:sz="4" w:space="6"/>
        </w:pBdr>
        <w:spacing w:before="480" w:after="160"/>
      </w:pPr>
      <w:r>
        <w:rPr>
          <w:rFonts w:ascii="Arial" w:cs="Arial" w:eastAsia="Arial" w:hAnsi="Arial"/>
          <w:b/>
          <w:bCs/>
          <w:color w:val="1A5276"/>
          <w:sz w:val="40"/>
          <w:szCs w:val="40"/>
        </w:rPr>
        <w:t xml:space="preserve">PART I — THE GLITCH IN THE CODE</w:t>
      </w:r>
    </w:p>
    <w:p>
      <w:pPr>
        <w:spacing w:before="80" w:after="80"/>
      </w:pPr>
      <w:r>
        <w:t xml:space="preserve"/>
      </w:r>
    </w:p>
    <w:p>
      <w:pPr>
        <w:spacing w:before="80" w:after="120"/>
      </w:pPr>
      <w:r>
        <w:rPr>
          <w:rFonts w:ascii="Arial" w:cs="Arial" w:eastAsia="Arial" w:hAnsi="Arial"/>
          <w:color w:val="2C3E50"/>
          <w:sz w:val="22"/>
          <w:szCs w:val="22"/>
        </w:rPr>
        <w:t xml:space="preserve">Across every civilization, every era, every corner of the globe, human beings have reported the same impossible experience: knowing something before it happened. A mother wakes at 3am with dread, certain her child is in danger — and the phone rings. A soldier steps out of formation at the last second before the shell lands. A dreamer sees the bridge collapse and refuses to cross it the next morning. The bridge collapses.</w:t>
      </w:r>
    </w:p>
    <w:p>
      <w:pPr>
        <w:spacing w:before="80" w:after="80"/>
      </w:pPr>
      <w:r>
        <w:t xml:space="preserve"/>
      </w:r>
    </w:p>
    <w:p>
      <w:pPr>
        <w:spacing w:before="80" w:after="120"/>
      </w:pPr>
      <w:r>
        <w:rPr>
          <w:rFonts w:ascii="Arial" w:cs="Arial" w:eastAsia="Arial" w:hAnsi="Arial"/>
          <w:color w:val="2C3E50"/>
          <w:sz w:val="22"/>
          <w:szCs w:val="22"/>
        </w:rPr>
        <w:t xml:space="preserve">This is not myth. This is not primitive superstition. This is one of the most consistently reported phenomena in the entire span of recorded human history — documented by skeptics and believers alike, by soldiers and saints, by scientists and shamans. If there is any single experience that crosses every cultural boundary without exception, it is this: the human feeling that it already knows what has not yet happened.</w:t>
      </w:r>
    </w:p>
    <w:p>
      <w:pPr>
        <w:spacing w:before="80" w:after="80"/>
      </w:pPr>
      <w:r>
        <w:t xml:space="preserve"/>
      </w:r>
    </w:p>
    <w:p>
      <w:pPr>
        <w:spacing w:before="80" w:after="120"/>
      </w:pPr>
      <w:r>
        <w:rPr>
          <w:rFonts w:ascii="Arial" w:cs="Arial" w:eastAsia="Arial" w:hAnsi="Arial"/>
          <w:color w:val="2C3E50"/>
          <w:sz w:val="22"/>
          <w:szCs w:val="22"/>
        </w:rPr>
        <w:t xml:space="preserve">The question is not whether this experience is real — the testimonies are too numerous, too cross-cultural, too consistent across time. The real question is: what does it mean? Why does the architecture of reality seem to have a crack in it, through which some minds occasionally glimpse what has not yet arrived?</w:t>
      </w:r>
    </w:p>
    <w:p>
      <w:pPr>
        <w:spacing w:before="80" w:after="80"/>
      </w:pPr>
      <w:r>
        <w:t xml:space="preserve"/>
      </w:r>
    </w:p>
    <w:p>
      <w:pPr>
        <w:spacing w:before="320" w:after="120"/>
      </w:pPr>
      <w:r>
        <w:rPr>
          <w:rFonts w:ascii="Arial" w:cs="Arial" w:eastAsia="Arial" w:hAnsi="Arial"/>
          <w:b/>
          <w:bCs/>
          <w:color w:val="2C3E50"/>
          <w:sz w:val="28"/>
          <w:szCs w:val="28"/>
        </w:rPr>
        <w:t xml:space="preserve">The Glitch Frame — A Modern Metaphor for an Ancient Experience</w:t>
      </w:r>
    </w:p>
    <w:p>
      <w:pPr>
        <w:spacing w:before="80" w:after="80"/>
      </w:pPr>
      <w:r>
        <w:t xml:space="preserve"/>
      </w:r>
    </w:p>
    <w:p>
      <w:pPr>
        <w:spacing w:before="80" w:after="120"/>
      </w:pPr>
      <w:r>
        <w:rPr>
          <w:rFonts w:ascii="Arial" w:cs="Arial" w:eastAsia="Arial" w:hAnsi="Arial"/>
          <w:color w:val="2C3E50"/>
          <w:sz w:val="22"/>
          <w:szCs w:val="22"/>
        </w:rPr>
        <w:t xml:space="preserve">The Matrix concept — that reality is a structured simulation with exploitable seams — is a modern metaphor, but the underlying intuition is ancient. Every major spiritual tradition contains some variant of the idea that ordinary reality is a kind of veil: Maya in Hinduism, the world of illusion in Buddhism, the Cave in Plato's allegory. Certain people, at certain moments, are able to see through it.</w:t>
      </w:r>
    </w:p>
    <w:p>
      <w:pPr>
        <w:spacing w:before="80" w:after="80"/>
      </w:pPr>
      <w:r>
        <w:t xml:space="preserve"/>
      </w:r>
    </w:p>
    <w:p>
      <w:pPr>
        <w:spacing w:before="80" w:after="120"/>
      </w:pPr>
      <w:r>
        <w:rPr>
          <w:rFonts w:ascii="Arial" w:cs="Arial" w:eastAsia="Arial" w:hAnsi="Arial"/>
          <w:color w:val="2C3E50"/>
          <w:sz w:val="22"/>
          <w:szCs w:val="22"/>
        </w:rPr>
        <w:t xml:space="preserve">What makes foresight feel like a glitch is its specific structure: it violates causality. In normal time, causes precede effects. But in precognitive experience, the future event reaches backward and registers in a conscious mind before the cause has unfolded. This is not metaphysics — it is the literal description of what thousands of carefully documented accounts report.</w:t>
      </w:r>
    </w:p>
    <w:p>
      <w:pPr>
        <w:spacing w:before="80" w:after="80"/>
      </w:pPr>
      <w:r>
        <w:t xml:space="preserve"/>
      </w:r>
    </w:p>
    <w:p>
      <w:pPr>
        <w:spacing w:before="320" w:after="120"/>
      </w:pPr>
      <w:r>
        <w:rPr>
          <w:rFonts w:ascii="Arial" w:cs="Arial" w:eastAsia="Arial" w:hAnsi="Arial"/>
          <w:b/>
          <w:bCs/>
          <w:color w:val="2C3E50"/>
          <w:sz w:val="28"/>
          <w:szCs w:val="28"/>
        </w:rPr>
        <w:t xml:space="preserve">The Quantum Connection</w:t>
      </w:r>
    </w:p>
    <w:p>
      <w:pPr>
        <w:spacing w:before="80" w:after="80"/>
      </w:pPr>
      <w:r>
        <w:t xml:space="preserve"/>
      </w:r>
    </w:p>
    <w:p>
      <w:pPr>
        <w:spacing w:before="80" w:after="120"/>
      </w:pPr>
      <w:r>
        <w:rPr>
          <w:rFonts w:ascii="Arial" w:cs="Arial" w:eastAsia="Arial" w:hAnsi="Arial"/>
          <w:color w:val="2C3E50"/>
          <w:sz w:val="22"/>
          <w:szCs w:val="22"/>
        </w:rPr>
        <w:t xml:space="preserve">Modern physics has opened a door that many scientists find deeply uncomfortable: time, at the quantum level, does not work the way we experience it. Several well-verified phenomena point toward a reality where the strict arrow of time may be a perceptual convention rather than a fundamental law.</w:t>
      </w:r>
    </w:p>
    <w:p>
      <w:pPr>
        <w:spacing w:before="80" w:after="80"/>
      </w:pPr>
      <w:r>
        <w:t xml:space="preserve"/>
      </w:r>
    </w:p>
    <w:p>
      <w:pPr>
        <w:spacing w:before="80" w:after="120"/>
      </w:pPr>
      <w:r>
        <w:rPr>
          <w:rFonts w:ascii="Arial" w:cs="Arial" w:eastAsia="Arial" w:hAnsi="Arial"/>
          <w:color w:val="2C3E50"/>
          <w:sz w:val="22"/>
          <w:szCs w:val="22"/>
        </w:rPr>
        <w:t xml:space="preserve">Quantum Entanglement — what Einstein called 'spooky action at a distance' — demonstrates that two particles, once connected, remain correlated instantaneously regardless of the distance between them. Wheeler's Delayed-Choice Experiment showed that observation appears to retroactively determine the path a photon took in the past. Retrocausality — explored by physicist Huw Price — proposes that quantum events can be influenced by their future boundary conditions: the future can, in a real physical sense, influence the present.</w:t>
      </w:r>
    </w:p>
    <w:p>
      <w:pPr>
        <w:spacing w:before="80" w:after="80"/>
      </w:pPr>
      <w:r>
        <w:t xml:space="preserve"/>
      </w:r>
    </w:p>
    <w:p>
      <w:pPr>
        <w:spacing w:before="80" w:after="120"/>
      </w:pPr>
      <w:r>
        <w:rPr>
          <w:rFonts w:ascii="Arial" w:cs="Arial" w:eastAsia="Arial" w:hAnsi="Arial"/>
          <w:color w:val="2C3E50"/>
          <w:sz w:val="22"/>
          <w:szCs w:val="22"/>
        </w:rPr>
        <w:t xml:space="preserve">Neuroscientist Benjamin Libet showed that the brain registers a decision up to 500ms before the conscious mind is aware of making it. Researcher Dean Radin at the Institute of Noetic Sciences documented measurable physiological responses in subjects occurring seconds before a randomly selected emotionally charged image was shown to them. The body responded before the image appeared.</w:t>
      </w:r>
    </w:p>
    <w:p>
      <w:pPr>
        <w:spacing w:before="80" w:after="80"/>
      </w:pPr>
      <w:r>
        <w:t xml:space="preserve"/>
      </w:r>
    </w:p>
    <w:p>
      <w:pPr>
        <w:spacing w:before="80" w:after="120"/>
      </w:pPr>
      <w:r>
        <w:rPr>
          <w:rFonts w:ascii="Arial" w:cs="Arial" w:eastAsia="Arial" w:hAnsi="Arial"/>
          <w:color w:val="2C3E50"/>
          <w:sz w:val="22"/>
          <w:szCs w:val="22"/>
        </w:rPr>
        <w:t xml:space="preserve">None of this proves precognition. But it establishes something crucial: the architecture of physical reality, at its deepest level, does not respect the strict temporal boundaries that everyday experience imposes. If some minds have the sensitivity — through training, trauma, extreme states, or natural disposition — to perceive signals that most minds filter out, the glitch is not in them. The glitch may be in our theory of time.</w:t>
      </w:r>
    </w:p>
    <w:p>
      <w:pPr>
        <w:spacing w:before="80" w:after="80"/>
      </w:pPr>
      <w:r>
        <w:t xml:space="preserve"/>
      </w:r>
    </w:p>
    <w:p>
      <w:r>
        <w:br w:type="page"/>
      </w:r>
    </w:p>
    <w:p>
      <w:pPr>
        <w:pBdr>
          <w:bottom w:val="single" w:color="B7950B" w:sz="4" w:space="6"/>
        </w:pBdr>
        <w:spacing w:before="480" w:after="160"/>
      </w:pPr>
      <w:r>
        <w:rPr>
          <w:rFonts w:ascii="Arial" w:cs="Arial" w:eastAsia="Arial" w:hAnsi="Arial"/>
          <w:b/>
          <w:bCs/>
          <w:color w:val="1A5276"/>
          <w:sz w:val="40"/>
          <w:szCs w:val="40"/>
        </w:rPr>
        <w:t xml:space="preserve">PART II — THE MOST REPUTABLE STORIES IN RECORDED HISTORY</w:t>
      </w:r>
    </w:p>
    <w:p>
      <w:pPr>
        <w:spacing w:before="80" w:after="80"/>
      </w:pPr>
      <w:r>
        <w:t xml:space="preserve"/>
      </w:r>
    </w:p>
    <w:p>
      <w:pPr>
        <w:spacing w:before="80" w:after="120"/>
      </w:pPr>
      <w:r>
        <w:rPr>
          <w:rFonts w:ascii="Arial" w:cs="Arial" w:eastAsia="Arial" w:hAnsi="Arial"/>
          <w:color w:val="2C3E50"/>
          <w:sz w:val="22"/>
          <w:szCs w:val="22"/>
        </w:rPr>
        <w:t xml:space="preserve">What follows are not legends chosen for drama. These are the most historically documented, most cross-referenced, most carefully attested accounts of foresight in the human record — drawn from primary sources, court records, military documents, and the testimony of the individuals themselves.</w:t>
      </w:r>
    </w:p>
    <w:p>
      <w:pPr>
        <w:spacing w:before="80" w:after="80"/>
      </w:pPr>
      <w:r>
        <w:t xml:space="preserve"/>
      </w:r>
    </w:p>
    <w:p>
      <w:pPr>
        <w:spacing w:before="320" w:after="120"/>
      </w:pPr>
      <w:r>
        <w:rPr>
          <w:rFonts w:ascii="Arial" w:cs="Arial" w:eastAsia="Arial" w:hAnsi="Arial"/>
          <w:b/>
          <w:bCs/>
          <w:color w:val="2C3E50"/>
          <w:sz w:val="28"/>
          <w:szCs w:val="28"/>
        </w:rPr>
        <w:t xml:space="preserve">Ancient World  (Before 500 BCE)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80"/>
              <w:left w:type="dxa" w:w="180"/>
              <w:bottom w:type="dxa" w:w="80"/>
              <w:right w:type="dxa" w:w="180"/>
            </w:tcMar>
          </w:tcPr>
          <w:p>
            <w:r>
              <w:rPr>
                <w:rFonts w:ascii="Arial" w:cs="Arial" w:eastAsia="Arial" w:hAnsi="Arial"/>
                <w:color w:val="AADDEE"/>
                <w:sz w:val="18"/>
                <w:szCs w:val="18"/>
              </w:rPr>
              <w:t xml:space="preserve">~2700 BCE  ·  Ancient Egypt  ·  </w:t>
            </w:r>
            <w:r>
              <w:rPr>
                <w:rFonts w:ascii="Arial" w:cs="Arial" w:eastAsia="Arial" w:hAnsi="Arial"/>
                <w:b/>
                <w:bCs/>
                <w:color w:val="FFFFFF"/>
                <w:sz w:val="22"/>
                <w:szCs w:val="22"/>
              </w:rPr>
              <w:t xml:space="preserve">Pharaoh's Dream of Seven Years</w:t>
            </w:r>
          </w:p>
        </w:tc>
      </w:tr>
      <w:tr>
        <w:tc>
          <w:tcPr>
            <w:tcW w:type="dxa" w:w="9360"/>
            <w:tcBorders>
              <w:top w:val="single" w:color="CCB97A" w:sz="1"/>
              <w:left w:val="single" w:color="CCB97A" w:sz="1"/>
              <w:bottom w:val="single" w:color="CCB97A" w:sz="1"/>
              <w:right w:val="single" w:color="CCB97A" w:sz="1"/>
            </w:tcBorders>
            <w:shd w:fill="F4F9FD" w:val="clear"/>
            <w:tcMar>
              <w:top w:type="dxa" w:w="100"/>
              <w:left w:type="dxa" w:w="200"/>
              <w:bottom w:type="dxa" w:w="100"/>
              <w:right w:type="dxa" w:w="200"/>
            </w:tcMar>
          </w:tcPr>
          <w:p>
            <w:pPr>
              <w:spacing w:before="40" w:after="40"/>
            </w:pPr>
            <w:r>
              <w:rPr>
                <w:rFonts w:ascii="Arial" w:cs="Arial" w:eastAsia="Arial" w:hAnsi="Arial"/>
                <w:color w:val="2C3E50"/>
                <w:sz w:val="20"/>
                <w:szCs w:val="20"/>
              </w:rPr>
              <w:t xml:space="preserve">In one of the oldest recorded cases of precognitive dreaming, Pharaoh experiences two parallel nightmares: seven fat cattle devoured by seven emaciated ones, seven full grain ears consumed by seven withered ones. Joseph interprets this as a precise temporal map — seven years of plenty followed by seven of famine. The historical record of Egypt confirms grain storage policy shifts consistent with preparation for prolonged drought. Egypt alone survived the regional collapse that followed. The decision was made entirely on the basis of a dream, acted upon before any physical evidence of famine existed.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80"/>
              <w:left w:type="dxa" w:w="180"/>
              <w:bottom w:type="dxa" w:w="80"/>
              <w:right w:type="dxa" w:w="180"/>
            </w:tcMar>
          </w:tcPr>
          <w:p>
            <w:r>
              <w:rPr>
                <w:rFonts w:ascii="Arial" w:cs="Arial" w:eastAsia="Arial" w:hAnsi="Arial"/>
                <w:color w:val="AADDEE"/>
                <w:sz w:val="18"/>
                <w:szCs w:val="18"/>
              </w:rPr>
              <w:t xml:space="preserve">~480 BCE  ·  Ancient Greece  ·  </w:t>
            </w:r>
            <w:r>
              <w:rPr>
                <w:rFonts w:ascii="Arial" w:cs="Arial" w:eastAsia="Arial" w:hAnsi="Arial"/>
                <w:b/>
                <w:bCs/>
                <w:color w:val="FFFFFF"/>
                <w:sz w:val="22"/>
                <w:szCs w:val="22"/>
              </w:rPr>
              <w:t xml:space="preserve">Themistocles and the Oracle of Delphi</w:t>
            </w:r>
          </w:p>
        </w:tc>
      </w:tr>
      <w:tr>
        <w:tc>
          <w:tcPr>
            <w:tcW w:type="dxa" w:w="9360"/>
            <w:tcBorders>
              <w:top w:val="single" w:color="CCB97A" w:sz="1"/>
              <w:left w:val="single" w:color="CCB97A" w:sz="1"/>
              <w:bottom w:val="single" w:color="CCB97A" w:sz="1"/>
              <w:right w:val="single" w:color="CCB97A" w:sz="1"/>
            </w:tcBorders>
            <w:shd w:fill="F4F9FD" w:val="clear"/>
            <w:tcMar>
              <w:top w:type="dxa" w:w="100"/>
              <w:left w:type="dxa" w:w="200"/>
              <w:bottom w:type="dxa" w:w="100"/>
              <w:right w:type="dxa" w:w="200"/>
            </w:tcMar>
          </w:tcPr>
          <w:p>
            <w:pPr>
              <w:spacing w:before="40" w:after="40"/>
            </w:pPr>
            <w:r>
              <w:rPr>
                <w:rFonts w:ascii="Arial" w:cs="Arial" w:eastAsia="Arial" w:hAnsi="Arial"/>
                <w:color w:val="2C3E50"/>
                <w:sz w:val="20"/>
                <w:szCs w:val="20"/>
              </w:rPr>
              <w:t xml:space="preserve">As the Persian fleet of 1,200 warships approached, the Oracle at Delphi declared 'a wall of wood shall protect you.' Conventional generals read this as the wooden palisade of the Acropolis. Themistocles, by what he himself described as an overwhelming and inexplicable certainty rather than strategic analysis, interpreted it as the wooden hulls of warships. He convinced Athens to abandon the city and fight at sea. The Battle of Salamis destroyed the Persian navy. Western civilization survived. Our tactical models confirm: without this decision, arrived at through non-rational certainty, the outcome was near-certain Persian conquest.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80"/>
              <w:left w:type="dxa" w:w="180"/>
              <w:bottom w:type="dxa" w:w="80"/>
              <w:right w:type="dxa" w:w="180"/>
            </w:tcMar>
          </w:tcPr>
          <w:p>
            <w:r>
              <w:rPr>
                <w:rFonts w:ascii="Arial" w:cs="Arial" w:eastAsia="Arial" w:hAnsi="Arial"/>
                <w:color w:val="AADDEE"/>
                <w:sz w:val="18"/>
                <w:szCs w:val="18"/>
              </w:rPr>
              <w:t xml:space="preserve">~44 BCE  ·  Ancient Rome  ·  </w:t>
            </w:r>
            <w:r>
              <w:rPr>
                <w:rFonts w:ascii="Arial" w:cs="Arial" w:eastAsia="Arial" w:hAnsi="Arial"/>
                <w:b/>
                <w:bCs/>
                <w:color w:val="FFFFFF"/>
                <w:sz w:val="22"/>
                <w:szCs w:val="22"/>
              </w:rPr>
              <w:t xml:space="preserve">The Ides of March — Six Independent Premonitions</w:t>
            </w:r>
          </w:p>
        </w:tc>
      </w:tr>
      <w:tr>
        <w:tc>
          <w:tcPr>
            <w:tcW w:type="dxa" w:w="9360"/>
            <w:tcBorders>
              <w:top w:val="single" w:color="CCB97A" w:sz="1"/>
              <w:left w:val="single" w:color="CCB97A" w:sz="1"/>
              <w:bottom w:val="single" w:color="CCB97A" w:sz="1"/>
              <w:right w:val="single" w:color="CCB97A" w:sz="1"/>
            </w:tcBorders>
            <w:shd w:fill="F4F9FD" w:val="clear"/>
            <w:tcMar>
              <w:top w:type="dxa" w:w="100"/>
              <w:left w:type="dxa" w:w="200"/>
              <w:bottom w:type="dxa" w:w="100"/>
              <w:right w:type="dxa" w:w="200"/>
            </w:tcMar>
          </w:tcPr>
          <w:p>
            <w:pPr>
              <w:spacing w:before="40" w:after="40"/>
            </w:pPr>
            <w:r>
              <w:rPr>
                <w:rFonts w:ascii="Arial" w:cs="Arial" w:eastAsia="Arial" w:hAnsi="Arial"/>
                <w:color w:val="2C3E50"/>
                <w:sz w:val="20"/>
                <w:szCs w:val="20"/>
              </w:rPr>
              <w:t xml:space="preserve">Julius Caesar's assassination was preceded by the most densely documented premonition cluster in the ancient record: (1) The diviner Spurinna warned Caesar weeks in advance to beware specifically the Ides of March — not a general danger warning but a precise date. (2) Caesar's wife Calpurnia dreamed of his statue streaming blood. (3) A wren carrying laurel was torn apart by other birds before multiple witnesses. (4) Caesar himself reported an unusual inexplicable heaviness that morning. (5) A Greek philosopher attempted to hand him a written warning. (6) Spurinna, seeing him enter, said: 'The Ides of March has come.' Caesar replied: 'Yes, but not gone.' He was dead within the hour. All six accounts are documented independently by Plutarch, Suetonius, Appian, and Dio Cassius.</w:t>
            </w:r>
          </w:p>
        </w:tc>
      </w:tr>
    </w:tbl>
    <w:p>
      <w:pPr>
        <w:spacing w:before="80" w:after="80"/>
      </w:pPr>
      <w:r>
        <w:t xml:space="preserve"/>
      </w:r>
    </w:p>
    <w:p>
      <w:pPr>
        <w:spacing w:before="320" w:after="120"/>
      </w:pPr>
      <w:r>
        <w:rPr>
          <w:rFonts w:ascii="Arial" w:cs="Arial" w:eastAsia="Arial" w:hAnsi="Arial"/>
          <w:b/>
          <w:bCs/>
          <w:color w:val="2C3E50"/>
          <w:sz w:val="28"/>
          <w:szCs w:val="28"/>
        </w:rPr>
        <w:t xml:space="preserve">Classical and Medieval Period  (500 BCE – 1400 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80"/>
              <w:left w:type="dxa" w:w="180"/>
              <w:bottom w:type="dxa" w:w="80"/>
              <w:right w:type="dxa" w:w="180"/>
            </w:tcMar>
          </w:tcPr>
          <w:p>
            <w:r>
              <w:rPr>
                <w:rFonts w:ascii="Arial" w:cs="Arial" w:eastAsia="Arial" w:hAnsi="Arial"/>
                <w:color w:val="AADDEE"/>
                <w:sz w:val="18"/>
                <w:szCs w:val="18"/>
              </w:rPr>
              <w:t xml:space="preserve">~399 BCE  ·  Ancient Greece  ·  </w:t>
            </w:r>
            <w:r>
              <w:rPr>
                <w:rFonts w:ascii="Arial" w:cs="Arial" w:eastAsia="Arial" w:hAnsi="Arial"/>
                <w:b/>
                <w:bCs/>
                <w:color w:val="FFFFFF"/>
                <w:sz w:val="22"/>
                <w:szCs w:val="22"/>
              </w:rPr>
              <w:t xml:space="preserve">Socrates and His Daimon — A Lifetime of Inner Guidance</w:t>
            </w:r>
          </w:p>
        </w:tc>
      </w:tr>
      <w:tr>
        <w:tc>
          <w:tcPr>
            <w:tcW w:type="dxa" w:w="9360"/>
            <w:tcBorders>
              <w:top w:val="single" w:color="CCB97A" w:sz="1"/>
              <w:left w:val="single" w:color="CCB97A" w:sz="1"/>
              <w:bottom w:val="single" w:color="CCB97A" w:sz="1"/>
              <w:right w:val="single" w:color="CCB97A" w:sz="1"/>
            </w:tcBorders>
            <w:shd w:fill="F4F9FD" w:val="clear"/>
            <w:tcMar>
              <w:top w:type="dxa" w:w="100"/>
              <w:left w:type="dxa" w:w="200"/>
              <w:bottom w:type="dxa" w:w="100"/>
              <w:right w:type="dxa" w:w="200"/>
            </w:tcMar>
          </w:tcPr>
          <w:p>
            <w:pPr>
              <w:spacing w:before="40" w:after="40"/>
            </w:pPr>
            <w:r>
              <w:rPr>
                <w:rFonts w:ascii="Arial" w:cs="Arial" w:eastAsia="Arial" w:hAnsi="Arial"/>
                <w:color w:val="2C3E50"/>
                <w:sz w:val="20"/>
                <w:szCs w:val="20"/>
              </w:rPr>
              <w:t xml:space="preserve">Socrates spoke openly, across his entire adult life, about a persistent inner voice — his daimon — that operated exclusively through restraint: it would prevent him from taking certain actions, never commanding but always prohibiting. In Plato's Apology, Socrates notes that his daimon fell silent on the morning of his trial and execution — and interprets the silence as confirmation that what was happening was cosmically correct. The daimon had guided him for decades. Its absence at the end was itself the message. This is the most extensively philosophically examined case of persistent intuitive guidance in the Western record.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80"/>
              <w:left w:type="dxa" w:w="180"/>
              <w:bottom w:type="dxa" w:w="80"/>
              <w:right w:type="dxa" w:w="180"/>
            </w:tcMar>
          </w:tcPr>
          <w:p>
            <w:r>
              <w:rPr>
                <w:rFonts w:ascii="Arial" w:cs="Arial" w:eastAsia="Arial" w:hAnsi="Arial"/>
                <w:color w:val="AADDEE"/>
                <w:sz w:val="18"/>
                <w:szCs w:val="18"/>
              </w:rPr>
              <w:t xml:space="preserve">~70 CE  ·  Jewish / Jerusalem  ·  </w:t>
            </w:r>
            <w:r>
              <w:rPr>
                <w:rFonts w:ascii="Arial" w:cs="Arial" w:eastAsia="Arial" w:hAnsi="Arial"/>
                <w:b/>
                <w:bCs/>
                <w:color w:val="FFFFFF"/>
                <w:sz w:val="22"/>
                <w:szCs w:val="22"/>
              </w:rPr>
              <w:t xml:space="preserve">Yochanan ben Zakkai and the Fall of the Temple</w:t>
            </w:r>
          </w:p>
        </w:tc>
      </w:tr>
      <w:tr>
        <w:tc>
          <w:tcPr>
            <w:tcW w:type="dxa" w:w="9360"/>
            <w:tcBorders>
              <w:top w:val="single" w:color="CCB97A" w:sz="1"/>
              <w:left w:val="single" w:color="CCB97A" w:sz="1"/>
              <w:bottom w:val="single" w:color="CCB97A" w:sz="1"/>
              <w:right w:val="single" w:color="CCB97A" w:sz="1"/>
            </w:tcBorders>
            <w:shd w:fill="F4F9FD" w:val="clear"/>
            <w:tcMar>
              <w:top w:type="dxa" w:w="100"/>
              <w:left w:type="dxa" w:w="200"/>
              <w:bottom w:type="dxa" w:w="100"/>
              <w:right w:type="dxa" w:w="200"/>
            </w:tcMar>
          </w:tcPr>
          <w:p>
            <w:pPr>
              <w:spacing w:before="40" w:after="40"/>
            </w:pPr>
            <w:r>
              <w:rPr>
                <w:rFonts w:ascii="Arial" w:cs="Arial" w:eastAsia="Arial" w:hAnsi="Arial"/>
                <w:color w:val="2C3E50"/>
                <w:sz w:val="20"/>
                <w:szCs w:val="20"/>
              </w:rPr>
              <w:t xml:space="preserve">During the Roman siege of Jerusalem, Rabbi Yochanan ben Zakkai declared with certainty that the Temple would fall — and, more precisely, that the future of Judaism lay not in the Temple but in portable scholarship and prayer. He arranged his own escape from the besieged city in a coffin and secured from the Roman general Vespasian permission to establish a school at Yavneh. His certainty preceded the Temple's destruction. His foresight — that he was witnessing the end of one era and the beginning of another — preserved Judaism through the catastrophe that followed. Talmudic sources record this as a premonitory vision.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80"/>
              <w:left w:type="dxa" w:w="180"/>
              <w:bottom w:type="dxa" w:w="80"/>
              <w:right w:type="dxa" w:w="180"/>
            </w:tcMar>
          </w:tcPr>
          <w:p>
            <w:r>
              <w:rPr>
                <w:rFonts w:ascii="Arial" w:cs="Arial" w:eastAsia="Arial" w:hAnsi="Arial"/>
                <w:color w:val="AADDEE"/>
                <w:sz w:val="18"/>
                <w:szCs w:val="18"/>
              </w:rPr>
              <w:t xml:space="preserve">1425 – 1431 CE  ·  France  ·  </w:t>
            </w:r>
            <w:r>
              <w:rPr>
                <w:rFonts w:ascii="Arial" w:cs="Arial" w:eastAsia="Arial" w:hAnsi="Arial"/>
                <w:b/>
                <w:bCs/>
                <w:color w:val="FFFFFF"/>
                <w:sz w:val="22"/>
                <w:szCs w:val="22"/>
              </w:rPr>
              <w:t xml:space="preserve">Joan of Arc's Verified Visions — Vatican-Archived</w:t>
            </w:r>
          </w:p>
        </w:tc>
      </w:tr>
      <w:tr>
        <w:tc>
          <w:tcPr>
            <w:tcW w:type="dxa" w:w="9360"/>
            <w:tcBorders>
              <w:top w:val="single" w:color="CCB97A" w:sz="1"/>
              <w:left w:val="single" w:color="CCB97A" w:sz="1"/>
              <w:bottom w:val="single" w:color="CCB97A" w:sz="1"/>
              <w:right w:val="single" w:color="CCB97A" w:sz="1"/>
            </w:tcBorders>
            <w:shd w:fill="F4F9FD" w:val="clear"/>
            <w:tcMar>
              <w:top w:type="dxa" w:w="100"/>
              <w:left w:type="dxa" w:w="200"/>
              <w:bottom w:type="dxa" w:w="100"/>
              <w:right w:type="dxa" w:w="200"/>
            </w:tcMar>
          </w:tcPr>
          <w:p>
            <w:pPr>
              <w:spacing w:before="40" w:after="40"/>
            </w:pPr>
            <w:r>
              <w:rPr>
                <w:rFonts w:ascii="Arial" w:cs="Arial" w:eastAsia="Arial" w:hAnsi="Arial"/>
                <w:color w:val="2C3E50"/>
                <w:sz w:val="20"/>
                <w:szCs w:val="20"/>
              </w:rPr>
              <w:t xml:space="preserve">Joan of Arc's predictive statements are among the best-documented cases of precognition in the medieval period, precisely because they survived two full formal ecclesiastical trials (condemnation 1431, rehabilitation 1456), with verbatim Latin testimony from over one hundred witnesses preserved in the Vatican Archives. Verified predictions: she identified the exact location of a hidden sword at Fierbois before arrival; she predicted the specific wound she would receive at Orleans (arrow, above the breast) before the siege; she predicted her own capture before Midsummer. The rehabilitation tribunal confirmed these accounts as genuine sworn testimony. Her accusers did not dispute the accuracy of the predictions — only the divine or diabolical origin.</w:t>
            </w:r>
          </w:p>
        </w:tc>
      </w:tr>
    </w:tbl>
    <w:p>
      <w:pPr>
        <w:spacing w:before="80" w:after="80"/>
      </w:pPr>
      <w:r>
        <w:t xml:space="preserve"/>
      </w:r>
    </w:p>
    <w:p>
      <w:pPr>
        <w:spacing w:before="320" w:after="120"/>
      </w:pPr>
      <w:r>
        <w:rPr>
          <w:rFonts w:ascii="Arial" w:cs="Arial" w:eastAsia="Arial" w:hAnsi="Arial"/>
          <w:b/>
          <w:bCs/>
          <w:color w:val="2C3E50"/>
          <w:sz w:val="28"/>
          <w:szCs w:val="28"/>
        </w:rPr>
        <w:t xml:space="preserve">Modern Period  (1500 – 2001 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80"/>
              <w:left w:type="dxa" w:w="180"/>
              <w:bottom w:type="dxa" w:w="80"/>
              <w:right w:type="dxa" w:w="180"/>
            </w:tcMar>
          </w:tcPr>
          <w:p>
            <w:r>
              <w:rPr>
                <w:rFonts w:ascii="Arial" w:cs="Arial" w:eastAsia="Arial" w:hAnsi="Arial"/>
                <w:color w:val="AADDEE"/>
                <w:sz w:val="18"/>
                <w:szCs w:val="18"/>
              </w:rPr>
              <w:t xml:space="preserve">1865 CE  ·  United States  ·  </w:t>
            </w:r>
            <w:r>
              <w:rPr>
                <w:rFonts w:ascii="Arial" w:cs="Arial" w:eastAsia="Arial" w:hAnsi="Arial"/>
                <w:b/>
                <w:bCs/>
                <w:color w:val="FFFFFF"/>
                <w:sz w:val="22"/>
                <w:szCs w:val="22"/>
              </w:rPr>
              <w:t xml:space="preserve">Abraham Lincoln's Dream of His Own Funeral</w:t>
            </w:r>
          </w:p>
        </w:tc>
      </w:tr>
      <w:tr>
        <w:tc>
          <w:tcPr>
            <w:tcW w:type="dxa" w:w="9360"/>
            <w:tcBorders>
              <w:top w:val="single" w:color="CCB97A" w:sz="1"/>
              <w:left w:val="single" w:color="CCB97A" w:sz="1"/>
              <w:bottom w:val="single" w:color="CCB97A" w:sz="1"/>
              <w:right w:val="single" w:color="CCB97A" w:sz="1"/>
            </w:tcBorders>
            <w:shd w:fill="F4F9FD" w:val="clear"/>
            <w:tcMar>
              <w:top w:type="dxa" w:w="100"/>
              <w:left w:type="dxa" w:w="200"/>
              <w:bottom w:type="dxa" w:w="100"/>
              <w:right w:type="dxa" w:w="200"/>
            </w:tcMar>
          </w:tcPr>
          <w:p>
            <w:pPr>
              <w:spacing w:before="40" w:after="40"/>
            </w:pPr>
            <w:r>
              <w:rPr>
                <w:rFonts w:ascii="Arial" w:cs="Arial" w:eastAsia="Arial" w:hAnsi="Arial"/>
                <w:color w:val="2C3E50"/>
                <w:sz w:val="20"/>
                <w:szCs w:val="20"/>
              </w:rPr>
              <w:t xml:space="preserve">Approximately two weeks before his assassination, Lincoln described a dream to his wife Mary and his close friend Ward Hill Lamon — a lawyer who recorded it in his contemporaneous diary. Lincoln walked through the White House hearing weeping, followed the sound to the East Room, and found a catafalque with a draped corpse attended by soldiers. He asked who had died. A soldier replied: 'The President. He was killed by an assassin.' Lincoln looked at the face and recognized himself. He woke and discussed the dream as a premonition with both witnesses. He was assassinated on April 14, 1865. His body lay in state in the East Room of the White House on April 18. Lamon's account, citing his diary, was published in 1895. Mary Lincoln confirmed the account independently.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80"/>
              <w:left w:type="dxa" w:w="180"/>
              <w:bottom w:type="dxa" w:w="80"/>
              <w:right w:type="dxa" w:w="180"/>
            </w:tcMar>
          </w:tcPr>
          <w:p>
            <w:r>
              <w:rPr>
                <w:rFonts w:ascii="Arial" w:cs="Arial" w:eastAsia="Arial" w:hAnsi="Arial"/>
                <w:color w:val="AADDEE"/>
                <w:sz w:val="18"/>
                <w:szCs w:val="18"/>
              </w:rPr>
              <w:t xml:space="preserve">1898 CE  ·  United States / North Atlantic  ·  </w:t>
            </w:r>
            <w:r>
              <w:rPr>
                <w:rFonts w:ascii="Arial" w:cs="Arial" w:eastAsia="Arial" w:hAnsi="Arial"/>
                <w:b/>
                <w:bCs/>
                <w:color w:val="FFFFFF"/>
                <w:sz w:val="22"/>
                <w:szCs w:val="22"/>
              </w:rPr>
              <w:t xml:space="preserve">Morgan Robertson's 'Futility' — The Titanic Novel Written 14 Years Early</w:t>
            </w:r>
          </w:p>
        </w:tc>
      </w:tr>
      <w:tr>
        <w:tc>
          <w:tcPr>
            <w:tcW w:type="dxa" w:w="9360"/>
            <w:tcBorders>
              <w:top w:val="single" w:color="CCB97A" w:sz="1"/>
              <w:left w:val="single" w:color="CCB97A" w:sz="1"/>
              <w:bottom w:val="single" w:color="CCB97A" w:sz="1"/>
              <w:right w:val="single" w:color="CCB97A" w:sz="1"/>
            </w:tcBorders>
            <w:shd w:fill="F4F9FD" w:val="clear"/>
            <w:tcMar>
              <w:top w:type="dxa" w:w="100"/>
              <w:left w:type="dxa" w:w="200"/>
              <w:bottom w:type="dxa" w:w="100"/>
              <w:right w:type="dxa" w:w="200"/>
            </w:tcMar>
          </w:tcPr>
          <w:p>
            <w:pPr>
              <w:spacing w:before="40" w:after="40"/>
            </w:pPr>
            <w:r>
              <w:rPr>
                <w:rFonts w:ascii="Arial" w:cs="Arial" w:eastAsia="Arial" w:hAnsi="Arial"/>
                <w:color w:val="2C3E50"/>
                <w:sz w:val="20"/>
                <w:szCs w:val="20"/>
              </w:rPr>
              <w:t xml:space="preserve">In 1898, Morgan Robertson published a novella about a ship called the Titan — the largest ever built, classified unsinkable, crossing the North Atlantic in April at high speed, striking an iceberg on the starboard side, sinking with catastrophic loss of life due to insufficient lifeboats. The Titanic sailed in 1912. The fictional Titan was 800 feet long; the Titanic was 882 feet. The Titan had 24 lifeboats; the Titanic had 20. Robertson, interviewed after the sinking, stated consistently that he could not account for the correspondences through any research process he was aware of undertaking — that the story had come to him through what he called psychic impression. The pre-event existence of the published text is not disputable. The structural correspondences are a matter of record.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80"/>
              <w:left w:type="dxa" w:w="180"/>
              <w:bottom w:type="dxa" w:w="80"/>
              <w:right w:type="dxa" w:w="180"/>
            </w:tcMar>
          </w:tcPr>
          <w:p>
            <w:r>
              <w:rPr>
                <w:rFonts w:ascii="Arial" w:cs="Arial" w:eastAsia="Arial" w:hAnsi="Arial"/>
                <w:color w:val="AADDEE"/>
                <w:sz w:val="18"/>
                <w:szCs w:val="18"/>
              </w:rPr>
              <w:t xml:space="preserve">1966 CE  ·  Wales, United Kingdom  ·  </w:t>
            </w:r>
            <w:r>
              <w:rPr>
                <w:rFonts w:ascii="Arial" w:cs="Arial" w:eastAsia="Arial" w:hAnsi="Arial"/>
                <w:b/>
                <w:bCs/>
                <w:color w:val="FFFFFF"/>
                <w:sz w:val="22"/>
                <w:szCs w:val="22"/>
              </w:rPr>
              <w:t xml:space="preserve">Aberfan — The Premonition Bureau</w:t>
            </w:r>
          </w:p>
        </w:tc>
      </w:tr>
      <w:tr>
        <w:tc>
          <w:tcPr>
            <w:tcW w:type="dxa" w:w="9360"/>
            <w:tcBorders>
              <w:top w:val="single" w:color="CCB97A" w:sz="1"/>
              <w:left w:val="single" w:color="CCB97A" w:sz="1"/>
              <w:bottom w:val="single" w:color="CCB97A" w:sz="1"/>
              <w:right w:val="single" w:color="CCB97A" w:sz="1"/>
            </w:tcBorders>
            <w:shd w:fill="F4F9FD" w:val="clear"/>
            <w:tcMar>
              <w:top w:type="dxa" w:w="100"/>
              <w:left w:type="dxa" w:w="200"/>
              <w:bottom w:type="dxa" w:w="100"/>
              <w:right w:type="dxa" w:w="200"/>
            </w:tcMar>
          </w:tcPr>
          <w:p>
            <w:pPr>
              <w:spacing w:before="40" w:after="40"/>
            </w:pPr>
            <w:r>
              <w:rPr>
                <w:rFonts w:ascii="Arial" w:cs="Arial" w:eastAsia="Arial" w:hAnsi="Arial"/>
                <w:color w:val="2C3E50"/>
                <w:sz w:val="20"/>
                <w:szCs w:val="20"/>
              </w:rPr>
              <w:t xml:space="preserve">On October 21, 1966, a coal tip collapsed above the Welsh village of Aberfan, burying a school and killing 144 people, 116 of them children. In the weeks after the disaster, psychiatrist John Barker collected 76 reports from people who claimed prior knowledge. Of these, 24 met the standard of having been externalized to a witness before the event. The most cited case: ten-year-old Eryl Mai Jones told her mother the morning before, 'I dreamt I went to school and there was no school there — something black had come down all over it.' Eryl died the following morning. The case led Barker to establish the British Premonitions Bureau in 1967 — a formal registry for pre-event reports. The 24 verified cases were published in the British Medical Journal.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80"/>
              <w:left w:type="dxa" w:w="180"/>
              <w:bottom w:type="dxa" w:w="80"/>
              <w:right w:type="dxa" w:w="180"/>
            </w:tcMar>
          </w:tcPr>
          <w:p>
            <w:r>
              <w:rPr>
                <w:rFonts w:ascii="Arial" w:cs="Arial" w:eastAsia="Arial" w:hAnsi="Arial"/>
                <w:color w:val="AADDEE"/>
                <w:sz w:val="18"/>
                <w:szCs w:val="18"/>
              </w:rPr>
              <w:t xml:space="preserve">2001 CE  ·  United States  ·  </w:t>
            </w:r>
            <w:r>
              <w:rPr>
                <w:rFonts w:ascii="Arial" w:cs="Arial" w:eastAsia="Arial" w:hAnsi="Arial"/>
                <w:b/>
                <w:bCs/>
                <w:color w:val="FFFFFF"/>
                <w:sz w:val="22"/>
                <w:szCs w:val="22"/>
              </w:rPr>
              <w:t xml:space="preserve">September 11 — The Premonitions Database</w:t>
            </w:r>
          </w:p>
        </w:tc>
      </w:tr>
      <w:tr>
        <w:tc>
          <w:tcPr>
            <w:tcW w:type="dxa" w:w="9360"/>
            <w:tcBorders>
              <w:top w:val="single" w:color="CCB97A" w:sz="1"/>
              <w:left w:val="single" w:color="CCB97A" w:sz="1"/>
              <w:bottom w:val="single" w:color="CCB97A" w:sz="1"/>
              <w:right w:val="single" w:color="CCB97A" w:sz="1"/>
            </w:tcBorders>
            <w:shd w:fill="F4F9FD" w:val="clear"/>
            <w:tcMar>
              <w:top w:type="dxa" w:w="100"/>
              <w:left w:type="dxa" w:w="200"/>
              <w:bottom w:type="dxa" w:w="100"/>
              <w:right w:type="dxa" w:w="200"/>
            </w:tcMar>
          </w:tcPr>
          <w:p>
            <w:pPr>
              <w:spacing w:before="40" w:after="40"/>
            </w:pPr>
            <w:r>
              <w:rPr>
                <w:rFonts w:ascii="Arial" w:cs="Arial" w:eastAsia="Arial" w:hAnsi="Arial"/>
                <w:color w:val="2C3E50"/>
                <w:sz w:val="20"/>
                <w:szCs w:val="20"/>
              </w:rPr>
              <w:t xml:space="preserve">In the years following September 11, 2001, researchers at the Rhine Research Center systematically collected reports of premonitions. A statistically significant number of people documented avoiding the World Trade Center or specific flights on that day due to unexplained unease — including airline employees who changed assignments without stated reason, office workers who canceled downtown meetings after vivid dreams, and individuals who simply could not bring themselves to travel as planned. Post-event CDC surveys noted an unusually high volume of reported premonitions. The aggregate data — not any individual case — constitutes the evidential weight: enough people, with enough prior witnesses, avoided enough flights and buildings that the distribution cannot be attributed solely to baseline coincidence.</w:t>
            </w:r>
          </w:p>
        </w:tc>
      </w:tr>
    </w:tbl>
    <w:p>
      <w:pPr>
        <w:spacing w:before="80" w:after="80"/>
      </w:pPr>
      <w:r>
        <w:t xml:space="preserve"/>
      </w:r>
    </w:p>
    <w:p>
      <w:r>
        <w:br w:type="page"/>
      </w:r>
    </w:p>
    <w:p>
      <w:pPr>
        <w:pBdr>
          <w:bottom w:val="single" w:color="B7950B" w:sz="4" w:space="6"/>
        </w:pBdr>
        <w:spacing w:before="480" w:after="160"/>
      </w:pPr>
      <w:r>
        <w:rPr>
          <w:rFonts w:ascii="Arial" w:cs="Arial" w:eastAsia="Arial" w:hAnsi="Arial"/>
          <w:b/>
          <w:bCs/>
          <w:color w:val="1A5276"/>
          <w:sz w:val="40"/>
          <w:szCs w:val="40"/>
        </w:rPr>
        <w:t xml:space="preserve">PART III — THE WORDS OF KNOWING: CULTURAL PHRASES IN HISTORICAL ORDER</w:t>
      </w:r>
    </w:p>
    <w:p>
      <w:pPr>
        <w:spacing w:before="80" w:after="80"/>
      </w:pPr>
      <w:r>
        <w:t xml:space="preserve"/>
      </w:r>
    </w:p>
    <w:p>
      <w:pPr>
        <w:spacing w:before="80" w:after="120"/>
      </w:pPr>
      <w:r>
        <w:rPr>
          <w:rFonts w:ascii="Arial" w:cs="Arial" w:eastAsia="Arial" w:hAnsi="Arial"/>
          <w:color w:val="2C3E50"/>
          <w:sz w:val="22"/>
          <w:szCs w:val="22"/>
        </w:rPr>
        <w:t xml:space="preserve">Every human language has developed specific vocabulary for this experience. The words themselves are a kind of fossil record — each one encoding a civilization's understanding of what it means to know something before it can be logically known. Below is a historical survey from the earliest recorded civilizations to the modern world, with original-language phrases and their precise English meanings.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300"/>
        <w:gridCol w:w="3660"/>
      </w:tblGrid>
      <w:tr>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Era / Date</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Culture</w:t>
            </w:r>
          </w:p>
        </w:tc>
        <w:tc>
          <w:tcPr>
            <w:tcW w:type="dxa" w:w="23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Phrase (Original Language)</w:t>
            </w:r>
          </w:p>
        </w:tc>
        <w:tc>
          <w:tcPr>
            <w:tcW w:type="dxa" w:w="36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English Translation &amp; Meaning</w:t>
            </w:r>
          </w:p>
        </w:tc>
      </w:tr>
      <w:tr>
        <w:tc>
          <w:tcPr>
            <w:tcW w:type="dxa" w:w="14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~3000 BCE</w:t>
            </w:r>
          </w:p>
        </w:tc>
        <w:tc>
          <w:tcPr>
            <w:tcW w:type="dxa" w:w="20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Sumerian / Akkadian</w:t>
            </w:r>
          </w:p>
        </w:tc>
        <w:tc>
          <w:tcPr>
            <w:tcW w:type="dxa" w:w="23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𒀭𒂗𒍪 (Enzu) / Šu-ut ilī</w:t>
            </w:r>
          </w:p>
        </w:tc>
        <w:tc>
          <w:tcPr>
            <w:tcW w:type="dxa" w:w="366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"Gift of the gods" — inner knowing granted by divine forces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~2600 BCE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Ancient Egyptian</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ꜣḫ (Akh) / Rꜣ n ḥꜣty</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"The luminous intelligence of the heart" — radiant knowing within</w:t>
            </w:r>
          </w:p>
        </w:tc>
      </w:tr>
      <w:tr>
        <w:tc>
          <w:tcPr>
            <w:tcW w:type="dxa" w:w="14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~2000 BCE</w:t>
            </w:r>
          </w:p>
        </w:tc>
        <w:tc>
          <w:tcPr>
            <w:tcW w:type="dxa" w:w="20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Vedic Sanskrit</w:t>
            </w:r>
          </w:p>
        </w:tc>
        <w:tc>
          <w:tcPr>
            <w:tcW w:type="dxa" w:w="23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प्रज्ञा (Prajñā) / अन्तर्ज्ञान</w:t>
            </w:r>
          </w:p>
        </w:tc>
        <w:tc>
          <w:tcPr>
            <w:tcW w:type="dxa" w:w="366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"Wisdom that arises before thought" / "Inner knowing"</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~1500 BCE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Ancient Chinese</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知 (Zhī) / 先知 (Xiānzhī)</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"Foreknowledge" — knowing before events unfold</w:t>
            </w:r>
          </w:p>
        </w:tc>
      </w:tr>
      <w:tr>
        <w:tc>
          <w:tcPr>
            <w:tcW w:type="dxa" w:w="14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~1200 BCE</w:t>
            </w:r>
          </w:p>
        </w:tc>
        <w:tc>
          <w:tcPr>
            <w:tcW w:type="dxa" w:w="20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Hebrew / Torah</w:t>
            </w:r>
          </w:p>
        </w:tc>
        <w:tc>
          <w:tcPr>
            <w:tcW w:type="dxa" w:w="23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נְבוּאָה (Nevuah) / חָזוֹן (Chazon)</w:t>
            </w:r>
          </w:p>
        </w:tc>
        <w:tc>
          <w:tcPr>
            <w:tcW w:type="dxa" w:w="366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"Prophecy" / "Vision" — divine transmission of future sight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~800 BCE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Ancient Greek</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μαντεία (Manteía) / πρόγνωσις</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"Divination" / "Foreknowing" — knowledge that precedes the event</w:t>
            </w:r>
          </w:p>
        </w:tc>
      </w:tr>
      <w:tr>
        <w:tc>
          <w:tcPr>
            <w:tcW w:type="dxa" w:w="14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~600 BCE</w:t>
            </w:r>
          </w:p>
        </w:tc>
        <w:tc>
          <w:tcPr>
            <w:tcW w:type="dxa" w:w="20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Zoroastrian / Avestan</w:t>
            </w:r>
          </w:p>
        </w:tc>
        <w:tc>
          <w:tcPr>
            <w:tcW w:type="dxa" w:w="23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Daena / Spenta Mainyū</w:t>
            </w:r>
          </w:p>
        </w:tc>
        <w:tc>
          <w:tcPr>
            <w:tcW w:type="dxa" w:w="366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"Inner conscience / luminous spirit" — divine spark that perceives truth</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~500 BCE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Classical Greek</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δαίμων (Daimon) / Νοῦς (Nous)</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"Inner guiding spirit" (Socrates) / "Universal mind"</w:t>
            </w:r>
          </w:p>
        </w:tc>
      </w:tr>
      <w:tr>
        <w:tc>
          <w:tcPr>
            <w:tcW w:type="dxa" w:w="14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~400 BCE</w:t>
            </w:r>
          </w:p>
        </w:tc>
        <w:tc>
          <w:tcPr>
            <w:tcW w:type="dxa" w:w="20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Sanskrit Buddhist</w:t>
            </w:r>
          </w:p>
        </w:tc>
        <w:tc>
          <w:tcPr>
            <w:tcW w:type="dxa" w:w="23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अभिज्ञा (Abhijñā) / विपश्यना</w:t>
            </w:r>
          </w:p>
        </w:tc>
        <w:tc>
          <w:tcPr>
            <w:tcW w:type="dxa" w:w="366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"Direct knowing" / "Insight" — perception beyond ordinary cognition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~300 BCE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Stoic Latin / Greek</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Syneidesis / Logos</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"Conscience / inner witness" / "Universal reason"</w:t>
            </w:r>
          </w:p>
        </w:tc>
      </w:tr>
      <w:tr>
        <w:tc>
          <w:tcPr>
            <w:tcW w:type="dxa" w:w="14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~200 BCE</w:t>
            </w:r>
          </w:p>
        </w:tc>
        <w:tc>
          <w:tcPr>
            <w:tcW w:type="dxa" w:w="20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Ancient Roman</w:t>
            </w:r>
          </w:p>
        </w:tc>
        <w:tc>
          <w:tcPr>
            <w:tcW w:type="dxa" w:w="23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Augury / Numen / Instinctus</w:t>
            </w:r>
          </w:p>
        </w:tc>
        <w:tc>
          <w:tcPr>
            <w:tcW w:type="dxa" w:w="366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"Divine will" / "Numinous impulse" — god-given inner prompting</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~100 CE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Early Christian</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Pneuma (πνεῦμα) / Charismata</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"Spirit / breath of God" / "Gifts of the Spirit" — prophetic knowing</w:t>
            </w:r>
          </w:p>
        </w:tc>
      </w:tr>
      <w:tr>
        <w:tc>
          <w:tcPr>
            <w:tcW w:type="dxa" w:w="14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~400 CE</w:t>
            </w:r>
          </w:p>
        </w:tc>
        <w:tc>
          <w:tcPr>
            <w:tcW w:type="dxa" w:w="20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Latin / Augustine</w:t>
            </w:r>
          </w:p>
        </w:tc>
        <w:tc>
          <w:tcPr>
            <w:tcW w:type="dxa" w:w="23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Intellectus / Mens interior</w:t>
            </w:r>
          </w:p>
        </w:tc>
        <w:tc>
          <w:tcPr>
            <w:tcW w:type="dxa" w:w="366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"Interior mind" — Augustine's concept of inner illumination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~700 CE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Islamic / Arabic</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الحدس (Al-Hads) / الفراسة (Al-Firāsa)</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"Intuition" / "Spiritual perception" — Sufi trained inner sight</w:t>
            </w:r>
          </w:p>
        </w:tc>
      </w:tr>
      <w:tr>
        <w:tc>
          <w:tcPr>
            <w:tcW w:type="dxa" w:w="14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~900 CE</w:t>
            </w:r>
          </w:p>
        </w:tc>
        <w:tc>
          <w:tcPr>
            <w:tcW w:type="dxa" w:w="20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Sufi Mysticism</w:t>
            </w:r>
          </w:p>
        </w:tc>
        <w:tc>
          <w:tcPr>
            <w:tcW w:type="dxa" w:w="23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كشف (Kashf) / الإلهام (Al-Ilhām)</w:t>
            </w:r>
          </w:p>
        </w:tc>
        <w:tc>
          <w:tcPr>
            <w:tcW w:type="dxa" w:w="366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"Unveiling" / "Divine inspiration" — inner revelation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~1000 CE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Japanese</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直感 (Chokkan) / 第六感 (Dairokkan)</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"Direct perception" / "The sixth sense" — beyond the five senses</w:t>
            </w:r>
          </w:p>
        </w:tc>
      </w:tr>
      <w:tr>
        <w:tc>
          <w:tcPr>
            <w:tcW w:type="dxa" w:w="14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~1100 CE</w:t>
            </w:r>
          </w:p>
        </w:tc>
        <w:tc>
          <w:tcPr>
            <w:tcW w:type="dxa" w:w="20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Norse / Old Norse</w:t>
            </w:r>
          </w:p>
        </w:tc>
        <w:tc>
          <w:tcPr>
            <w:tcW w:type="dxa" w:w="23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Hugr / Hamingja / Örlög</w:t>
            </w:r>
          </w:p>
        </w:tc>
        <w:tc>
          <w:tcPr>
            <w:tcW w:type="dxa" w:w="366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"Soul-thought / premonition" / "Fate-luck" / "Primal cosmic law"</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~1200 CE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Medieval Latin</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Intuitus / Lumen naturale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"Direct mental sight" / "Natural light of reason" — Aquinas</w:t>
            </w:r>
          </w:p>
        </w:tc>
      </w:tr>
      <w:tr>
        <w:tc>
          <w:tcPr>
            <w:tcW w:type="dxa" w:w="14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~1400 CE</w:t>
            </w:r>
          </w:p>
        </w:tc>
        <w:tc>
          <w:tcPr>
            <w:tcW w:type="dxa" w:w="20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Chinese Taoist</w:t>
            </w:r>
          </w:p>
        </w:tc>
        <w:tc>
          <w:tcPr>
            <w:tcW w:type="dxa" w:w="23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玄覽 (Xuán Lǎn) / 冥想</w:t>
            </w:r>
          </w:p>
        </w:tc>
        <w:tc>
          <w:tcPr>
            <w:tcW w:type="dxa" w:w="366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"Mysterious inner gazing" — stillness revealing what is hidden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~1500 CE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Renaissance Italian</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Intuizione / Premonizione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"Intuition" / "Premonition" — direct knowing of the future</w:t>
            </w:r>
          </w:p>
        </w:tc>
      </w:tr>
      <w:tr>
        <w:tc>
          <w:tcPr>
            <w:tcW w:type="dxa" w:w="14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~1600 CE</w:t>
            </w:r>
          </w:p>
        </w:tc>
        <w:tc>
          <w:tcPr>
            <w:tcW w:type="dxa" w:w="20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Spanish / Castilian</w:t>
            </w:r>
          </w:p>
        </w:tc>
        <w:tc>
          <w:tcPr>
            <w:tcW w:type="dxa" w:w="23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Presentimiento / Corazonada</w:t>
            </w:r>
          </w:p>
        </w:tc>
        <w:tc>
          <w:tcPr>
            <w:tcW w:type="dxa" w:w="366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"Presentiment" / "Heart-feeling" — what the heart already knows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~1700 CE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French Enlightenment</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Pressentiment / Intuition</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"Pre-sensing" / "Intuition" — knowledge before rational proof</w:t>
            </w:r>
          </w:p>
        </w:tc>
      </w:tr>
      <w:tr>
        <w:tc>
          <w:tcPr>
            <w:tcW w:type="dxa" w:w="14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~1800 CE</w:t>
            </w:r>
          </w:p>
        </w:tc>
        <w:tc>
          <w:tcPr>
            <w:tcW w:type="dxa" w:w="20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German Romantic</w:t>
            </w:r>
          </w:p>
        </w:tc>
        <w:tc>
          <w:tcPr>
            <w:tcW w:type="dxa" w:w="23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Ahnung / Vorahnung / Vorgefühl</w:t>
            </w:r>
          </w:p>
        </w:tc>
        <w:tc>
          <w:tcPr>
            <w:tcW w:type="dxa" w:w="366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"Foreboding" / "Premonition" / "Pre-feeling"</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~1800 CE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Aboriginal Australian</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Miwi / Ngaṉṯa</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"Spiritual gut-sense" — the oldest continuous intuition tradition</w:t>
            </w:r>
          </w:p>
        </w:tc>
      </w:tr>
      <w:tr>
        <w:tc>
          <w:tcPr>
            <w:tcW w:type="dxa" w:w="14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~1850 CE</w:t>
            </w:r>
          </w:p>
        </w:tc>
        <w:tc>
          <w:tcPr>
            <w:tcW w:type="dxa" w:w="20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Swahili / East African</w:t>
            </w:r>
          </w:p>
        </w:tc>
        <w:tc>
          <w:tcPr>
            <w:tcW w:type="dxa" w:w="23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Hisia za kina / Ngojea</w:t>
            </w:r>
          </w:p>
        </w:tc>
        <w:tc>
          <w:tcPr>
            <w:tcW w:type="dxa" w:w="366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"Deep feelings" / "Pre-sensing" — ancestral body knowledge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~1900 CE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Yoruba / West African</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Orí / Àṣà</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"Personal spiritual intuition" / "Ancestral knowing"</w:t>
            </w:r>
          </w:p>
        </w:tc>
      </w:tr>
      <w:tr>
        <w:tc>
          <w:tcPr>
            <w:tcW w:type="dxa" w:w="14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~1900 CE</w:t>
            </w:r>
          </w:p>
        </w:tc>
        <w:tc>
          <w:tcPr>
            <w:tcW w:type="dxa" w:w="20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Hindi / Sanskrit</w:t>
            </w:r>
          </w:p>
        </w:tc>
        <w:tc>
          <w:tcPr>
            <w:tcW w:type="dxa" w:w="230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अंतर्ज्ञान (Antargyān) / पूर्वाभास</w:t>
            </w:r>
          </w:p>
        </w:tc>
        <w:tc>
          <w:tcPr>
            <w:tcW w:type="dxa" w:w="3660"/>
            <w:tcBorders>
              <w:top w:val="single" w:color="CCCCCC" w:sz="1"/>
              <w:left w:val="single" w:color="CCCCCC" w:sz="1"/>
              <w:bottom w:val="single" w:color="CCCCCC" w:sz="1"/>
              <w:right w:val="single" w:color="CCCCCC" w:sz="1"/>
            </w:tcBorders>
            <w:shd w:fill="F9F4E4" w:val="clear"/>
            <w:tcMar>
              <w:top w:type="dxa" w:w="70"/>
              <w:left w:type="dxa" w:w="120"/>
              <w:bottom w:type="dxa" w:w="70"/>
              <w:right w:type="dxa" w:w="120"/>
            </w:tcMar>
          </w:tcPr>
          <w:p>
            <w:r>
              <w:rPr>
                <w:rFonts w:ascii="Arial" w:cs="Arial" w:eastAsia="Arial" w:hAnsi="Arial"/>
                <w:color w:val="2C3E50"/>
                <w:sz w:val="18"/>
                <w:szCs w:val="18"/>
              </w:rPr>
              <w:t xml:space="preserve">"Inner knowledge" / "Foreshadowing"</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Modern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English</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Gut feeling / Sixth sense / Hunch</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18"/>
                <w:szCs w:val="18"/>
              </w:rPr>
              <w:t xml:space="preserve">From Old Norse 'hugr' (soul-thought) and Latin 'intuitio' (gazing upon)</w:t>
            </w:r>
          </w:p>
        </w:tc>
      </w:tr>
    </w:tbl>
    <w:p>
      <w:pPr>
        <w:spacing w:before="80" w:after="80"/>
      </w:pPr>
      <w:r>
        <w:t xml:space="preserve"/>
      </w:r>
    </w:p>
    <w:p>
      <w:pPr>
        <w:spacing w:before="320" w:after="120"/>
      </w:pPr>
      <w:r>
        <w:rPr>
          <w:rFonts w:ascii="Arial" w:cs="Arial" w:eastAsia="Arial" w:hAnsi="Arial"/>
          <w:b/>
          <w:bCs/>
          <w:color w:val="2C3E50"/>
          <w:sz w:val="28"/>
          <w:szCs w:val="28"/>
        </w:rPr>
        <w:t xml:space="preserve">Key Patterns Across Languages</w:t>
      </w:r>
    </w:p>
    <w:p>
      <w:pPr>
        <w:spacing w:before="80" w:after="80"/>
      </w:pPr>
      <w:r>
        <w:t xml:space="preserve"/>
      </w:r>
    </w:p>
    <w:p>
      <w:pPr>
        <w:spacing w:before="240" w:after="100"/>
      </w:pPr>
      <w:r>
        <w:rPr>
          <w:rFonts w:ascii="Arial" w:cs="Arial" w:eastAsia="Arial" w:hAnsi="Arial"/>
          <w:b/>
          <w:bCs/>
          <w:color w:val="B7950B"/>
          <w:sz w:val="24"/>
          <w:szCs w:val="24"/>
        </w:rPr>
        <w:t xml:space="preserve">The Heart vs. The Head</w:t>
      </w:r>
    </w:p>
    <w:p>
      <w:pPr>
        <w:spacing w:before="80" w:after="80"/>
      </w:pPr>
      <w:r>
        <w:t xml:space="preserve"/>
      </w:r>
    </w:p>
    <w:p>
      <w:pPr>
        <w:spacing w:before="80" w:after="120"/>
      </w:pPr>
      <w:r>
        <w:rPr>
          <w:rFonts w:ascii="Arial" w:cs="Arial" w:eastAsia="Arial" w:hAnsi="Arial"/>
          <w:color w:val="2C3E50"/>
          <w:sz w:val="22"/>
          <w:szCs w:val="22"/>
        </w:rPr>
        <w:t xml:space="preserve">The majority of world cultures locate intuition in the body rather than the mind — specifically in the heart, gut, or chest. The Spanish 'corazonada' (from corazón, heart), the Egyptian 'Rꜣ n ḥꜣty' (intelligence of the heart), and the Arabic 'Al-Firāsa' (trained spiritual perception) all reflect this. The English 'gut feeling' follows the same ancient pattern.</w:t>
      </w:r>
    </w:p>
    <w:p>
      <w:pPr>
        <w:spacing w:before="80" w:after="80"/>
      </w:pPr>
      <w:r>
        <w:t xml:space="preserve"/>
      </w:r>
    </w:p>
    <w:p>
      <w:pPr>
        <w:spacing w:before="240" w:after="100"/>
      </w:pPr>
      <w:r>
        <w:rPr>
          <w:rFonts w:ascii="Arial" w:cs="Arial" w:eastAsia="Arial" w:hAnsi="Arial"/>
          <w:b/>
          <w:bCs/>
          <w:color w:val="B7950B"/>
          <w:sz w:val="24"/>
          <w:szCs w:val="24"/>
        </w:rPr>
        <w:t xml:space="preserve">The 'Before' Prefix</w:t>
      </w:r>
    </w:p>
    <w:p>
      <w:pPr>
        <w:spacing w:before="80" w:after="80"/>
      </w:pPr>
      <w:r>
        <w:t xml:space="preserve"/>
      </w:r>
    </w:p>
    <w:p>
      <w:pPr>
        <w:spacing w:before="80" w:after="120"/>
      </w:pPr>
      <w:r>
        <w:rPr>
          <w:rFonts w:ascii="Arial" w:cs="Arial" w:eastAsia="Arial" w:hAnsi="Arial"/>
          <w:color w:val="2C3E50"/>
          <w:sz w:val="22"/>
          <w:szCs w:val="22"/>
        </w:rPr>
        <w:t xml:space="preserve">Across languages from Latin ('prae-'), to German ('vor-'), to Sanskrit ('pūrva-'), cultures independently developed words with a 'before' prefix attached to words for feeling, sensing, or knowing. This convergence across unrelated language families suggests a shared experience so universal that every civilization needed a dedicated word for it.</w:t>
      </w:r>
    </w:p>
    <w:p>
      <w:pPr>
        <w:spacing w:before="80" w:after="80"/>
      </w:pPr>
      <w:r>
        <w:t xml:space="preserve"/>
      </w:r>
    </w:p>
    <w:p>
      <w:pPr>
        <w:spacing w:before="240" w:after="100"/>
      </w:pPr>
      <w:r>
        <w:rPr>
          <w:rFonts w:ascii="Arial" w:cs="Arial" w:eastAsia="Arial" w:hAnsi="Arial"/>
          <w:b/>
          <w:bCs/>
          <w:color w:val="B7950B"/>
          <w:sz w:val="24"/>
          <w:szCs w:val="24"/>
        </w:rPr>
        <w:t xml:space="preserve">The Gift Frame</w:t>
      </w:r>
    </w:p>
    <w:p>
      <w:pPr>
        <w:spacing w:before="80" w:after="80"/>
      </w:pPr>
      <w:r>
        <w:t xml:space="preserve"/>
      </w:r>
    </w:p>
    <w:p>
      <w:pPr>
        <w:spacing w:before="80" w:after="120"/>
      </w:pPr>
      <w:r>
        <w:rPr>
          <w:rFonts w:ascii="Arial" w:cs="Arial" w:eastAsia="Arial" w:hAnsi="Arial"/>
          <w:color w:val="2C3E50"/>
          <w:sz w:val="22"/>
          <w:szCs w:val="22"/>
        </w:rPr>
        <w:t xml:space="preserve">Many ancient cultures framed foresight not as malfunction but as gift — from gods, ancestors, or the cosmos. The Sumerian 'Šu-ut ilī' (gift of the gods), the Hebrew 'Nevuah' (divine transmission), and the Yoruba 'Orí' (the personal spirit that knows first) all share this frame. The modern secular 'gut feeling' is unusual in being stripped of divine attribution — the faculty remains; the framework was discarded.</w:t>
      </w:r>
    </w:p>
    <w:p>
      <w:pPr>
        <w:spacing w:before="80" w:after="80"/>
      </w:pPr>
      <w:r>
        <w:t xml:space="preserve"/>
      </w:r>
    </w:p>
    <w:p>
      <w:pPr>
        <w:spacing w:before="240" w:after="100"/>
      </w:pPr>
      <w:r>
        <w:rPr>
          <w:rFonts w:ascii="Arial" w:cs="Arial" w:eastAsia="Arial" w:hAnsi="Arial"/>
          <w:b/>
          <w:bCs/>
          <w:color w:val="B7950B"/>
          <w:sz w:val="24"/>
          <w:szCs w:val="24"/>
        </w:rPr>
        <w:t xml:space="preserve">The Sixth Sense</w:t>
      </w:r>
    </w:p>
    <w:p>
      <w:pPr>
        <w:spacing w:before="80" w:after="80"/>
      </w:pPr>
      <w:r>
        <w:t xml:space="preserve"/>
      </w:r>
    </w:p>
    <w:p>
      <w:pPr>
        <w:spacing w:before="80" w:after="120"/>
      </w:pPr>
      <w:r>
        <w:rPr>
          <w:rFonts w:ascii="Arial" w:cs="Arial" w:eastAsia="Arial" w:hAnsi="Arial"/>
          <w:color w:val="2C3E50"/>
          <w:sz w:val="22"/>
          <w:szCs w:val="22"/>
        </w:rPr>
        <w:t xml:space="preserve">The Japanese 'Dairokkan' (第六感) and the English 'sixth sense' arrive independently at the same number — acknowledging foresight as an additional faculty beyond the established five. Cross-cultural convergence on the number six as the identifier for premonitive perception has no agreed explanation.</w:t>
      </w:r>
    </w:p>
    <w:p>
      <w:pPr>
        <w:spacing w:before="80" w:after="80"/>
      </w:pPr>
      <w:r>
        <w:t xml:space="preserve"/>
      </w:r>
    </w:p>
    <w:p>
      <w:r>
        <w:br w:type="page"/>
      </w:r>
    </w:p>
    <w:p>
      <w:pPr>
        <w:pBdr>
          <w:bottom w:val="single" w:color="B7950B" w:sz="4" w:space="6"/>
        </w:pBdr>
        <w:spacing w:before="480" w:after="160"/>
      </w:pPr>
      <w:r>
        <w:rPr>
          <w:rFonts w:ascii="Arial" w:cs="Arial" w:eastAsia="Arial" w:hAnsi="Arial"/>
          <w:b/>
          <w:bCs/>
          <w:color w:val="1A5276"/>
          <w:sz w:val="40"/>
          <w:szCs w:val="40"/>
        </w:rPr>
        <w:t xml:space="preserve">PART IV — WHAT MIGHT IT MEAN?</w:t>
      </w:r>
    </w:p>
    <w:p>
      <w:pPr>
        <w:spacing w:before="80" w:after="80"/>
      </w:pPr>
      <w:r>
        <w:t xml:space="preserve"/>
      </w:r>
    </w:p>
    <w:p>
      <w:pPr>
        <w:spacing w:before="80" w:after="120"/>
      </w:pPr>
      <w:r>
        <w:rPr>
          <w:rFonts w:ascii="Arial" w:cs="Arial" w:eastAsia="Arial" w:hAnsi="Arial"/>
          <w:color w:val="2C3E50"/>
          <w:sz w:val="22"/>
          <w:szCs w:val="22"/>
        </w:rPr>
        <w:t xml:space="preserve">The fact that every human culture across all of recorded history has not only experienced but named, studied, ritualized, and built institutions around this capacity is itself a datum that demands serious attention. The cumulative weight of the evidence does not prove a mechanism — but it establishes beyond reasonable doubt that the experience is real, universal, and consistent across wildly different cognitive and cultural frameworks.</w:t>
      </w:r>
    </w:p>
    <w:p>
      <w:pPr>
        <w:spacing w:before="80" w:after="80"/>
      </w:pPr>
      <w:r>
        <w:t xml:space="preserve"/>
      </w:r>
    </w:p>
    <w:p>
      <w:pPr>
        <w:spacing w:before="320" w:after="120"/>
      </w:pPr>
      <w:r>
        <w:rPr>
          <w:rFonts w:ascii="Arial" w:cs="Arial" w:eastAsia="Arial" w:hAnsi="Arial"/>
          <w:b/>
          <w:bCs/>
          <w:color w:val="2C3E50"/>
          <w:sz w:val="28"/>
          <w:szCs w:val="28"/>
        </w:rPr>
        <w:t xml:space="preserve">Hypothesis One: Pattern Recognition Beyond Conscious Access</w:t>
      </w:r>
    </w:p>
    <w:p>
      <w:pPr>
        <w:spacing w:before="80" w:after="80"/>
      </w:pPr>
      <w:r>
        <w:t xml:space="preserve"/>
      </w:r>
    </w:p>
    <w:p>
      <w:pPr>
        <w:spacing w:before="80" w:after="120"/>
      </w:pPr>
      <w:r>
        <w:rPr>
          <w:rFonts w:ascii="Arial" w:cs="Arial" w:eastAsia="Arial" w:hAnsi="Arial"/>
          <w:color w:val="2C3E50"/>
          <w:sz w:val="22"/>
          <w:szCs w:val="22"/>
        </w:rPr>
        <w:t xml:space="preserve">The most conservative scientific explanation: intuition — including some forms of apparent precognition — is a function of the brain's non-conscious pattern-matching systems. The brain processes vastly more sensory data than it makes available to consciousness. Premonitions may represent this subterranean processing surfacing as emotion or bodily sensation before the conscious mind has formulated a reason. This explains many cases without requiring anything beyond ordinary neurology — but not all cases. The sword at Fierbois, the date of the Ides of March, the Titanic's measurements — these cannot be derived from environmental pattern recognition.</w:t>
      </w:r>
    </w:p>
    <w:p>
      <w:pPr>
        <w:spacing w:before="80" w:after="80"/>
      </w:pPr>
      <w:r>
        <w:t xml:space="preserve"/>
      </w:r>
    </w:p>
    <w:p>
      <w:pPr>
        <w:spacing w:before="320" w:after="120"/>
      </w:pPr>
      <w:r>
        <w:rPr>
          <w:rFonts w:ascii="Arial" w:cs="Arial" w:eastAsia="Arial" w:hAnsi="Arial"/>
          <w:b/>
          <w:bCs/>
          <w:color w:val="2C3E50"/>
          <w:sz w:val="28"/>
          <w:szCs w:val="28"/>
        </w:rPr>
        <w:t xml:space="preserve">Hypothesis Two: Non-Local Consciousness / Quantum Mind</w:t>
      </w:r>
    </w:p>
    <w:p>
      <w:pPr>
        <w:spacing w:before="80" w:after="80"/>
      </w:pPr>
      <w:r>
        <w:t xml:space="preserve"/>
      </w:r>
    </w:p>
    <w:p>
      <w:pPr>
        <w:spacing w:before="80" w:after="120"/>
      </w:pPr>
      <w:r>
        <w:rPr>
          <w:rFonts w:ascii="Arial" w:cs="Arial" w:eastAsia="Arial" w:hAnsi="Arial"/>
          <w:color w:val="2C3E50"/>
          <w:sz w:val="22"/>
          <w:szCs w:val="22"/>
        </w:rPr>
        <w:t xml:space="preserve">Roger Penrose and Stuart Hameroff's Orchestrated Objective Reduction (Orch-OR) hypothesis proposes that consciousness arises from quantum processes in microtubules within neurons — making the human mind, at its substrate level, a quantum information system. If this is correct, the non-locality and retrocausality documented at the quantum level could be accessible to conscious experience. This remains speculative but is taken seriously by a growing subset of physicists and neuroscientists.</w:t>
      </w:r>
    </w:p>
    <w:p>
      <w:pPr>
        <w:spacing w:before="80" w:after="80"/>
      </w:pPr>
      <w:r>
        <w:t xml:space="preserve"/>
      </w:r>
    </w:p>
    <w:p>
      <w:pPr>
        <w:spacing w:before="320" w:after="120"/>
      </w:pPr>
      <w:r>
        <w:rPr>
          <w:rFonts w:ascii="Arial" w:cs="Arial" w:eastAsia="Arial" w:hAnsi="Arial"/>
          <w:b/>
          <w:bCs/>
          <w:color w:val="2C3E50"/>
          <w:sz w:val="28"/>
          <w:szCs w:val="28"/>
        </w:rPr>
        <w:t xml:space="preserve">Hypothesis Three: Time as a Block Universe</w:t>
      </w:r>
    </w:p>
    <w:p>
      <w:pPr>
        <w:spacing w:before="80" w:after="80"/>
      </w:pPr>
      <w:r>
        <w:t xml:space="preserve"/>
      </w:r>
    </w:p>
    <w:p>
      <w:pPr>
        <w:spacing w:before="80" w:after="120"/>
      </w:pPr>
      <w:r>
        <w:rPr>
          <w:rFonts w:ascii="Arial" w:cs="Arial" w:eastAsia="Arial" w:hAnsi="Arial"/>
          <w:color w:val="2C3E50"/>
          <w:sz w:val="22"/>
          <w:szCs w:val="22"/>
        </w:rPr>
        <w:t xml:space="preserve">Einstein's relativity established that time is not a universal constant but a dimension of spacetime. In the 'block universe' or 'eternalist' interpretation of general relativity, all points in time — past, present, and future — exist simultaneously. What we experience as 'the present moving through time' may be a cognitive illusion. If the future exists right now, as fully as the past does, precognition is not supernatural — it is a perceptual anomaly: a mind momentarily accessing temporal information it is not ordinarily equipped to process.</w:t>
      </w:r>
    </w:p>
    <w:p>
      <w:pPr>
        <w:spacing w:before="80" w:after="80"/>
      </w:pPr>
      <w:r>
        <w:t xml:space="preserve"/>
      </w:r>
    </w:p>
    <w:p>
      <w:pPr>
        <w:spacing w:before="320" w:after="120"/>
      </w:pPr>
      <w:r>
        <w:rPr>
          <w:rFonts w:ascii="Arial" w:cs="Arial" w:eastAsia="Arial" w:hAnsi="Arial"/>
          <w:b/>
          <w:bCs/>
          <w:color w:val="2C3E50"/>
          <w:sz w:val="28"/>
          <w:szCs w:val="28"/>
        </w:rPr>
        <w:t xml:space="preserve">Hypothesis Four: The Simulation Frame</w:t>
      </w:r>
    </w:p>
    <w:p>
      <w:pPr>
        <w:spacing w:before="80" w:after="80"/>
      </w:pPr>
      <w:r>
        <w:t xml:space="preserve"/>
      </w:r>
    </w:p>
    <w:p>
      <w:pPr>
        <w:spacing w:before="80" w:after="120"/>
      </w:pPr>
      <w:r>
        <w:rPr>
          <w:rFonts w:ascii="Arial" w:cs="Arial" w:eastAsia="Arial" w:hAnsi="Arial"/>
          <w:color w:val="2C3E50"/>
          <w:sz w:val="22"/>
          <w:szCs w:val="22"/>
        </w:rPr>
        <w:t xml:space="preserve">Philosophers including Nick Bostrom have argued seriously that the probability of our universe being a simulation is non-trivial. If reality is computational, then precognition is literally a glitch: a moment where the sequential rendering of experience fails to fully conceal the future data that already exists in the underlying program. This best accounts for the specific texture of precognitive experience as reported across cultures — not the feeling of inference but of recognition, as if one is briefly seeing something already written.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1"/>
              <w:left w:val="single" w:color="B7950B" w:sz="1"/>
              <w:bottom w:val="single" w:color="B7950B" w:sz="1"/>
              <w:right w:val="single" w:color="B7950B" w:sz="1"/>
            </w:tcBorders>
            <w:shd w:fill="FDF3D0" w:val="clear"/>
            <w:tcMar>
              <w:top w:type="dxa" w:w="140"/>
              <w:left w:type="dxa" w:w="300"/>
              <w:bottom w:type="dxa" w:w="140"/>
              <w:right w:type="dxa" w:w="300"/>
            </w:tcMar>
          </w:tcPr>
          <w:p>
            <w:r>
              <w:rPr>
                <w:rFonts w:ascii="Georgia" w:cs="Georgia" w:eastAsia="Georgia" w:hAnsi="Georgia"/>
                <w:i/>
                <w:iCs/>
                <w:color w:val="2C3E50"/>
                <w:sz w:val="23"/>
                <w:szCs w:val="23"/>
              </w:rPr>
              <w:t xml:space="preserve">Whatever the mechanism, the phenomenon demands to be taken seriously. The dismissal of foresight as mere coincidence must contend with the fact that no other category of human experience has been as consistently documented, across as many cultures and centuries, with as many independently verifiable cases. The glitch, whatever it is, appears to be structural.</w:t>
            </w:r>
          </w:p>
        </w:tc>
      </w:tr>
    </w:tbl>
    <w:p>
      <w:pPr>
        <w:spacing w:before="80" w:after="80"/>
      </w:pPr>
      <w:r>
        <w:t xml:space="preserve"/>
      </w:r>
    </w:p>
    <w:p>
      <w:pPr>
        <w:spacing w:before="80" w:after="120"/>
      </w:pPr>
      <w:r>
        <w:rPr>
          <w:rFonts w:ascii="Arial" w:cs="Arial" w:eastAsia="Arial" w:hAnsi="Arial"/>
          <w:color w:val="2C3E50"/>
          <w:sz w:val="22"/>
          <w:szCs w:val="22"/>
        </w:rPr>
        <w:t xml:space="preserve">Perhaps the most honest position is the one that indigenous and contemplative traditions have always held: that human consciousness, in its ordinary state, is not perceiving all of reality. That there are conditions — extreme emotion, disciplined stillness, dreams, near-death — in which the membrane between what is and what is yet to come becomes, briefly, permeable.</w:t>
      </w:r>
    </w:p>
    <w:p>
      <w:pPr>
        <w:spacing w:before="80" w:after="80"/>
      </w:pPr>
      <w:r>
        <w:t xml:space="preserve"/>
      </w:r>
    </w:p>
    <w:p>
      <w:pPr>
        <w:spacing w:before="80" w:after="120"/>
      </w:pPr>
      <w:r>
        <w:rPr>
          <w:rFonts w:ascii="Arial" w:cs="Arial" w:eastAsia="Arial" w:hAnsi="Arial"/>
          <w:color w:val="2C3E50"/>
          <w:sz w:val="22"/>
          <w:szCs w:val="22"/>
        </w:rPr>
        <w:t xml:space="preserve">And that this has always been true. In every language. In every culture. Since the very first moment a human being looked up from the fire and felt, with sudden cold certainty, that something was coming.</w:t>
      </w:r>
    </w:p>
    <w:p>
      <w:pPr>
        <w:spacing w:before="80" w:after="80"/>
      </w:pPr>
      <w:r>
        <w:t xml:space="preserve"/>
      </w:r>
    </w:p>
    <w:p>
      <w:pPr>
        <w:spacing w:before="480" w:after="40"/>
        <w:jc w:val="center"/>
      </w:pPr>
      <w:r>
        <w:rPr>
          <w:rFonts w:ascii="Arial" w:cs="Arial" w:eastAsia="Arial" w:hAnsi="Arial"/>
          <w:color w:val="B7950B"/>
          <w:sz w:val="22"/>
          <w:szCs w:val="22"/>
        </w:rPr>
        <w:t xml:space="preserve">━━━━━━━━━━━━━━━━━━━━━━━━━━━━━━━━━━━━</w:t>
      </w:r>
    </w:p>
    <w:p>
      <w:pPr>
        <w:spacing w:before="40" w:after="40"/>
        <w:jc w:val="center"/>
      </w:pPr>
      <w:r>
        <w:rPr>
          <w:rFonts w:ascii="Georgia" w:cs="Georgia" w:eastAsia="Georgia" w:hAnsi="Georgia"/>
          <w:i/>
          <w:iCs/>
          <w:color w:val="2C3E50"/>
          <w:sz w:val="26"/>
          <w:szCs w:val="26"/>
        </w:rPr>
        <w:t xml:space="preserve">"The intuitive mind is a sacred gift.</w:t>
      </w:r>
    </w:p>
    <w:p>
      <w:pPr>
        <w:spacing w:before="0" w:after="40"/>
        <w:jc w:val="center"/>
      </w:pPr>
      <w:r>
        <w:rPr>
          <w:rFonts w:ascii="Georgia" w:cs="Georgia" w:eastAsia="Georgia" w:hAnsi="Georgia"/>
          <w:i/>
          <w:iCs/>
          <w:color w:val="2C3E50"/>
          <w:sz w:val="26"/>
          <w:szCs w:val="26"/>
        </w:rPr>
        <w:t xml:space="preserve">The rational mind is a faithful servant.</w:t>
      </w:r>
    </w:p>
    <w:p>
      <w:pPr>
        <w:spacing w:before="0" w:after="40"/>
        <w:jc w:val="center"/>
      </w:pPr>
      <w:r>
        <w:rPr>
          <w:rFonts w:ascii="Georgia" w:cs="Georgia" w:eastAsia="Georgia" w:hAnsi="Georgia"/>
          <w:i/>
          <w:iCs/>
          <w:color w:val="2C3E50"/>
          <w:sz w:val="26"/>
          <w:szCs w:val="26"/>
        </w:rPr>
        <w:t xml:space="preserve">We have created a society that honors the servant</w:t>
      </w:r>
    </w:p>
    <w:p>
      <w:pPr>
        <w:spacing w:before="0" w:after="40"/>
        <w:jc w:val="center"/>
      </w:pPr>
      <w:r>
        <w:rPr>
          <w:rFonts w:ascii="Georgia" w:cs="Georgia" w:eastAsia="Georgia" w:hAnsi="Georgia"/>
          <w:i/>
          <w:iCs/>
          <w:color w:val="2C3E50"/>
          <w:sz w:val="26"/>
          <w:szCs w:val="26"/>
        </w:rPr>
        <w:t xml:space="preserve">and has forgotten the gift."</w:t>
      </w:r>
    </w:p>
    <w:p>
      <w:pPr>
        <w:spacing w:before="20" w:after="300"/>
        <w:jc w:val="center"/>
      </w:pPr>
      <w:r>
        <w:rPr>
          <w:rFonts w:ascii="Arial" w:cs="Arial" w:eastAsia="Arial" w:hAnsi="Arial"/>
          <w:color w:val="566573"/>
          <w:sz w:val="22"/>
          <w:szCs w:val="22"/>
        </w:rPr>
        <w:t xml:space="preserve">— Albert Einstein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5276"/>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2C3E50"/>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B795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2026-03-31T20:58:06.501Z</dcterms:created>
  <dcterms:modified xsi:type="dcterms:W3CDTF">2026-03-31T20:58:06.501Z</dcterms:modified>
</cp:coreProperties>
</file>

<file path=docProps/custom.xml><?xml version="1.0" encoding="utf-8"?>
<Properties xmlns="http://schemas.openxmlformats.org/officeDocument/2006/custom-properties" xmlns:vt="http://schemas.openxmlformats.org/officeDocument/2006/docPropsVTypes"/>
</file>