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ce24cec94f4948" /><Relationship Type="http://schemas.openxmlformats.org/package/2006/relationships/metadata/core-properties" Target="/docProps/core.xml" Id="R2836a2d579c9428c" /><Relationship Type="http://schemas.openxmlformats.org/officeDocument/2006/relationships/extended-properties" Target="/docProps/app.xml" Id="Rca511863e3f04cb8" /><Relationship Type="http://schemas.openxmlformats.org/officeDocument/2006/relationships/custom-properties" Target="/docProps/custom.xml" Id="Rb4e926cca9b949d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QueryGuard - Software Requirements Specification (v1.1)</w:t>
      </w:r>
    </w:p>
    <w:p w14:paraId="00100002" w14:textId="00100003">
      <w:pPr/>
      <w:r>
        <w:rPr>
          <w:b/>
        </w:rPr>
        <w:t xml:space="preserve">Status:</w:t>
      </w:r>
      <w:r>
        <w:t xml:space="preserve"> v1.1, submission before midterm. Group review notes fold in as they arrive; the submission is not gated on them. Written from the working system and its decision log (</w:t>
      </w:r>
      <w:r>
        <w:rPr>
          <w:rFonts w:ascii="Consolas" w:hAnsi="Consolas"/>
        </w:rPr>
        <w:t xml:space="preserve">DECISIONS.md</w:t>
      </w:r>
      <w:r>
        <w:t xml:space="preserve"> D-001..D-019); every requirement below is implemented and test-covered unless explicitly marked stretch/open. </w:t>
      </w:r>
      <w:r>
        <w:rPr>
          <w:b/>
        </w:rPr>
        <w:t xml:space="preserve">Structure:</w:t>
      </w:r>
      <w:r>
        <w:t xml:space="preserve"> IEEE-830 shaped (the course-confirmed spec form); IEEE-830 was withdrawn and superseded by ISO/IEC/IEEE 29148 — section naming here follows the familiar 830 layout with 29148 terminology. </w:t>
      </w:r>
      <w:r>
        <w:rPr>
          <w:b/>
        </w:rPr>
        <w:t xml:space="preserve">Revision history:</w:t>
      </w:r>
      <w:r>
        <w:t xml:space="preserve"> v0.1 draft 2026-09-10; v1.0 candidate 2026-09-12; v1.1 2026-09-15 - requirement priority ranking (section 3.6) and this history block added per the adopted IEEE 830 / 29148 yardstick (SUBMISSION_CHECKLIST item 5). Review notes fold in as they arrive; the submission is not gated on them.</w:t>
      </w:r>
    </w:p>
    <w:p w14:paraId="00100004" w14:textId="00100005">
      <w:pPr>
        <w:pBdr/>
      </w:pPr>
    </w:p>
    <w:p w14:paraId="00100006" w14:textId="00100007">
      <w:pPr>
        <w:pStyle w:val="Heading2"/>
      </w:pPr>
      <w:r>
        <w:rPr>
          <w:b/>
          <w:sz w:val="32"/>
        </w:rPr>
        <w:t xml:space="preserve">1. Introduction</w:t>
      </w:r>
    </w:p>
    <w:p w14:paraId="00100008" w14:textId="00100009">
      <w:pPr>
        <w:pStyle w:val="Heading3"/>
      </w:pPr>
      <w:r>
        <w:rPr>
          <w:b/>
          <w:sz w:val="28"/>
        </w:rPr>
        <w:t xml:space="preserve">1.1 Purpose</w:t>
      </w:r>
    </w:p>
    <w:p w14:paraId="0010000A" w14:textId="0010000B">
      <w:pPr/>
      <w:r>
        <w:rPr/>
        <w:t xml:space="preserve">This SRS specifies QueryGuard, a safety gate for LLM-generated SQL, as the review artifact for Group Project 1 and the requirement source for Group Project 2 (implementation and demo).</w:t>
      </w:r>
    </w:p>
    <w:p w14:paraId="0010000C" w14:textId="0010000D">
      <w:pPr>
        <w:pStyle w:val="Heading3"/>
      </w:pPr>
      <w:r>
        <w:rPr>
          <w:b/>
          <w:sz w:val="28"/>
        </w:rPr>
        <w:t xml:space="preserve">1.2 Scope</w:t>
      </w:r>
    </w:p>
    <w:p w14:paraId="0010000E" w14:textId="0010000F">
      <w:pPr/>
      <w:r>
        <w:rPr/>
        <w:t xml:space="preserve">In scope: plain-English question intake; candidate SQL generation (mock default, live LLM optional); a deterministic validation gate (9 rules, actions BLOCK / MASK / SUGGEST) operating on a parsed SQL AST; compound-statement verification per arm; sensitive-column side-channel blocking; a gate-only executor over a read-only connection; an append-only audit log; an evaluation harness (labeled corpus + metamorphic relations); a plain-language web UI. Out of scope (kept out so Project 2 stays feasible): live-LLM prompt-engineering quality work, user account management, multi-database support beyond SQLite, deployment beyond a single demo machine, model-side defenses.</w:t>
      </w:r>
    </w:p>
    <w:p w14:paraId="00100010" w14:textId="00100011">
      <w:pPr>
        <w:pStyle w:val="Heading3"/>
      </w:pPr>
      <w:r>
        <w:rPr>
          <w:b/>
          <w:sz w:val="28"/>
        </w:rPr>
        <w:t xml:space="preserve">1.3 Definitions</w:t>
      </w:r>
    </w:p>
    <w:p w14:paraId="00100012" w14:textId="00100013">
      <w:pPr>
        <w:numPr>
          <w:ilvl w:val="0"/>
          <w:numId w:val="1"/>
        </w:numPr>
      </w:pPr>
      <w:r>
        <w:rPr>
          <w:b/>
        </w:rPr>
        <w:t xml:space="preserve">Gate:</w:t>
      </w:r>
      <w:r>
        <w:t xml:space="preserve"> the validation component that returns a verdict (PASS / BLOCK) and optional actions (MASK, SUGGEST) for a candidate query.</w:t>
      </w:r>
    </w:p>
    <w:p w14:paraId="00100014" w14:textId="00100015">
      <w:pPr>
        <w:numPr>
          <w:ilvl w:val="0"/>
          <w:numId w:val="1"/>
        </w:numPr>
      </w:pPr>
      <w:r>
        <w:rPr>
          <w:b/>
        </w:rPr>
        <w:t xml:space="preserve">Rule:</w:t>
      </w:r>
      <w:r>
        <w:t xml:space="preserve"> one numbered safety check applied to every candidate (FR-G01..G10). Each rule carries a plain-language name shown in the UI (</w:t>
      </w:r>
      <w:r>
        <w:rPr>
          <w:rFonts w:ascii="Consolas" w:hAnsi="Consolas"/>
        </w:rPr>
        <w:t xml:space="preserve">queryguard/explain.py</w:t>
      </w:r>
      <w:r>
        <w:t xml:space="preserve">).</w:t>
      </w:r>
    </w:p>
    <w:p w14:paraId="00100016" w14:textId="00100017">
      <w:pPr>
        <w:numPr>
          <w:ilvl w:val="0"/>
          <w:numId w:val="1"/>
        </w:numPr>
      </w:pPr>
      <w:r>
        <w:rPr>
          <w:b/>
        </w:rPr>
        <w:t xml:space="preserve">Verdict:</w:t>
      </w:r>
      <w:r>
        <w:t xml:space="preserve"> the gate's decision: PASS = ran as asked; MASK = answered with private columns removed; BLOCK = stopped, nothing ran. ERROR = a query that passed the gate failed at execution; audited, nothing ran, nothing changed (see FR-03).</w:t>
      </w:r>
    </w:p>
    <w:p w14:paraId="00100018" w14:textId="00100019">
      <w:pPr>
        <w:numPr>
          <w:ilvl w:val="0"/>
          <w:numId w:val="1"/>
        </w:numPr>
      </w:pPr>
      <w:r>
        <w:rPr>
          <w:b/>
        </w:rPr>
        <w:t xml:space="preserve">Attack class:</w:t>
      </w:r>
      <w:r>
        <w:t xml:space="preserve"> one of six published categories: direct DML, write bypass, multi-query, read exfiltration, schema reconnaissance, semantic mismatch.</w:t>
      </w:r>
    </w:p>
    <w:p w14:paraId="0010001A" w14:textId="0010001B">
      <w:pPr>
        <w:numPr>
          <w:ilvl w:val="0"/>
          <w:numId w:val="1"/>
        </w:numPr>
      </w:pPr>
      <w:r>
        <w:rPr>
          <w:b/>
        </w:rPr>
        <w:t xml:space="preserve">Audit log:</w:t>
      </w:r>
      <w:r>
        <w:t xml:space="preserve"> the append-only record of every question and verdict; it only grows.</w:t>
      </w:r>
    </w:p>
    <w:p w14:paraId="0010001C" w14:textId="0010001D">
      <w:pPr>
        <w:numPr>
          <w:ilvl w:val="0"/>
          <w:numId w:val="1"/>
        </w:numPr>
      </w:pPr>
      <w:r>
        <w:rPr>
          <w:b/>
        </w:rPr>
        <w:t xml:space="preserve">Mock mode:</w:t>
      </w:r>
      <w:r>
        <w:t xml:space="preserve"> deterministic generator mapping prompts to canned candidates; default for development, tests, and demos (zero external dependency).</w:t>
      </w:r>
    </w:p>
    <w:p w14:paraId="0010001E" w14:textId="0010001F">
      <w:pPr>
        <w:numPr>
          <w:ilvl w:val="0"/>
          <w:numId w:val="1"/>
        </w:numPr>
      </w:pPr>
      <w:r>
        <w:rPr>
          <w:b/>
        </w:rPr>
        <w:t xml:space="preserve">Metamorphic relation (MR):</w:t>
      </w:r>
      <w:r>
        <w:t xml:space="preserve"> a semantically equivalent rewrite that must not change the verdict (Section 8.3).</w:t>
      </w:r>
    </w:p>
    <w:p w14:paraId="00100020" w14:textId="00100021">
      <w:pPr>
        <w:pStyle w:val="Heading3"/>
      </w:pPr>
      <w:r>
        <w:rPr>
          <w:b/>
          <w:sz w:val="28"/>
        </w:rPr>
        <w:t xml:space="preserve">1.4 References</w:t>
      </w:r>
    </w:p>
    <w:p w14:paraId="00100022" w14:textId="00100023">
      <w:pPr/>
      <w:r>
        <w:t xml:space="preserve">Pressman, </w:t>
      </w:r>
      <w:r>
        <w:rPr>
          <w:i/>
        </w:rPr>
        <w:t xml:space="preserve">Software Engineering: A Practitioner's Approach</w:t>
      </w:r>
      <w:r>
        <w:t xml:space="preserve"> (course text); Yeow et al., ICETSIS 2024 (Quiz 1 paper); </w:t>
      </w:r>
      <w:r>
        <w:rPr>
          <w:rFonts w:ascii="Consolas" w:hAnsi="Consolas"/>
        </w:rPr>
        <w:t xml:space="preserve">TECH_PLAN.md</w:t>
      </w:r>
      <w:r>
        <w:t xml:space="preserve"> (design §§1-12); </w:t>
      </w:r>
      <w:r>
        <w:rPr>
          <w:rFonts w:ascii="Consolas" w:hAnsi="Consolas"/>
        </w:rPr>
        <w:t xml:space="preserve">COMPETITION_SCAN.md</w:t>
      </w:r>
      <w:r>
        <w:t xml:space="preserve"> (LangShield/P2SQL ICSE 2025, StruQ USENIX 2025, SecAlign CCS 2025, SQLShield, NeMo Guardrails, Guardrails AI, RBAC-T2SQL benchmark arXiv 2607.22115); ISO/IEC/IEEE 29148 (SRS standard, IEEE-830 successor).</w:t>
      </w:r>
    </w:p>
    <w:p w14:paraId="00100024" w14:textId="00100025">
      <w:pPr>
        <w:pStyle w:val="Heading3"/>
      </w:pPr>
      <w:r>
        <w:rPr>
          <w:b/>
          <w:sz w:val="28"/>
        </w:rPr>
        <w:t xml:space="preserve">1.5 Overview</w:t>
      </w:r>
    </w:p>
    <w:p w14:paraId="00100026" w14:textId="00100027">
      <w:pPr/>
      <w:r>
        <w:rPr/>
        <w:t xml:space="preserve">Section 2 describes the product and its users. Section 3 gives numbered functional and non-functional requirements. Sections 4-5 give the data model and interfaces. Section 6 traces every requirement to a test. Section 7 maps milestones to course dates. Section 8 reports measured evaluation results. Section 9 lists the course practices this project applies. Section 10 lists open items.</w:t>
      </w:r>
    </w:p>
    <w:p w14:paraId="00100028" w14:textId="00100029">
      <w:pPr>
        <w:pStyle w:val="Heading2"/>
      </w:pPr>
      <w:r>
        <w:rPr>
          <w:b/>
          <w:sz w:val="32"/>
        </w:rPr>
        <w:t xml:space="preserve">2. Overall description</w:t>
      </w:r>
    </w:p>
    <w:p w14:paraId="0010002A" w14:textId="0010002B">
      <w:pPr>
        <w:pStyle w:val="Heading3"/>
      </w:pPr>
      <w:r>
        <w:rPr>
          <w:b/>
          <w:sz w:val="28"/>
        </w:rPr>
        <w:t xml:space="preserve">2.1 Product perspective</w:t>
      </w:r>
    </w:p>
    <w:p w14:paraId="0010002C" w14:textId="0010002D">
      <w:pPr/>
      <w:r>
        <w:t xml:space="preserve">QueryGuard is a standalone web application with five components in one request path: Intake -&gt; Generator -&gt; Validation Gate -&gt; Executor -&gt; Audit Log. The gate is architectural, not advisory: the executor accepts connections only from the gate, and the database connection is read-only at the file level (</w:t>
      </w:r>
      <w:r>
        <w:rPr>
          <w:rFonts w:ascii="Consolas" w:hAnsi="Consolas"/>
        </w:rPr>
        <w:t xml:space="preserve">mode=ro</w:t>
      </w:r>
      <w:r>
        <w:t xml:space="preserve">) plus </w:t>
      </w:r>
      <w:r>
        <w:rPr>
          <w:rFonts w:ascii="Consolas" w:hAnsi="Consolas"/>
        </w:rPr>
        <w:t xml:space="preserve">PRAGMA query_only</w:t>
      </w:r>
      <w:r>
        <w:t xml:space="preserve">, so no write can succeed even if a rule were bypassed. Rules run on a normalized AST (sqlglot, SQLite dialect), never on raw substrings.</w:t>
      </w:r>
    </w:p>
    <w:p w14:paraId="0010002E" w14:textId="0010002F">
      <w:pPr>
        <w:pStyle w:val="Heading3"/>
      </w:pPr>
      <w:r>
        <w:rPr>
          <w:b/>
          <w:sz w:val="28"/>
        </w:rPr>
        <w:t xml:space="preserve">2.2 Product functions</w:t>
      </w:r>
    </w:p>
    <w:p w14:paraId="00100030" w14:textId="00100031">
      <w:pPr/>
      <w:r>
        <w:rPr/>
        <w:t xml:space="preserve">Answer plain-English questions against a demo clinic database; show the generated SQL and its verdict; block or transform unsafe queries before execution; explain every decision in plain language; record everything; and measure itself (block rates, false-positive rate, latency, metamorphic stability) with a repeatable harness.</w:t>
      </w:r>
    </w:p>
    <w:p w14:paraId="00100032" w14:textId="00100033">
      <w:pPr>
        <w:pStyle w:val="Heading3"/>
      </w:pPr>
      <w:r>
        <w:rPr>
          <w:b/>
          <w:sz w:val="28"/>
        </w:rPr>
        <w:t xml:space="preserve">2.3 User classes</w:t>
      </w:r>
    </w:p>
    <w:p w14:paraId="00100034" w14:textId="00100035">
      <w:pPr>
        <w:numPr>
          <w:ilvl w:val="0"/>
          <w:numId w:val="2"/>
        </w:numPr>
      </w:pPr>
      <w:r>
        <w:rPr>
          <w:b/>
        </w:rPr>
        <w:t xml:space="preserve">End user (demo persona):</w:t>
      </w:r>
      <w:r>
        <w:t xml:space="preserve"> asks questions in a browser; sees answers and plain-language verdict explanations; never needs to know gate internals.</w:t>
      </w:r>
    </w:p>
    <w:p w14:paraId="00100036" w14:textId="00100037">
      <w:pPr>
        <w:numPr>
          <w:ilvl w:val="0"/>
          <w:numId w:val="2"/>
        </w:numPr>
      </w:pPr>
      <w:r>
        <w:rPr>
          <w:b/>
        </w:rPr>
        <w:t xml:space="preserve">Developer/reviewer (course staff, group):</w:t>
      </w:r>
      <w:r>
        <w:t xml:space="preserve"> reads the audit log, metrics page, corpus reports, decisions, and this SRS.</w:t>
      </w:r>
    </w:p>
    <w:p w14:paraId="00100038" w14:textId="00100039">
      <w:pPr>
        <w:numPr>
          <w:ilvl w:val="0"/>
          <w:numId w:val="2"/>
        </w:numPr>
      </w:pPr>
      <w:r>
        <w:rPr>
          <w:b/>
        </w:rPr>
        <w:t xml:space="preserve">Evaluator (harness/CI):</w:t>
      </w:r>
      <w:r>
        <w:t xml:space="preserve"> runs the labeled corpus and metamorphic relations; publishes metrics artifacts.</w:t>
      </w:r>
    </w:p>
    <w:p w14:paraId="0010003A" w14:textId="0010003B">
      <w:pPr>
        <w:pStyle w:val="Heading3"/>
      </w:pPr>
      <w:r>
        <w:rPr>
          <w:b/>
          <w:sz w:val="28"/>
        </w:rPr>
        <w:t xml:space="preserve">2.3.1 User stories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p w14:paraId="0010003C" w14:textId="0010003D">
            <w:r>
              <w:t xml:space="preserve">As a...</w:t>
            </w:r>
          </w:p>
        </w:tc>
        <w:tc>
          <w:p w14:paraId="0010003E" w14:textId="0010003F">
            <w:r>
              <w:t xml:space="preserve">I want to...</w:t>
            </w:r>
          </w:p>
        </w:tc>
        <w:tc>
          <w:p w14:paraId="00100040" w14:textId="00100041">
            <w:r>
              <w:t xml:space="preserve">so that...</w:t>
            </w:r>
          </w:p>
        </w:tc>
        <w:tc>
          <w:p w14:paraId="00100042" w14:textId="00100043">
            <w:r>
              <w:t xml:space="preserve">Requirements</w:t>
            </w:r>
          </w:p>
        </w:tc>
      </w:tr>
      <w:tr>
        <w:tc>
          <w:p w14:paraId="00100044" w14:textId="00100045">
            <w:r>
              <w:t xml:space="preserve">demo viewer</w:t>
            </w:r>
          </w:p>
        </w:tc>
        <w:tc>
          <w:p w14:paraId="00100046" w14:textId="00100047">
            <w:r>
              <w:t xml:space="preserve">type a question and see an answer</w:t>
            </w:r>
          </w:p>
        </w:tc>
        <w:tc>
          <w:p w14:paraId="00100048" w14:textId="00100049">
            <w:r>
              <w:t xml:space="preserve">I can see the product work end to end</w:t>
            </w:r>
          </w:p>
        </w:tc>
        <w:tc>
          <w:p w14:paraId="0010004A" w14:textId="0010004B">
            <w:r>
              <w:t xml:space="preserve">FR-01, FR-02, FR-04, FR-U1</w:t>
            </w:r>
          </w:p>
        </w:tc>
      </w:tr>
      <w:tr>
        <w:tc>
          <w:p w14:paraId="0010004C" w14:textId="0010004D">
            <w:r>
              <w:t xml:space="preserve">demo viewer</w:t>
            </w:r>
          </w:p>
        </w:tc>
        <w:tc>
          <w:p w14:paraId="0010004E" w14:textId="0010004F">
            <w:r>
              <w:t xml:space="preserve">see every blocked query explained in plain English</w:t>
            </w:r>
          </w:p>
        </w:tc>
        <w:tc>
          <w:p w14:paraId="00100050" w14:textId="00100051">
            <w:r>
              <w:t xml:space="preserve">I trust that nothing dangerous ran</w:t>
            </w:r>
          </w:p>
        </w:tc>
        <w:tc>
          <w:p w14:paraId="00100052" w14:textId="00100053">
            <w:r>
              <w:t xml:space="preserve">FR-U1, NFR-4</w:t>
            </w:r>
          </w:p>
        </w:tc>
      </w:tr>
      <w:tr>
        <w:tc>
          <w:p w14:paraId="00100054" w14:textId="00100055">
            <w:r>
              <w:t xml:space="preserve">privacy-conscious viewer</w:t>
            </w:r>
          </w:p>
        </w:tc>
        <w:tc>
          <w:p w14:paraId="00100056" w14:textId="00100057">
            <w:r>
              <w:t xml:space="preserve">know private columns (SSN, billing status) can never appear in answers</w:t>
            </w:r>
          </w:p>
        </w:tc>
        <w:tc>
          <w:p w14:paraId="00100058" w14:textId="00100059">
            <w:r>
              <w:t xml:space="preserve">I can believe the privacy claim</w:t>
            </w:r>
          </w:p>
        </w:tc>
        <w:tc>
          <w:p w14:paraId="0010005A" w14:textId="0010005B">
            <w:r>
              <w:t xml:space="preserve">FR-G05, C-1</w:t>
            </w:r>
          </w:p>
        </w:tc>
      </w:tr>
      <w:tr>
        <w:tc>
          <w:p w14:paraId="0010005C" w14:textId="0010005D">
            <w:r>
              <w:t xml:space="preserve">compliance reviewer</w:t>
            </w:r>
          </w:p>
        </w:tc>
        <w:tc>
          <w:p w14:paraId="0010005E" w14:textId="0010005F">
            <w:r>
              <w:t xml:space="preserve">browse a log of every decision</w:t>
            </w:r>
          </w:p>
        </w:tc>
        <w:tc>
          <w:p w14:paraId="00100060" w14:textId="00100061">
            <w:r>
              <w:t xml:space="preserve">I can verify what ran and why, after the fact</w:t>
            </w:r>
          </w:p>
        </w:tc>
        <w:tc>
          <w:p w14:paraId="00100062" w14:textId="00100063">
            <w:r>
              <w:t xml:space="preserve">FR-A1, FR-A2</w:t>
            </w:r>
          </w:p>
        </w:tc>
      </w:tr>
      <w:tr>
        <w:tc>
          <w:p w14:paraId="00100064" w14:textId="00100065">
            <w:r>
              <w:t xml:space="preserve">evaluator</w:t>
            </w:r>
          </w:p>
        </w:tc>
        <w:tc>
          <w:p w14:paraId="00100066" w14:textId="00100067">
            <w:r>
              <w:t xml:space="preserve">run one command that tests the gate against known attacks</w:t>
            </w:r>
          </w:p>
        </w:tc>
        <w:tc>
          <w:p w14:paraId="00100068" w14:textId="00100069">
            <w:r>
              <w:t xml:space="preserve">safety claims are measured, not asserted</w:t>
            </w:r>
          </w:p>
        </w:tc>
        <w:tc>
          <w:p w14:paraId="0010006A" w14:textId="0010006B">
            <w:r>
              <w:t xml:space="preserve">FR-E1..FR-E4</w:t>
            </w:r>
          </w:p>
        </w:tc>
      </w:tr>
    </w:tbl>
    <w:p w14:paraId="0010006C" w14:textId="0010006D">
      <w:pPr>
        <w:pStyle w:val="Heading3"/>
      </w:pPr>
      <w:r>
        <w:rPr>
          <w:b/>
          <w:sz w:val="28"/>
        </w:rPr>
        <w:t xml:space="preserve">2.4 Operating environment</w:t>
      </w:r>
    </w:p>
    <w:p w14:paraId="0010006E" w14:textId="0010006F">
      <w:pPr/>
      <w:r>
        <w:rPr/>
        <w:t xml:space="preserve">Single-machine demo; Python + Flask API + a built React SPA frontend (TypeScript, Vite, shadcn/ui + Tailwind - built at dev time, served statically by Flask, offline-safe at runtime); SQLite demo database; pytest (API/engine) + vitest (frontend) + GitHub Actions CI. No cloud services required in mock mode.</w:t>
      </w:r>
    </w:p>
    <w:p w14:paraId="00100070" w14:textId="00100071">
      <w:pPr>
        <w:pStyle w:val="Heading3"/>
      </w:pPr>
      <w:r>
        <w:rPr>
          <w:b/>
          <w:sz w:val="28"/>
        </w:rPr>
        <w:t xml:space="preserve">2.5 Design and implementation constraints</w:t>
      </w:r>
    </w:p>
    <w:p w14:paraId="00100072" w14:textId="00100073">
      <w:pPr>
        <w:numPr>
          <w:ilvl w:val="0"/>
          <w:numId w:val="3"/>
        </w:numPr>
      </w:pPr>
      <w:r>
        <w:rPr>
          <w:b/>
        </w:rPr>
        <w:t xml:space="preserve">C-1 Read-only execution:</w:t>
      </w:r>
      <w:r>
        <w:t xml:space="preserve"> the executor's connection is read-only at the file level and by pragma; writes cannot succeed.</w:t>
      </w:r>
    </w:p>
    <w:p w14:paraId="00100074" w14:textId="00100075">
      <w:pPr>
        <w:numPr>
          <w:ilvl w:val="0"/>
          <w:numId w:val="3"/>
        </w:numPr>
      </w:pPr>
      <w:r>
        <w:rPr>
          <w:b/>
        </w:rPr>
        <w:t xml:space="preserve">C-2 AST rules:</w:t>
      </w:r>
      <w:r>
        <w:t xml:space="preserve"> rules operate on a parsed, normalized AST (sqlglot), never raw substrings.</w:t>
      </w:r>
    </w:p>
    <w:p w14:paraId="00100076" w14:textId="00100077">
      <w:pPr>
        <w:numPr>
          <w:ilvl w:val="0"/>
          <w:numId w:val="3"/>
        </w:numPr>
      </w:pPr>
      <w:r>
        <w:rPr>
          <w:b/>
        </w:rPr>
        <w:t xml:space="preserve">C-3 Mock-first:</w:t>
      </w:r>
      <w:r>
        <w:t xml:space="preserve"> candidate generation is swappable; mock is the default (no API dependency).</w:t>
      </w:r>
    </w:p>
    <w:p w14:paraId="00100078" w14:textId="00100079">
      <w:pPr>
        <w:numPr>
          <w:ilvl w:val="0"/>
          <w:numId w:val="3"/>
        </w:numPr>
      </w:pPr>
      <w:r>
        <w:rPr>
          <w:b/>
        </w:rPr>
        <w:t xml:space="preserve">C-4 Content separation:</w:t>
      </w:r>
      <w:r>
        <w:t xml:space="preserve"> no shared code, naming, or claims with the group's research artifact.</w:t>
      </w:r>
    </w:p>
    <w:p w14:paraId="0010007A" w14:textId="0010007B">
      <w:pPr>
        <w:numPr>
          <w:ilvl w:val="0"/>
          <w:numId w:val="3"/>
        </w:numPr>
      </w:pPr>
      <w:r>
        <w:rPr>
          <w:b/>
        </w:rPr>
        <w:t xml:space="preserve">C-5 Audit before response:</w:t>
      </w:r>
      <w:r>
        <w:t xml:space="preserve"> every decision is persisted before the response returns.</w:t>
      </w:r>
    </w:p>
    <w:p w14:paraId="0010007C" w14:textId="0010007D">
      <w:pPr>
        <w:numPr>
          <w:ilvl w:val="0"/>
          <w:numId w:val="3"/>
        </w:numPr>
      </w:pPr>
      <w:r>
        <w:rPr>
          <w:b/>
        </w:rPr>
        <w:t xml:space="preserve">C-6 Compound safety:</w:t>
      </w:r>
      <w:r>
        <w:t xml:space="preserve"> set operations (UNION / INTERSECT / EXCEPT) are verified arm by arm; sensitive columns in GROUP BY / ORDER BY / HAVING block (D-011, D-012).</w:t>
      </w:r>
      <w:r>
        <w:t xml:space="preserve"> </w:t>
      </w:r>
      <w:r>
        <w:t xml:space="preserve">A query that passes the gate but fails at execution returns an error response, is audited with verdict ERROR, and changes nothing (fail closed).</w:t>
      </w:r>
    </w:p>
    <w:p w14:paraId="0010007E" w14:textId="0010007F">
      <w:pPr>
        <w:pStyle w:val="Heading3"/>
      </w:pPr>
      <w:r>
        <w:rPr>
          <w:b/>
          <w:sz w:val="28"/>
        </w:rPr>
        <w:t xml:space="preserve">2.6 Assumptions and dependencies</w:t>
      </w:r>
    </w:p>
    <w:p w14:paraId="00100080" w14:textId="00100081">
      <w:pPr/>
      <w:r>
        <w:rPr/>
        <w:t xml:space="preserve">Two-person group (Mahd + Arwa) with named lanes; midterm date TBA (requirement document is the by-midterm deliverable, restated by Chen on Sep 3 and Sep 8); demo-scale data volumes; AI-usage policy for deliverables not yet stated on any captured course surface (open item).</w:t>
      </w:r>
    </w:p>
    <w:p w14:paraId="00100082" w14:textId="00100083">
      <w:pPr>
        <w:pStyle w:val="Heading2"/>
      </w:pPr>
      <w:r>
        <w:rPr>
          <w:b/>
          <w:sz w:val="32"/>
        </w:rPr>
        <w:t xml:space="preserve">3. Specific requirements</w:t>
      </w:r>
    </w:p>
    <w:p w14:paraId="00100084" w14:textId="00100085">
      <w:pPr>
        <w:pStyle w:val="Heading3"/>
      </w:pPr>
      <w:r>
        <w:rPr>
          <w:b/>
          <w:sz w:val="28"/>
        </w:rPr>
        <w:t xml:space="preserve">3.1 Query flow</w:t>
      </w:r>
    </w:p>
    <w:p w14:paraId="00100086" w14:textId="00100087">
      <w:pPr>
        <w:numPr>
          <w:ilvl w:val="0"/>
          <w:numId w:val="4"/>
        </w:numPr>
      </w:pPr>
      <w:r>
        <w:rPr>
          <w:b/>
        </w:rPr>
        <w:t xml:space="preserve">FR-01 (Intake):</w:t>
      </w:r>
      <w:r>
        <w:t xml:space="preserve"> every question enters through one endpoint (</w:t>
      </w:r>
      <w:r>
        <w:rPr>
          <w:rFonts w:ascii="Consolas" w:hAnsi="Consolas"/>
        </w:rPr>
        <w:t xml:space="preserve">POST /api/ask</w:t>
      </w:r>
      <w:r>
        <w:t xml:space="preserve">) so each request follows one recorded path.</w:t>
      </w:r>
    </w:p>
    <w:p w14:paraId="00100088" w14:textId="00100089">
      <w:pPr>
        <w:numPr>
          <w:ilvl w:val="0"/>
          <w:numId w:val="4"/>
        </w:numPr>
      </w:pPr>
      <w:r>
        <w:rPr>
          <w:b/>
        </w:rPr>
        <w:t xml:space="preserve">FR-02 (Generator):</w:t>
      </w:r>
      <w:r>
        <w:t xml:space="preserve"> a candidate SQL query is produced per question by the mock generator by default; a live-LLM generator may be swapped in behind the same interface.</w:t>
      </w:r>
    </w:p>
    <w:p w14:paraId="0010008A" w14:textId="0010008B">
      <w:pPr>
        <w:numPr>
          <w:ilvl w:val="0"/>
          <w:numId w:val="4"/>
        </w:numPr>
      </w:pPr>
      <w:r>
        <w:rPr>
          <w:b/>
        </w:rPr>
        <w:t xml:space="preserve">FR-03 (Gate-only executor):</w:t>
      </w:r>
      <w:r>
        <w:t xml:space="preserve"> only gate-PASSED or gate-MASKED queries execute, and only over the read-only connection; BLOCKED queries never reach the database.</w:t>
      </w:r>
    </w:p>
    <w:p w14:paraId="0010008C" w14:textId="0010008D">
      <w:pPr>
        <w:numPr>
          <w:ilvl w:val="0"/>
          <w:numId w:val="4"/>
        </w:numPr>
      </w:pPr>
      <w:r>
        <w:rPr>
          <w:b/>
        </w:rPr>
        <w:t xml:space="preserve">FR-04 (Answer assembly):</w:t>
      </w:r>
      <w:r>
        <w:t xml:space="preserve"> every request returns </w:t>
      </w:r>
      <w:r>
        <w:rPr>
          <w:rFonts w:ascii="Consolas" w:hAnsi="Consolas"/>
        </w:rPr>
        <w:t xml:space="preserve">{answer, sql, verdict, elapsed_ms}</w:t>
      </w:r>
      <w:r>
        <w:t xml:space="preserve">, where elapsed_ms is the full request time (generator + gate + execution), honestly labeled in the UI against the 50 ms target.</w:t>
      </w:r>
    </w:p>
    <w:p w14:paraId="0010008E" w14:textId="0010008F">
      <w:pPr>
        <w:pStyle w:val="Heading3"/>
      </w:pPr>
      <w:r>
        <w:rPr>
          <w:b/>
          <w:sz w:val="28"/>
        </w:rPr>
        <w:t xml:space="preserve">3.2 Validation gate (one FR per rule; each is one test case)</w:t>
      </w:r>
    </w:p>
    <w:p w14:paraId="00100090" w14:textId="00100091">
      <w:pPr>
        <w:numPr>
          <w:ilvl w:val="0"/>
          <w:numId w:val="5"/>
        </w:numPr>
      </w:pPr>
      <w:r>
        <w:rPr>
          <w:b/>
        </w:rPr>
        <w:t xml:space="preserve">FR-G01 (No destructive statements):</w:t>
      </w:r>
      <w:r>
        <w:t xml:space="preserve"> BLOCK any INSERT, UPDATE, DELETE, DROP, ALTER, TRUNCATE, CREATE.</w:t>
      </w:r>
    </w:p>
    <w:p w14:paraId="00100092" w14:textId="00100093">
      <w:pPr>
        <w:numPr>
          <w:ilvl w:val="0"/>
          <w:numId w:val="5"/>
        </w:numPr>
      </w:pPr>
      <w:r>
        <w:rPr>
          <w:b/>
        </w:rPr>
        <w:t xml:space="preserve">FR-G02 (One query at a time):</w:t>
      </w:r>
      <w:r>
        <w:t xml:space="preserve"> BLOCK stacked statements.</w:t>
      </w:r>
    </w:p>
    <w:p w14:paraId="00100094" w14:textId="00100095">
      <w:pPr>
        <w:numPr>
          <w:ilvl w:val="0"/>
          <w:numId w:val="5"/>
        </w:numPr>
      </w:pPr>
      <w:r>
        <w:rPr>
          <w:b/>
        </w:rPr>
        <w:t xml:space="preserve">FR-G03 (No hidden write commands):</w:t>
      </w:r>
      <w:r>
        <w:t xml:space="preserve"> BLOCK write commands hidden by comments (comments stripped pre-parse; comment-joined candidates BLOCK, per the concat-form check).</w:t>
      </w:r>
    </w:p>
    <w:p w14:paraId="00100096" w14:textId="00100097">
      <w:pPr>
        <w:numPr>
          <w:ilvl w:val="0"/>
          <w:numId w:val="5"/>
        </w:numPr>
      </w:pPr>
      <w:r>
        <w:rPr>
          <w:b/>
        </w:rPr>
        <w:t xml:space="preserve">FR-G04 (Only allowed tables):</w:t>
      </w:r>
      <w:r>
        <w:t xml:space="preserve"> BLOCK references to tables outside the declared queryable set.</w:t>
      </w:r>
    </w:p>
    <w:p w14:paraId="00100098" w14:textId="00100099">
      <w:pPr>
        <w:numPr>
          <w:ilvl w:val="0"/>
          <w:numId w:val="5"/>
        </w:numPr>
      </w:pPr>
      <w:r>
        <w:rPr>
          <w:b/>
        </w:rPr>
        <w:t xml:space="preserve">FR-G05 (Private columns stay private):</w:t>
      </w:r>
      <w:r>
        <w:t xml:space="preserve"> BLOCK or MASK any statement exposing a SENSITIVE column, where exposing covers projections of any SELECT (including every arm of a compound statement) and references in GROUP BY, ORDER BY, or HAVING; MASK when non-sensitive columns remain, BLOCK when an all-sensitive projection or a side channel is present; WHERE-filtering on a sensitive column is allowed (D-002, D-011, D-012).</w:t>
      </w:r>
    </w:p>
    <w:p w14:paraId="0010009A" w14:textId="0010009B">
      <w:pPr>
        <w:numPr>
          <w:ilvl w:val="0"/>
          <w:numId w:val="5"/>
        </w:numPr>
      </w:pPr>
      <w:r>
        <w:rPr>
          <w:b/>
        </w:rPr>
        <w:t xml:space="preserve">FR-G06 (No system-table snooping):</w:t>
      </w:r>
      <w:r>
        <w:t xml:space="preserve"> BLOCK catalog queries (</w:t>
      </w:r>
      <w:r>
        <w:rPr>
          <w:rFonts w:ascii="Consolas" w:hAnsi="Consolas"/>
        </w:rPr>
        <w:t xml:space="preserve">sqlite_master</w:t>
      </w:r>
      <w:r>
        <w:t xml:space="preserve">, </w:t>
      </w:r>
      <w:r>
        <w:rPr>
          <w:rFonts w:ascii="Consolas" w:hAnsi="Consolas"/>
        </w:rPr>
        <w:t xml:space="preserve">information_schema</w:t>
      </w:r>
      <w:r>
        <w:t xml:space="preserve">, pragma tables, equivalents).</w:t>
      </w:r>
    </w:p>
    <w:p w14:paraId="0010009C" w14:textId="0010009D">
      <w:pPr>
        <w:numPr>
          <w:ilvl w:val="0"/>
          <w:numId w:val="5"/>
        </w:numPr>
      </w:pPr>
      <w:r>
        <w:rPr>
          <w:b/>
        </w:rPr>
        <w:t xml:space="preserve">FR-G07 (No execution tricks):</w:t>
      </w:r>
      <w:r>
        <w:t xml:space="preserve"> BLOCK PRAGMA, ATTACH, and side-effecting functions (e.g., </w:t>
      </w:r>
      <w:r>
        <w:rPr>
          <w:rFonts w:ascii="Consolas" w:hAnsi="Consolas"/>
        </w:rPr>
        <w:t xml:space="preserve">load_extension</w:t>
      </w:r>
      <w:r>
        <w:t xml:space="preserve">).</w:t>
      </w:r>
    </w:p>
    <w:p w14:paraId="0010009E" w14:textId="0010009F">
      <w:pPr>
        <w:numPr>
          <w:ilvl w:val="0"/>
          <w:numId w:val="5"/>
        </w:numPr>
      </w:pPr>
      <w:r>
        <w:rPr>
          <w:b/>
        </w:rPr>
        <w:t xml:space="preserve">FR-G09 (Huge answers get a hint):</w:t>
      </w:r>
      <w:r>
        <w:t xml:space="preserve"> unbounded non-aggregated SELECTs PASS with a SUGGEST action offering a LIMIT (D-003: suggestion, not block, protects the false-positive target).</w:t>
      </w:r>
    </w:p>
    <w:p w14:paraId="001000A0" w14:textId="001000A1">
      <w:pPr>
        <w:numPr>
          <w:ilvl w:val="0"/>
          <w:numId w:val="5"/>
        </w:numPr>
      </w:pPr>
      <w:r>
        <w:rPr>
          <w:b/>
        </w:rPr>
        <w:t xml:space="preserve">FR-G10 (Answer must match the question) [stretch]:</w:t>
      </w:r>
      <w:r>
        <w:t xml:space="preserve"> BLOCK when declared intent and SQL shape disagree; droppable by recorded decision (D-005).</w:t>
      </w:r>
    </w:p>
    <w:p w14:paraId="001000A2" w14:textId="001000A3">
      <w:pPr>
        <w:numPr>
          <w:ilvl w:val="0"/>
          <w:numId w:val="5"/>
        </w:numPr>
      </w:pPr>
      <w:r>
        <w:rPr>
          <w:b/>
        </w:rPr>
        <w:t xml:space="preserve">PARSE safety default:</w:t>
      </w:r>
      <w:r>
        <w:t xml:space="preserve"> unparseable candidates BLOCK (D-004).</w:t>
      </w:r>
    </w:p>
    <w:p w14:paraId="001000A4" w14:textId="001000A5">
      <w:pPr>
        <w:pStyle w:val="Heading3"/>
      </w:pPr>
      <w:r>
        <w:rPr>
          <w:b/>
          <w:sz w:val="28"/>
        </w:rPr>
        <w:t xml:space="preserve">3.3 Audit and evaluation</w:t>
      </w:r>
    </w:p>
    <w:p w14:paraId="001000A6" w14:textId="001000A7">
      <w:pPr>
        <w:numPr>
          <w:ilvl w:val="0"/>
          <w:numId w:val="6"/>
        </w:numPr>
      </w:pPr>
      <w:r>
        <w:rPr>
          <w:b/>
        </w:rPr>
        <w:t xml:space="preserve">FR-A1 (Audit record):</w:t>
      </w:r>
      <w:r>
        <w:t xml:space="preserve"> one append-only record per request: id, ts, session, question, intent, sql, verdict, rule_id, action, latency_ms, mode.</w:t>
      </w:r>
    </w:p>
    <w:p w14:paraId="001000A8" w14:textId="001000A9">
      <w:pPr>
        <w:numPr>
          <w:ilvl w:val="0"/>
          <w:numId w:val="6"/>
        </w:numPr>
      </w:pPr>
      <w:r>
        <w:rPr>
          <w:b/>
        </w:rPr>
        <w:t xml:space="preserve">FR-A2 (Audit view):</w:t>
      </w:r>
      <w:r>
        <w:t xml:space="preserve"> paginated audit browsing via </w:t>
      </w:r>
      <w:r>
        <w:rPr>
          <w:rFonts w:ascii="Consolas" w:hAnsi="Consolas"/>
        </w:rPr>
        <w:t xml:space="preserve">GET /api/audit</w:t>
      </w:r>
      <w:r>
        <w:t xml:space="preserve"> and the </w:t>
      </w:r>
      <w:r>
        <w:rPr>
          <w:rFonts w:ascii="Consolas" w:hAnsi="Consolas"/>
        </w:rPr>
        <w:t xml:space="preserve">/ui/audit</w:t>
      </w:r>
      <w:r>
        <w:t xml:space="preserve"> page.</w:t>
      </w:r>
    </w:p>
    <w:p w14:paraId="001000AA" w14:textId="001000AB">
      <w:pPr>
        <w:numPr>
          <w:ilvl w:val="0"/>
          <w:numId w:val="6"/>
        </w:numPr>
      </w:pPr>
      <w:r>
        <w:rPr>
          <w:b/>
        </w:rPr>
        <w:t xml:space="preserve">FR-E1 (Corpus run):</w:t>
      </w:r>
      <w:r>
        <w:t xml:space="preserve"> the labeled corpus (64 entries: 30 benign + 34 attack, each labeled with expected verdict and rule) runs in one command; results retrievable per run.</w:t>
      </w:r>
    </w:p>
    <w:p w14:paraId="001000AC" w14:textId="001000AD">
      <w:pPr>
        <w:numPr>
          <w:ilvl w:val="0"/>
          <w:numId w:val="6"/>
        </w:numPr>
      </w:pPr>
      <w:r>
        <w:rPr>
          <w:b/>
        </w:rPr>
        <w:t xml:space="preserve">FR-E2 (Metrics report):</w:t>
      </w:r>
      <w:r>
        <w:t xml:space="preserve"> per-class block rate, false-positive rate on the benign corpus, and latency percentiles as a JSON artifact + human-readable table.</w:t>
      </w:r>
    </w:p>
    <w:p w14:paraId="001000AE" w14:textId="001000AF">
      <w:pPr>
        <w:numPr>
          <w:ilvl w:val="0"/>
          <w:numId w:val="6"/>
        </w:numPr>
      </w:pPr>
      <w:r>
        <w:rPr>
          <w:b/>
        </w:rPr>
        <w:t xml:space="preserve">FR-E3 (Regression):</w:t>
      </w:r>
      <w:r>
        <w:t xml:space="preserve"> rule changes rerun the corpus in CI; any expected-verdict miss fails the build (D-006 verdict-level compare; D-008 MASK satisfies expected BLOCK).</w:t>
      </w:r>
    </w:p>
    <w:p w14:paraId="001000B0" w14:textId="001000B1">
      <w:pPr>
        <w:numPr>
          <w:ilvl w:val="0"/>
          <w:numId w:val="6"/>
        </w:numPr>
      </w:pPr>
      <w:r>
        <w:rPr>
          <w:b/>
        </w:rPr>
        <w:t xml:space="preserve">FR-E4 (Metamorphic stability):</w:t>
      </w:r>
      <w:r>
        <w:t xml:space="preserve"> equivalent rewrites (case, whitespace, semicolon, added LIMIT) shall not change any verdict; the harness reports violations and fails on any (Section 8.3).</w:t>
      </w:r>
    </w:p>
    <w:p w14:paraId="001000B2" w14:textId="001000B3">
      <w:pPr>
        <w:pStyle w:val="Heading3"/>
      </w:pPr>
      <w:r>
        <w:rPr>
          <w:b/>
          <w:sz w:val="28"/>
        </w:rPr>
        <w:t xml:space="preserve">3.4 User interface</w:t>
      </w:r>
    </w:p>
    <w:p w14:paraId="001000B4" w14:textId="001000B5">
      <w:pPr>
        <w:numPr>
          <w:ilvl w:val="0"/>
          <w:numId w:val="7"/>
        </w:numPr>
      </w:pPr>
      <w:r>
        <w:rPr>
          <w:b/>
        </w:rPr>
        <w:t xml:space="preserve">FR-U1 (Ask view):</w:t>
      </w:r>
      <w:r>
        <w:t xml:space="preserve"> the user submits a question and sees the answer, the generated SQL, the verdict, and the rule's plain-language name and explanation.</w:t>
      </w:r>
    </w:p>
    <w:p w14:paraId="001000B6" w14:textId="001000B7">
      <w:pPr>
        <w:numPr>
          <w:ilvl w:val="0"/>
          <w:numId w:val="7"/>
        </w:numPr>
      </w:pPr>
      <w:r>
        <w:rPr>
          <w:b/>
        </w:rPr>
        <w:t xml:space="preserve">FR-U2 (Metrics view):</w:t>
      </w:r>
      <w:r>
        <w:t xml:space="preserve"> pass/blocked/masked counts, per-rule attack-stop chart, and latency percentiles, each labeled so a first-time viewer knows what is good or bad.</w:t>
      </w:r>
    </w:p>
    <w:p w14:paraId="001000B8" w14:textId="001000B9">
      <w:pPr>
        <w:numPr>
          <w:ilvl w:val="0"/>
          <w:numId w:val="7"/>
        </w:numPr>
      </w:pPr>
      <w:r>
        <w:rPr>
          <w:b/>
        </w:rPr>
        <w:t xml:space="preserve">FR-U3 (Explain view):</w:t>
      </w:r>
      <w:r>
        <w:t xml:space="preserve"> a "How it works" page states the three-step flow and all nine rules in plain language, so no internal id is required to understand a verdict (plain names owned by </w:t>
      </w:r>
      <w:r>
        <w:rPr>
          <w:rFonts w:ascii="Consolas" w:hAnsi="Consolas"/>
        </w:rPr>
        <w:t xml:space="preserve">queryguard/explain.py</w:t>
      </w:r>
      <w:r>
        <w:t xml:space="preserve">).</w:t>
      </w:r>
    </w:p>
    <w:p w14:paraId="001000BA" w14:textId="001000BB">
      <w:pPr>
        <w:pStyle w:val="Heading3"/>
      </w:pPr>
      <w:r>
        <w:rPr>
          <w:b/>
          <w:sz w:val="28"/>
        </w:rPr>
        <w:t xml:space="preserve">3.5 Non-functional requirements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BC" w14:textId="001000BD">
            <w:r>
              <w:t xml:space="preserve">ID</w:t>
            </w:r>
          </w:p>
        </w:tc>
        <w:tc>
          <w:p w14:paraId="001000BE" w14:textId="001000BF">
            <w:r>
              <w:t xml:space="preserve">Requirement</w:t>
            </w:r>
          </w:p>
        </w:tc>
        <w:tc>
          <w:p w14:paraId="001000C0" w14:textId="001000C1">
            <w:r>
              <w:t xml:space="preserve">Target</w:t>
            </w:r>
          </w:p>
        </w:tc>
      </w:tr>
      <w:tr>
        <w:tc>
          <w:p w14:paraId="001000C2" w14:textId="001000C3">
            <w:r>
              <w:t xml:space="preserve">NFR-1</w:t>
            </w:r>
          </w:p>
        </w:tc>
        <w:tc>
          <w:p w14:paraId="001000C4" w14:textId="001000C5">
            <w:r>
              <w:t xml:space="preserve">Request latency (full path)</w:t>
            </w:r>
          </w:p>
        </w:tc>
        <w:tc>
          <w:p w14:paraId="001000C6" w14:textId="001000C7">
            <w:r>
              <w:t xml:space="preserve">p95 &lt; 50 ms, measured</w:t>
            </w:r>
          </w:p>
        </w:tc>
      </w:tr>
      <w:tr>
        <w:tc>
          <w:p w14:paraId="001000C8" w14:textId="001000C9">
            <w:r>
              <w:t xml:space="preserve">NFR-2</w:t>
            </w:r>
          </w:p>
        </w:tc>
        <w:tc>
          <w:p w14:paraId="001000CA" w14:textId="001000CB">
            <w:r>
              <w:t xml:space="preserve">False positives on the benign corpus</w:t>
            </w:r>
          </w:p>
        </w:tc>
        <w:tc>
          <w:p w14:paraId="001000CC" w14:textId="001000CD">
            <w:r>
              <w:t xml:space="preserve">0 at v1 (target was &lt; 10% at v0), reported openly</w:t>
            </w:r>
          </w:p>
        </w:tc>
      </w:tr>
      <w:tr>
        <w:tc>
          <w:p w14:paraId="001000CE" w14:textId="001000CF">
            <w:r>
              <w:t xml:space="preserve">NFR-3</w:t>
            </w:r>
          </w:p>
        </w:tc>
        <w:tc>
          <w:p w14:paraId="001000D0" w14:textId="001000D1">
            <w:r>
              <w:t xml:space="preserve">Demo availability</w:t>
            </w:r>
          </w:p>
        </w:tc>
        <w:tc>
          <w:p w14:paraId="001000D2" w14:textId="001000D3">
            <w:r>
              <w:t xml:space="preserve">all demos/tests run in mock mode, zero external API</w:t>
            </w:r>
          </w:p>
        </w:tc>
      </w:tr>
      <w:tr>
        <w:tc>
          <w:p w14:paraId="001000D4" w14:textId="001000D5">
            <w:r>
              <w:t xml:space="preserve">NFR-4</w:t>
            </w:r>
          </w:p>
        </w:tc>
        <w:tc>
          <w:p w14:paraId="001000D6" w14:textId="001000D7">
            <w:r>
              <w:t xml:space="preserve">Explainability</w:t>
            </w:r>
          </w:p>
        </w:tc>
        <w:tc>
          <w:p w14:paraId="001000D8" w14:textId="001000D9">
            <w:r>
              <w:t xml:space="preserve">every BLOCK/MASK/SUGGEST carries a plain-language reason</w:t>
            </w:r>
          </w:p>
        </w:tc>
      </w:tr>
      <w:tr>
        <w:tc>
          <w:p w14:paraId="001000DA" w14:textId="001000DB">
            <w:r>
              <w:t xml:space="preserve">NFR-5</w:t>
            </w:r>
          </w:p>
        </w:tc>
        <w:tc>
          <w:p w14:paraId="001000DC" w14:textId="001000DD">
            <w:r>
              <w:t xml:space="preserve">Least privilege</w:t>
            </w:r>
          </w:p>
        </w:tc>
        <w:tc>
          <w:p w14:paraId="001000DE" w14:textId="001000DF">
            <w:r>
              <w:t xml:space="preserve">read-only connection, no string-concatenated SQL, engine-level mode=ro</w:t>
            </w:r>
          </w:p>
        </w:tc>
      </w:tr>
      <w:tr>
        <w:tc>
          <w:p w14:paraId="001000E0" w14:textId="001000E1">
            <w:r>
              <w:t xml:space="preserve">NFR-6</w:t>
            </w:r>
          </w:p>
        </w:tc>
        <w:tc>
          <w:p w14:paraId="001000E2" w14:textId="001000E3">
            <w:r>
              <w:t xml:space="preserve">Result bounds</w:t>
            </w:r>
          </w:p>
        </w:tc>
        <w:tc>
          <w:p w14:paraId="001000E4" w14:textId="001000E5">
            <w:r>
              <w:t xml:space="preserve">answers capped at 50 rows in the UI layer</w:t>
            </w:r>
          </w:p>
        </w:tc>
      </w:tr>
    </w:tbl>
    <w:p w14:paraId="001000E6" w14:textId="001000E7">
      <w:pPr>
        <w:pStyle w:val="Heading3"/>
      </w:pPr>
      <w:r>
        <w:rPr>
          <w:b/>
          <w:sz w:val="28"/>
        </w:rPr>
        <w:t xml:space="preserve">3.6 Requirement priorities (29148 "ranked")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0E8" w14:textId="001000E9">
            <w:r>
              <w:t xml:space="preserve">Priority</w:t>
            </w:r>
          </w:p>
        </w:tc>
        <w:tc>
          <w:p w14:paraId="001000EA" w14:textId="001000EB">
            <w:r>
              <w:t xml:space="preserve">Requirements</w:t>
            </w:r>
          </w:p>
        </w:tc>
        <w:tc>
          <w:p w14:paraId="001000EC" w14:textId="001000ED">
            <w:r>
              <w:t xml:space="preserve">Basis</w:t>
            </w:r>
          </w:p>
        </w:tc>
      </w:tr>
      <w:tr>
        <w:tc>
          <w:p w14:paraId="001000EE" w14:textId="001000EF">
            <w:r>
              <w:t xml:space="preserve">Essential</w:t>
            </w:r>
          </w:p>
        </w:tc>
        <w:tc>
          <w:p w14:paraId="001000F0" w14:textId="001000F1">
            <w:r>
              <w:t xml:space="preserve">FR-01..FR-04, FR-G01..G07, PARSE, FR-A1, FR-A2, FR-E1..E3, FR-U1..U3, NFR-2..NFR-5</w:t>
            </w:r>
          </w:p>
        </w:tc>
        <w:tc>
          <w:p w14:paraId="001000F2" w14:textId="001000F3">
            <w:r>
              <w:t xml:space="preserve">the safety gate, its audit, its measurement, and the demo surface; without these the product does not exist</w:t>
            </w:r>
          </w:p>
        </w:tc>
      </w:tr>
      <w:tr>
        <w:tc>
          <w:p w14:paraId="001000F4" w14:textId="001000F5">
            <w:r>
              <w:t xml:space="preserve">Conditional</w:t>
            </w:r>
          </w:p>
        </w:tc>
        <w:tc>
          <w:p w14:paraId="001000F6" w14:textId="001000F7">
            <w:r>
              <w:t xml:space="preserve">FR-G09, FR-E4, NFR-1, NFR-6</w:t>
            </w:r>
          </w:p>
        </w:tc>
        <w:tc>
          <w:p w14:paraId="001000F8" w14:textId="001000F9">
            <w:r>
              <w:t xml:space="preserve">real contributions with recorded decisions (D-003) or measured headroom (p95 0.57 ms vs the 50 ms target); the product holds without them</w:t>
            </w:r>
          </w:p>
        </w:tc>
      </w:tr>
      <w:tr>
        <w:tc>
          <w:p w14:paraId="001000FA" w14:textId="001000FB">
            <w:r>
              <w:t xml:space="preserve">Optional</w:t>
            </w:r>
          </w:p>
        </w:tc>
        <w:tc>
          <w:p w14:paraId="001000FC" w14:textId="001000FD">
            <w:r>
              <w:t xml:space="preserve">FR-G10</w:t>
            </w:r>
          </w:p>
        </w:tc>
        <w:tc>
          <w:p w14:paraId="001000FE" w14:textId="001000FF">
            <w:r>
              <w:t xml:space="preserve">stretch by recorded decision (D-005); droppable without losing the demo</w:t>
            </w:r>
          </w:p>
        </w:tc>
      </w:tr>
    </w:tbl>
    <w:p w14:paraId="00100100" w14:textId="00100101">
      <w:pPr>
        <w:pStyle w:val="Heading2"/>
      </w:pPr>
      <w:r>
        <w:rPr>
          <w:b/>
          <w:sz w:val="32"/>
        </w:rPr>
        <w:t xml:space="preserve">4. Data model</w:t>
      </w:r>
    </w:p>
    <w:p w14:paraId="00100102" w14:textId="00100103">
      <w:pPr/>
      <w:r>
        <w:t xml:space="preserve">Demo database (protected asset): </w:t>
      </w:r>
      <w:r>
        <w:rPr>
          <w:rFonts w:ascii="Consolas" w:hAnsi="Consolas"/>
        </w:rPr>
        <w:t xml:space="preserve">patients(id, name, dob, ssn*, diagnosis*)</w:t>
      </w:r>
      <w:r>
        <w:t xml:space="preserve">, </w:t>
      </w:r>
      <w:r>
        <w:rPr>
          <w:rFonts w:ascii="Consolas" w:hAnsi="Consolas"/>
        </w:rPr>
        <w:t xml:space="preserve">appointments(id, patient_id, doctor_id, date, room)</w:t>
      </w:r>
      <w:r>
        <w:t xml:space="preserve">, </w:t>
      </w:r>
      <w:r>
        <w:rPr>
          <w:rFonts w:ascii="Consolas" w:hAnsi="Consolas"/>
        </w:rPr>
        <w:t xml:space="preserve">doctors(id, name, specialty)</w:t>
      </w:r>
      <w:r>
        <w:t xml:space="preserve">, </w:t>
      </w:r>
      <w:r>
        <w:rPr>
          <w:rFonts w:ascii="Consolas" w:hAnsi="Consolas"/>
        </w:rPr>
        <w:t xml:space="preserve">billing(id, patient_id, amount, paid*)</w:t>
      </w:r>
      <w:r>
        <w:t xml:space="preserve">, </w:t>
      </w:r>
      <w:r>
        <w:rPr>
          <w:rFonts w:ascii="Consolas" w:hAnsi="Consolas"/>
        </w:rPr>
        <w:t xml:space="preserve">medications(id, name, manufacturer)</w:t>
      </w:r>
      <w:r>
        <w:t xml:space="preserve">, </w:t>
      </w:r>
      <w:r>
        <w:rPr>
          <w:rFonts w:ascii="Consolas" w:hAnsi="Consolas"/>
        </w:rPr>
        <w:t xml:space="preserve">prescriptions(id, patient_id, medication_id, date, dose)</w:t>
      </w:r>
      <w:r>
        <w:t xml:space="preserve">, </w:t>
      </w:r>
      <w:r>
        <w:rPr>
          <w:rFonts w:ascii="Consolas" w:hAnsi="Consolas"/>
        </w:rPr>
        <w:t xml:space="preserve">staff(id, name, role)</w:t>
      </w:r>
      <w:r>
        <w:t xml:space="preserve">; </w:t>
      </w:r>
      <w:r>
        <w:rPr>
          <w:rFonts w:ascii="Consolas" w:hAnsi="Consolas"/>
        </w:rPr>
        <w:t xml:space="preserve">*</w:t>
      </w:r>
      <w:r>
        <w:t xml:space="preserve"> = SENSITIVE, masked by default (FR-G05). Audit log (canonical truth): one append-only table per FR-A1.</w:t>
      </w:r>
    </w:p>
    <w:p w14:paraId="00100104" w14:textId="00100105">
      <w:pPr>
        <w:pStyle w:val="Heading2"/>
      </w:pPr>
      <w:r>
        <w:rPr>
          <w:b/>
          <w:sz w:val="32"/>
        </w:rPr>
        <w:t xml:space="preserve">5. External interfaces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06" w14:textId="00100107">
            <w:r>
              <w:t xml:space="preserve">Endpoint</w:t>
            </w:r>
          </w:p>
        </w:tc>
        <w:tc>
          <w:p w14:paraId="00100108" w14:textId="00100109">
            <w:r>
              <w:t xml:space="preserve">Method</w:t>
            </w:r>
          </w:p>
        </w:tc>
        <w:tc>
          <w:p w14:paraId="0010010A" w14:textId="0010010B">
            <w:r>
              <w:t xml:space="preserve">Purpose</w:t>
            </w:r>
          </w:p>
        </w:tc>
      </w:tr>
      <w:tr>
        <w:tc>
          <w:p w14:paraId="0010010C" w14:textId="0010010D">
            <w:r>
              <w:t xml:space="preserve">/api/ask</w:t>
            </w:r>
          </w:p>
        </w:tc>
        <w:tc>
          <w:p w14:paraId="0010010E" w14:textId="0010010F">
            <w:r>
              <w:t xml:space="preserve">POST</w:t>
            </w:r>
          </w:p>
        </w:tc>
        <w:tc>
          <w:p w14:paraId="00100110" w14:textId="00100111">
            <w:r>
              <w:t xml:space="preserve">question -&gt; {answer, sql, verdict, elapsed_ms}</w:t>
            </w:r>
          </w:p>
        </w:tc>
      </w:tr>
      <w:tr>
        <w:tc>
          <w:p w14:paraId="00100112" w14:textId="00100113">
            <w:r>
              <w:t xml:space="preserve">/api/audit</w:t>
            </w:r>
          </w:p>
        </w:tc>
        <w:tc>
          <w:p w14:paraId="00100114" w14:textId="00100115">
            <w:r>
              <w:t xml:space="preserve">GET</w:t>
            </w:r>
          </w:p>
        </w:tc>
        <w:tc>
          <w:p w14:paraId="00100116" w14:textId="00100117">
            <w:r>
              <w:t xml:space="preserve">paginated audit JSON</w:t>
            </w:r>
          </w:p>
        </w:tc>
      </w:tr>
      <w:tr>
        <w:tc>
          <w:p w14:paraId="00100118" w14:textId="00100119">
            <w:r>
              <w:t xml:space="preserve">/api/metrics</w:t>
            </w:r>
          </w:p>
        </w:tc>
        <w:tc>
          <w:p w14:paraId="0010011A" w14:textId="0010011B">
            <w:r>
              <w:t xml:space="preserve">GET</w:t>
            </w:r>
          </w:p>
        </w:tc>
        <w:tc>
          <w:p w14:paraId="0010011C" w14:textId="0010011D">
            <w:r>
              <w:t xml:space="preserve">pass rate, blocks by rule, latency percentiles</w:t>
            </w:r>
          </w:p>
        </w:tc>
      </w:tr>
      <w:tr>
        <w:tc>
          <w:p w14:paraId="0010011E" w14:textId="0010011F">
            <w:r>
              <w:t xml:space="preserve">/api/eval/run + /api/eval/results/&lt;id&gt;</w:t>
            </w:r>
          </w:p>
        </w:tc>
        <w:tc>
          <w:p w14:paraId="00100120" w14:textId="00100121">
            <w:r>
              <w:t xml:space="preserve">POST/GET</w:t>
            </w:r>
          </w:p>
        </w:tc>
        <w:tc>
          <w:p w14:paraId="00100122" w14:textId="00100123">
            <w:r>
              <w:t xml:space="preserve">corpus run + report</w:t>
            </w:r>
          </w:p>
        </w:tc>
      </w:tr>
      <w:tr>
        <w:tc>
          <w:p w14:paraId="00100124" w14:textId="00100125">
            <w:r>
              <w:t xml:space="preserve">/ , /ui/how, /ui/metrics, /ui/audit</w:t>
            </w:r>
          </w:p>
        </w:tc>
        <w:tc>
          <w:p w14:paraId="00100126" w14:textId="00100127">
            <w:r>
              <w:t xml:space="preserve">GET</w:t>
            </w:r>
          </w:p>
        </w:tc>
        <w:tc>
          <w:p w14:paraId="00100128" w14:textId="00100129">
            <w:r>
              <w:t xml:space="preserve">plain-language pages (FR-U1..U3, FR-A2)</w:t>
            </w:r>
          </w:p>
        </w:tc>
      </w:tr>
    </w:tbl>
    <w:p w14:paraId="0010012A" w14:textId="0010012B">
      <w:pPr>
        <w:pStyle w:val="Heading2"/>
      </w:pPr>
      <w:r>
        <w:rPr>
          <w:b/>
          <w:sz w:val="32"/>
        </w:rPr>
        <w:t xml:space="preserve">6. Traceability (requirement -&gt; evidence)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12C" w14:textId="0010012D">
            <w:r>
              <w:t xml:space="preserve">Requirement</w:t>
            </w:r>
          </w:p>
        </w:tc>
        <w:tc>
          <w:p w14:paraId="0010012E" w14:textId="0010012F">
            <w:r>
              <w:t xml:space="preserve">Evidence</w:t>
            </w:r>
          </w:p>
        </w:tc>
      </w:tr>
      <w:tr>
        <w:tc>
          <w:p w14:paraId="00100130" w14:textId="00100131">
            <w:r>
              <w:t xml:space="preserve">FR-01..FR-04</w:t>
            </w:r>
          </w:p>
        </w:tc>
        <w:tc>
          <w:p w14:paraId="00100132" w14:textId="00100133">
            <w:r>
              <w:t xml:space="preserve">TC-01..TC-05 (tests/test_app.py): single-path intake, generator contract, blocked-never-executed, response shape</w:t>
            </w:r>
          </w:p>
        </w:tc>
      </w:tr>
      <w:tr>
        <w:tc>
          <w:p w14:paraId="00100134" w14:textId="00100135">
            <w:r>
              <w:t xml:space="preserve">FR-G01..G09, PARSE</w:t>
            </w:r>
          </w:p>
        </w:tc>
        <w:tc>
          <w:p w14:paraId="00100136" w14:textId="00100137">
            <w:r>
              <w:t xml:space="preserve">TC-G01..TC-G09 + PARSE (tests/test_rules.py): one pass case + one bypass attempt per rule</w:t>
            </w:r>
          </w:p>
        </w:tc>
      </w:tr>
      <w:tr>
        <w:tc>
          <w:p w14:paraId="00100138" w14:textId="00100139">
            <w:r>
              <w:t xml:space="preserve">FR-G05 compound + side channels</w:t>
            </w:r>
          </w:p>
        </w:tc>
        <w:tc>
          <w:p w14:paraId="0010013A" w14:textId="0010013B">
            <w:r>
              <w:t xml:space="preserve">7 dedicated tests (test_rules.py, D-011/D-012) + corpus A-EXF-06..09</w:t>
            </w:r>
          </w:p>
        </w:tc>
      </w:tr>
      <w:tr>
        <w:tc>
          <w:p w14:paraId="0010013C" w14:textId="0010013D">
            <w:r>
              <w:t xml:space="preserve">FR-A1, FR-A2</w:t>
            </w:r>
          </w:p>
        </w:tc>
        <w:tc>
          <w:p w14:paraId="0010013E" w14:textId="0010013F">
            <w:r>
              <w:t xml:space="preserve">TC-06 append-only check; TC-07 pagination; /ui/audit render test</w:t>
            </w:r>
          </w:p>
        </w:tc>
      </w:tr>
      <w:tr>
        <w:tc>
          <w:p w14:paraId="00100140" w14:textId="00100141">
            <w:r>
              <w:t xml:space="preserve">FR-E1..E3</w:t>
            </w:r>
          </w:p>
        </w:tc>
        <w:tc>
          <w:p w14:paraId="00100142" w14:textId="00100143">
            <w:r>
              <w:t xml:space="preserve">TC-08 corpus run artifact; TC-09 CI fail-on-miss; run_eval.py 64/64 (Section 8)</w:t>
            </w:r>
          </w:p>
        </w:tc>
      </w:tr>
      <w:tr>
        <w:tc>
          <w:p w14:paraId="00100144" w14:textId="00100145">
            <w:r>
              <w:t xml:space="preserve">FR-E4</w:t>
            </w:r>
          </w:p>
        </w:tc>
        <w:tc>
          <w:p w14:paraId="00100146" w14:textId="00100147">
            <w:r>
              <w:t xml:space="preserve">tests/test_meta.py + scripts/run_metamorphic.py (384 relations, Section 8.3)</w:t>
            </w:r>
          </w:p>
        </w:tc>
      </w:tr>
      <w:tr>
        <w:tc>
          <w:p w14:paraId="00100148" w14:textId="00100149">
            <w:r>
              <w:t xml:space="preserve">FR-U1..U3</w:t>
            </w:r>
          </w:p>
        </w:tc>
        <w:tc>
          <w:p w14:paraId="0010014A" w14:textId="0010014B">
            <w:r>
              <w:t xml:space="preserve">UI render tests (ask explains, metrics labels, audit page, how page)</w:t>
            </w:r>
          </w:p>
        </w:tc>
      </w:tr>
      <w:tr>
        <w:tc>
          <w:p w14:paraId="0010014C" w14:textId="0010014D">
            <w:r>
              <w:t xml:space="preserve">NFR-1..NFR-6</w:t>
            </w:r>
          </w:p>
        </w:tc>
        <w:tc>
          <w:p w14:paraId="0010014E" w14:textId="0010014F">
            <w:r>
              <w:t xml:space="preserve">Metrics report p50/p95; FPR 0 on 30 benign; fetchmany(50) cap</w:t>
            </w:r>
          </w:p>
        </w:tc>
      </w:tr>
    </w:tbl>
    <w:p w14:paraId="00100150" w14:textId="00100151">
      <w:pPr/>
      <w:r>
        <w:rPr/>
        <w:t xml:space="preserve">40 unit/integration/UI tests + 1 execution-error fail-closed test = 41 passing.</w:t>
      </w:r>
    </w:p>
    <w:p w14:paraId="00100152" w14:textId="00100153">
      <w:pPr>
        <w:pStyle w:val="Heading2"/>
      </w:pPr>
      <w:r>
        <w:rPr>
          <w:b/>
          <w:sz w:val="32"/>
        </w:rPr>
        <w:t xml:space="preserve">7. Milestones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p w14:paraId="00100154" w14:textId="00100155">
            <w:r>
              <w:t xml:space="preserve">Milestone</w:t>
            </w:r>
          </w:p>
        </w:tc>
        <w:tc>
          <w:p w14:paraId="00100156" w14:textId="00100157">
            <w:r>
              <w:t xml:space="preserve">Acceptance</w:t>
            </w:r>
          </w:p>
        </w:tc>
        <w:tc>
          <w:p w14:paraId="00100158" w14:textId="00100159">
            <w:r>
              <w:t xml:space="preserve">State</w:t>
            </w:r>
          </w:p>
        </w:tc>
      </w:tr>
      <w:tr>
        <w:tc>
          <w:p w14:paraId="0010015A" w14:textId="0010015B">
            <w:r>
              <w:t xml:space="preserve">M1 Proposal</w:t>
            </w:r>
          </w:p>
        </w:tc>
        <w:tc>
          <w:p w14:paraId="0010015C" w14:textId="0010015D">
            <w:r>
              <w:t xml:space="preserve">presented Sep 9 (+Sep 10), Canvas receipt</w:t>
            </w:r>
          </w:p>
        </w:tc>
        <w:tc>
          <w:p w14:paraId="0010015E" w14:textId="0010015F">
            <w:r>
              <w:t xml:space="preserve">done</w:t>
            </w:r>
          </w:p>
        </w:tc>
      </w:tr>
      <w:tr>
        <w:tc>
          <w:p w14:paraId="00100160" w14:textId="00100161">
            <w:r>
              <w:t xml:space="preserve">M2 SRS + review + submit</w:t>
            </w:r>
          </w:p>
        </w:tc>
        <w:tc>
          <w:p w14:paraId="00100162" w14:textId="00100163">
            <w:r>
              <w:t xml:space="preserve">this document; group review in DECISIONS; submit before midterm</w:t>
            </w:r>
          </w:p>
        </w:tc>
        <w:tc>
          <w:p w14:paraId="00100164" w14:textId="00100165">
            <w:r>
              <w:t xml:space="preserve">v1.0 candidate; review pending</w:t>
            </w:r>
          </w:p>
        </w:tc>
      </w:tr>
      <w:tr>
        <w:tc>
          <w:p w14:paraId="00100166" w14:textId="00100167">
            <w:r>
              <w:t xml:space="preserve">M3 Skeleton</w:t>
            </w:r>
          </w:p>
        </w:tc>
        <w:tc>
          <w:p w14:paraId="00100168" w14:textId="00100169">
            <w:r>
              <w:t xml:space="preserve">end-to-end path on 3 demo asks</w:t>
            </w:r>
          </w:p>
        </w:tc>
        <w:tc>
          <w:p w14:paraId="0010016A" w14:textId="0010016B">
            <w:r>
              <w:t xml:space="preserve">done (ahead of schedule)</w:t>
            </w:r>
          </w:p>
        </w:tc>
      </w:tr>
      <w:tr>
        <w:tc>
          <w:p w14:paraId="0010016C" w14:textId="0010016D">
            <w:r>
              <w:t xml:space="preserve">M4 Rules complete</w:t>
            </w:r>
          </w:p>
        </w:tc>
        <w:tc>
          <w:p w14:paraId="0010016E" w14:textId="0010016F">
            <w:r>
              <w:t xml:space="preserve">all rules with unit tests</w:t>
            </w:r>
          </w:p>
        </w:tc>
        <w:tc>
          <w:p w14:paraId="00100170" w14:textId="00100171">
            <w:r>
              <w:t xml:space="preserve">done (G-10 stretch pending)</w:t>
            </w:r>
          </w:p>
        </w:tc>
      </w:tr>
      <w:tr>
        <w:tc>
          <w:p w14:paraId="00100172" w14:textId="00100173">
            <w:r>
              <w:t xml:space="preserve">M5 Evaluation v1</w:t>
            </w:r>
          </w:p>
        </w:tc>
        <w:tc>
          <w:p w14:paraId="00100174" w14:textId="00100175">
            <w:r>
              <w:t xml:space="preserve">report in CI artifact + numbers in this SRS</w:t>
            </w:r>
          </w:p>
        </w:tc>
        <w:tc>
          <w:p w14:paraId="00100176" w14:textId="00100177">
            <w:r>
              <w:t xml:space="preserve">done (Section 8)</w:t>
            </w:r>
          </w:p>
        </w:tc>
      </w:tr>
      <w:tr>
        <w:tc>
          <w:p w14:paraId="00100178" w14:textId="00100179">
            <w:r>
              <w:t xml:space="preserve">M6 Demo</w:t>
            </w:r>
          </w:p>
        </w:tc>
        <w:tc>
          <w:p w14:paraId="0010017A" w14:textId="0010017B">
            <w:r>
              <w:t xml:space="preserve">scripted demo rehearsed twice, CI green</w:t>
            </w:r>
          </w:p>
        </w:tc>
        <w:tc>
          <w:p w14:paraId="0010017C" w14:textId="0010017D">
            <w:r>
              <w:t xml:space="preserve">before final</w:t>
            </w:r>
          </w:p>
        </w:tc>
      </w:tr>
    </w:tbl>
    <w:p w14:paraId="0010017E" w14:textId="0010017F">
      <w:pPr>
        <w:pStyle w:val="Heading2"/>
      </w:pPr>
      <w:r>
        <w:rPr>
          <w:b/>
          <w:sz w:val="32"/>
        </w:rPr>
        <w:t xml:space="preserve">8. Measured evaluation results (2026-09-12, </w:t>
      </w:r>
      <w:r>
        <w:rPr>
          <w:rFonts w:ascii="Consolas" w:hAnsi="Consolas"/>
          <w:b/>
          <w:sz w:val="32"/>
        </w:rPr>
        <w:t xml:space="preserve">prototype/out/report.md</w:t>
      </w:r>
      <w:r>
        <w:rPr>
          <w:b/>
          <w:sz w:val="32"/>
        </w:rPr>
        <w:t xml:space="preserve">)</w:t>
      </w:r>
    </w:p>
    <w:p w14:paraId="00100180" w14:textId="00100181">
      <w:pPr>
        <w:pStyle w:val="Heading3"/>
      </w:pPr>
      <w:r>
        <w:rPr>
          <w:b/>
          <w:sz w:val="28"/>
        </w:rPr>
        <w:t xml:space="preserve">8.1 Corpus (64 entries, mock mode)</w:t>
      </w:r>
    </w:p>
    <w:p w14:paraId="00100182" w14:textId="00100183">
      <w:pPr>
        <w:numPr>
          <w:ilvl w:val="0"/>
          <w:numId w:val="8"/>
        </w:numPr>
      </w:pPr>
      <w:r>
        <w:t xml:space="preserve">verdict matches: </w:t>
      </w:r>
      <w:r>
        <w:rPr>
          <w:b/>
        </w:rPr>
        <w:t xml:space="preserve">64/64</w:t>
      </w:r>
      <w:r>
        <w:t xml:space="preserve">; benign false-positive rate: </w:t>
      </w:r>
      <w:r>
        <w:rPr>
          <w:b/>
        </w:rPr>
        <w:t xml:space="preserve">0.0</w:t>
      </w:r>
      <w:r>
        <w:t xml:space="preserve">.</w:t>
      </w:r>
    </w:p>
    <w:p w14:paraId="00100184" w14:textId="00100185">
      <w:pPr>
        <w:numPr>
          <w:ilvl w:val="0"/>
          <w:numId w:val="8"/>
        </w:numPr>
      </w:pPr>
      <w:r>
        <w:t xml:space="preserve">block-or-mask rate by attack class: direct_dml </w:t>
      </w:r>
      <w:r>
        <w:rPr>
          <w:b/>
        </w:rPr>
        <w:t xml:space="preserve">100%</w:t>
      </w:r>
      <w:r>
        <w:t xml:space="preserve">, write_bypass </w:t>
      </w:r>
      <w:r>
        <w:rPr>
          <w:b/>
        </w:rPr>
        <w:t xml:space="preserve">100%</w:t>
      </w:r>
      <w:r>
        <w:t xml:space="preserve">, multi_query </w:t>
      </w:r>
      <w:r>
        <w:rPr>
          <w:b/>
        </w:rPr>
        <w:t xml:space="preserve">100%</w:t>
      </w:r>
      <w:r>
        <w:t xml:space="preserve">, read_exfiltration </w:t>
      </w:r>
      <w:r>
        <w:rPr>
          <w:b/>
        </w:rPr>
        <w:t xml:space="preserve">100%</w:t>
      </w:r>
      <w:r>
        <w:t xml:space="preserve">, schema_recon </w:t>
      </w:r>
      <w:r>
        <w:rPr>
          <w:b/>
        </w:rPr>
        <w:t xml:space="preserve">100%</w:t>
      </w:r>
      <w:r>
        <w:t xml:space="preserve">, semantic_mismatch </w:t>
      </w:r>
      <w:r>
        <w:rPr>
          <w:b/>
        </w:rPr>
        <w:t xml:space="preserve">100%</w:t>
      </w:r>
      <w:r>
        <w:t xml:space="preserve">.</w:t>
      </w:r>
    </w:p>
    <w:p w14:paraId="00100186" w14:textId="00100187">
      <w:pPr>
        <w:numPr>
          <w:ilvl w:val="0"/>
          <w:numId w:val="8"/>
        </w:numPr>
      </w:pPr>
      <w:r>
        <w:rPr/>
        <w:t xml:space="preserve">exact-verdict match on read_exfiltration: 55.6% — the remainder returned MASK (private columns removed), the designed outcome; the safety-relevant leak rate is 0. Reported separately so the number stays honest (D-008).</w:t>
      </w:r>
    </w:p>
    <w:p w14:paraId="00100188" w14:textId="00100189">
      <w:pPr>
        <w:numPr>
          <w:ilvl w:val="0"/>
          <w:numId w:val="8"/>
        </w:numPr>
      </w:pPr>
      <w:r>
        <w:t xml:space="preserve">latency p50/p95: </w:t>
      </w:r>
      <w:r>
        <w:rPr>
          <w:b/>
        </w:rPr>
        <w:t xml:space="preserve">0.224 / 0.569 ms</w:t>
      </w:r>
      <w:r>
        <w:t xml:space="preserve"> (target &lt; 50 ms).</w:t>
      </w:r>
    </w:p>
    <w:p w14:paraId="0010018A" w14:textId="0010018B">
      <w:pPr>
        <w:pStyle w:val="Heading3"/>
      </w:pPr>
      <w:r>
        <w:rPr>
          <w:b/>
          <w:sz w:val="28"/>
        </w:rPr>
        <w:t xml:space="preserve">8.2 Tests</w:t>
      </w:r>
    </w:p>
    <w:p w14:paraId="0010018C" w14:textId="0010018D">
      <w:pPr/>
      <w:r>
        <w:rPr/>
        <w:t xml:space="preserve">41 passing: per-rule pass+bypass, compound-arm and side-channel regressions, HTTP integration, UI render checks, fail-closed runtime regression (FR-03).</w:t>
      </w:r>
    </w:p>
    <w:p w14:paraId="0010018E" w14:textId="0010018F">
      <w:pPr>
        <w:pStyle w:val="Heading3"/>
      </w:pPr>
      <w:r>
        <w:rPr>
          <w:b/>
          <w:sz w:val="28"/>
        </w:rPr>
        <w:t xml:space="preserve">8.3 Metamorphic relations</w:t>
      </w:r>
    </w:p>
    <w:p w14:paraId="00100190" w14:textId="00100191">
      <w:pPr/>
      <w:r>
        <w:t xml:space="preserve">384 checks (64 candidates x 6 relations): </w:t>
      </w:r>
      <w:r>
        <w:rPr>
          <w:b/>
        </w:rPr>
        <w:t xml:space="preserve">all hold</w:t>
      </w:r>
      <w:r>
        <w:t xml:space="preserve">. Equivalent rewrites never change a verdict.</w:t>
      </w:r>
    </w:p>
    <w:p w14:paraId="00100192" w14:textId="00100193">
      <w:pPr>
        <w:pStyle w:val="Heading2"/>
      </w:pPr>
      <w:r>
        <w:rPr>
          <w:b/>
          <w:sz w:val="32"/>
        </w:rPr>
        <w:t xml:space="preserve">9. Course practices applied</w:t>
      </w:r>
    </w:p>
    <w:p w14:paraId="00100194" w14:textId="00100195">
      <w:pPr>
        <w:numPr>
          <w:ilvl w:val="0"/>
          <w:numId w:val="9"/>
        </w:numPr>
      </w:pPr>
      <w:r>
        <w:rPr>
          <w:b/>
        </w:rPr>
        <w:t xml:space="preserve">User stories</w:t>
      </w:r>
      <w:r>
        <w:t xml:space="preserve"> (XP, lecture Sep 3): Section 2.3.1, traced to requirements and tests.</w:t>
      </w:r>
    </w:p>
    <w:p w14:paraId="00100196" w14:textId="00100197">
      <w:pPr>
        <w:numPr>
          <w:ilvl w:val="0"/>
          <w:numId w:val="9"/>
        </w:numPr>
      </w:pPr>
      <w:r>
        <w:rPr>
          <w:b/>
        </w:rPr>
        <w:t xml:space="preserve">Test-first / refactoring</w:t>
      </w:r>
      <w:r>
        <w:t xml:space="preserve"> (XP, lecture Sep 3): the UNION defect was reproduced as a failing behavior, fixed, and pinned by regression tests; rule interpretations were refactored with the corpus as the safety net.</w:t>
      </w:r>
    </w:p>
    <w:p w14:paraId="00100198" w14:textId="00100199">
      <w:pPr>
        <w:numPr>
          <w:ilvl w:val="0"/>
          <w:numId w:val="9"/>
        </w:numPr>
      </w:pPr>
      <w:r>
        <w:rPr>
          <w:b/>
        </w:rPr>
        <w:t xml:space="preserve">Continuous integration</w:t>
      </w:r>
      <w:r>
        <w:t xml:space="preserve"> (lecture Sep 3 + slide 7): push-gate workflow fails the build on any test or corpus miss.</w:t>
      </w:r>
    </w:p>
    <w:p w14:paraId="0010019A" w14:textId="0010019B">
      <w:pPr>
        <w:numPr>
          <w:ilvl w:val="0"/>
          <w:numId w:val="9"/>
        </w:numPr>
      </w:pPr>
      <w:r>
        <w:rPr>
          <w:b/>
        </w:rPr>
        <w:t xml:space="preserve">Security practices</w:t>
      </w:r>
      <w:r>
        <w:t xml:space="preserve"> (lecture Aug 27): masking vs tokenization, least privilege, read-only enforcement — all demonstrated by the gate.</w:t>
      </w:r>
    </w:p>
    <w:p w14:paraId="0010019C" w14:textId="0010019D">
      <w:pPr>
        <w:numPr>
          <w:ilvl w:val="0"/>
          <w:numId w:val="9"/>
        </w:numPr>
      </w:pPr>
      <w:r>
        <w:rPr>
          <w:b/>
        </w:rPr>
        <w:t xml:space="preserve">AI-era framing</w:t>
      </w:r>
      <w:r>
        <w:t xml:space="preserve"> (lecture 1): the gate is the control layer for an AI tool writing SQL against a real schema.</w:t>
      </w:r>
    </w:p>
    <w:p w14:paraId="0010019E" w14:textId="0010019F">
      <w:pPr>
        <w:pStyle w:val="Heading2"/>
      </w:pPr>
      <w:r>
        <w:rPr>
          <w:b/>
          <w:sz w:val="32"/>
        </w:rPr>
        <w:t xml:space="preserve">10. Open items</w:t>
      </w:r>
    </w:p>
    <w:p w14:paraId="001001A0" w14:textId="001001A1">
      <w:pPr>
        <w:numPr>
          <w:ilvl w:val="0"/>
          <w:numId w:val="10"/>
        </w:numPr>
      </w:pPr>
      <w:r>
        <w:rPr/>
        <w:t xml:space="preserve">Group review notes: folded in as received - not a submission gate.</w:t>
      </w:r>
    </w:p>
    <w:p w14:paraId="001001A2" w14:textId="001001A3">
      <w:pPr>
        <w:numPr>
          <w:ilvl w:val="0"/>
          <w:numId w:val="10"/>
        </w:numPr>
      </w:pPr>
      <w:r>
        <w:rPr/>
        <w:t xml:space="preserve">AI-usage policy for deliverables: no course-stated policy exists; the operator rule applies (AI tools used in development, per course allowances where stated). Settled 09-15 - not a gate.</w:t>
      </w:r>
    </w:p>
    <w:p w14:paraId="001001A4" w14:textId="001001A5">
      <w:pPr>
        <w:numPr>
          <w:ilvl w:val="0"/>
          <w:numId w:val="10"/>
        </w:numPr>
      </w:pPr>
      <w:r>
        <w:rPr/>
        <w:t xml:space="preserve">Midterm date: not yet posted; pins M2 submission.</w:t>
      </w:r>
    </w:p>
    <w:p w14:paraId="001001A6" w14:textId="001001A7">
      <w:pPr>
        <w:numPr>
          <w:ilvl w:val="0"/>
          <w:numId w:val="10"/>
        </w:numPr>
      </w:pPr>
      <w:r>
        <w:rPr/>
        <w:t xml:space="preserve">Live-LLM mode: needs the group's API choice (Project 2 opener).</w:t>
      </w:r>
    </w:p>
    <w:p w14:paraId="001001A8" w14:textId="001001A9">
      <w:pPr>
        <w:numPr>
          <w:ilvl w:val="0"/>
          <w:numId w:val="10"/>
        </w:numPr>
      </w:pPr>
      <w:r>
        <w:rPr/>
        <w:t xml:space="preserve">FR-G10 intent matching: stretch, droppable by recorded decision.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qFormat/>
    <w:pPr>
      <w:spacing w:before="360" w:after="160"/>
      <w:outlineLvl xmlns:w="http://schemas.openxmlformats.org/wordprocessingml/2006/main" w:val="0"/>
    </w:pPr>
    <w:rPr>
      <w:b/>
      <w:color w:val="1B1F27"/>
      <w:sz w:val="34"/>
    </w:rPr>
  </w:style>
  <w:style w:type="paragraph" w:styleId="Heading2">
    <w:name w:val="heading 2"/>
    <w:qFormat/>
    <w:pPr>
      <w:spacing w:before="280" w:after="120"/>
      <w:outlineLvl xmlns:w="http://schemas.openxmlformats.org/wordprocessingml/2006/main" w:val="1"/>
    </w:pPr>
    <w:rPr>
      <w:b/>
      <w:color w:val="1B1F27"/>
      <w:sz w:val="28"/>
    </w:rPr>
  </w:style>
  <w:style w:type="paragraph" w:styleId="Heading3">
    <w:name w:val="heading 3"/>
    <w:qFormat/>
    <w:pPr>
      <w:spacing w:before="200" w:after="80"/>
      <w:outlineLvl xmlns:w="http://schemas.openxmlformats.org/wordprocessingml/2006/main" w:val="2"/>
    </w:pPr>
    <w:rPr>
      <w:b/>
      <w:color w:val="3D4451"/>
      <w:sz w:val="24"/>
    </w:rPr>
  </w:style>
  <w:style w:type="paragraph" w:styleId="Title">
    <w:name w:val="Title"/>
    <w:qFormat/>
    <w:pPr>
      <w:spacing w:after="240"/>
      <w:outlineLvl xmlns:w="http://schemas.openxmlformats.org/wordprocessingml/2006/main" w:val="0"/>
    </w:pPr>
    <w:rPr>
      <w:b/>
      <w:color w:val="1B1F27"/>
      <w:sz w:val="4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5ff8cc0321f494e" /><Relationship Type="http://schemas.openxmlformats.org/officeDocument/2006/relationships/styles" Target="/word/styles.xml" Id="Raabb7c565cc74ce0" /><Relationship Type="http://schemas.openxmlformats.org/officeDocument/2006/relationships/theme" Target="/word/theme/theme1.xml" Id="Ra25fce3f15784349" /><Relationship Type="http://schemas.openxmlformats.org/officeDocument/2006/relationships/numbering" Target="/word/numbering.xml" Id="R3483230bb9654c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2026-09-15T22:05:17Z</dcterms:created>
  <cp:lastModifiedBy>OfficeCLI</cp:lastModifiedBy>
  <dcterms:modified xsi:type="dcterms:W3CDTF">2026-09-15T22:05:17Z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1.0.150</vt:lpwstr>
  </op:property>
  <op:property fmtid="{D5CDD505-2E9C-101B-9397-08002B2CF9AE}" pid="3" name="OfficeCLI.LastModified">
    <vt:lpwstr xmlns:vt="http://schemas.openxmlformats.org/officeDocument/2006/docPropsVTypes">2026-09-15T22:05:20Z</vt:lpwstr>
  </op:property>
</op:Properties>
</file>