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2E99F" w14:textId="77777777" w:rsidR="00DC2CE9" w:rsidRPr="00D94079" w:rsidRDefault="00DC2CE9" w:rsidP="00DC2CE9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940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Table 3. Statistical Comparison of Lesion Subtype Distributions Across Demographic Groups</w:t>
      </w:r>
    </w:p>
    <w:tbl>
      <w:tblPr>
        <w:tblStyle w:val="TableGrid"/>
        <w:tblW w:w="9878" w:type="dxa"/>
        <w:tblLook w:val="04A0" w:firstRow="1" w:lastRow="0" w:firstColumn="1" w:lastColumn="0" w:noHBand="0" w:noVBand="1"/>
      </w:tblPr>
      <w:tblGrid>
        <w:gridCol w:w="1670"/>
        <w:gridCol w:w="1987"/>
        <w:gridCol w:w="2074"/>
        <w:gridCol w:w="1987"/>
        <w:gridCol w:w="2160"/>
      </w:tblGrid>
      <w:tr w:rsidR="00DC2CE9" w:rsidRPr="00D94079" w14:paraId="239A0134" w14:textId="77777777" w:rsidTr="00887E43">
        <w:trPr>
          <w:trHeight w:val="850"/>
        </w:trPr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712958AB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Lesion Subtype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vAlign w:val="center"/>
          </w:tcPr>
          <w:p w14:paraId="5A3B852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All MS (n=381)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14:paraId="386F9B0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Female MS (n=273)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vAlign w:val="center"/>
          </w:tcPr>
          <w:p w14:paraId="2C9A68E7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Male MS (n=108)</w:t>
            </w:r>
          </w:p>
        </w:tc>
        <w:tc>
          <w:tcPr>
            <w:tcW w:w="2160" w:type="dxa"/>
            <w:vAlign w:val="center"/>
          </w:tcPr>
          <w:p w14:paraId="3AB7433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Gender Comparison</w:t>
            </w:r>
          </w:p>
        </w:tc>
      </w:tr>
      <w:tr w:rsidR="00DC2CE9" w:rsidRPr="00D94079" w14:paraId="277658C9" w14:textId="77777777" w:rsidTr="00887E43">
        <w:trPr>
          <w:trHeight w:val="567"/>
        </w:trPr>
        <w:tc>
          <w:tcPr>
            <w:tcW w:w="1670" w:type="dxa"/>
            <w:tcBorders>
              <w:right w:val="nil"/>
            </w:tcBorders>
            <w:vAlign w:val="center"/>
          </w:tcPr>
          <w:p w14:paraId="662CDD2A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PEWMH (%)</w:t>
            </w:r>
          </w:p>
        </w:tc>
        <w:tc>
          <w:tcPr>
            <w:tcW w:w="1987" w:type="dxa"/>
            <w:tcBorders>
              <w:left w:val="nil"/>
              <w:right w:val="nil"/>
            </w:tcBorders>
            <w:vAlign w:val="center"/>
          </w:tcPr>
          <w:p w14:paraId="622D73B7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2074" w:type="dxa"/>
            <w:tcBorders>
              <w:left w:val="nil"/>
              <w:right w:val="nil"/>
            </w:tcBorders>
            <w:vAlign w:val="center"/>
          </w:tcPr>
          <w:p w14:paraId="04BD1D0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1987" w:type="dxa"/>
            <w:tcBorders>
              <w:left w:val="nil"/>
              <w:right w:val="nil"/>
            </w:tcBorders>
            <w:vAlign w:val="center"/>
          </w:tcPr>
          <w:p w14:paraId="6610794D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2160" w:type="dxa"/>
            <w:tcBorders>
              <w:left w:val="nil"/>
            </w:tcBorders>
            <w:vAlign w:val="center"/>
          </w:tcPr>
          <w:p w14:paraId="210A694C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6732CB13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0238D823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± SD</w:t>
            </w:r>
          </w:p>
        </w:tc>
        <w:tc>
          <w:tcPr>
            <w:tcW w:w="1987" w:type="dxa"/>
            <w:vAlign w:val="center"/>
          </w:tcPr>
          <w:p w14:paraId="59C86445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53.91 ± 20.62</w:t>
            </w:r>
          </w:p>
        </w:tc>
        <w:tc>
          <w:tcPr>
            <w:tcW w:w="2074" w:type="dxa"/>
            <w:vAlign w:val="center"/>
          </w:tcPr>
          <w:p w14:paraId="77BB95B0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53.56 ± 21.03</w:t>
            </w:r>
          </w:p>
        </w:tc>
        <w:tc>
          <w:tcPr>
            <w:tcW w:w="1987" w:type="dxa"/>
            <w:vAlign w:val="center"/>
          </w:tcPr>
          <w:p w14:paraId="726A83FC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54.79 ± 19.62</w:t>
            </w:r>
          </w:p>
        </w:tc>
        <w:tc>
          <w:tcPr>
            <w:tcW w:w="2160" w:type="dxa"/>
            <w:vMerge w:val="restart"/>
            <w:vAlign w:val="center"/>
          </w:tcPr>
          <w:p w14:paraId="7B564EE8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 = 0.524</w:t>
            </w:r>
          </w:p>
          <w:p w14:paraId="391E1DEE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 = 0.6</w:t>
            </w:r>
          </w:p>
          <w:p w14:paraId="536F12D8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 = 0.06</w:t>
            </w:r>
          </w:p>
        </w:tc>
      </w:tr>
      <w:tr w:rsidR="00DC2CE9" w:rsidRPr="00D94079" w14:paraId="252F0409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22A5733E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[IQR]</w:t>
            </w:r>
          </w:p>
        </w:tc>
        <w:tc>
          <w:tcPr>
            <w:tcW w:w="1987" w:type="dxa"/>
            <w:vAlign w:val="center"/>
          </w:tcPr>
          <w:p w14:paraId="4042D51C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54.63 [41.36-67.53]</w:t>
            </w:r>
          </w:p>
        </w:tc>
        <w:tc>
          <w:tcPr>
            <w:tcW w:w="2074" w:type="dxa"/>
            <w:vAlign w:val="center"/>
          </w:tcPr>
          <w:p w14:paraId="5EF666DD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54.63 [40.47-67.38]</w:t>
            </w:r>
          </w:p>
        </w:tc>
        <w:tc>
          <w:tcPr>
            <w:tcW w:w="1987" w:type="dxa"/>
            <w:vAlign w:val="center"/>
          </w:tcPr>
          <w:p w14:paraId="2DD5285E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54.57 [43.19-68.67]</w:t>
            </w:r>
          </w:p>
        </w:tc>
        <w:tc>
          <w:tcPr>
            <w:tcW w:w="2160" w:type="dxa"/>
            <w:vMerge/>
            <w:vAlign w:val="center"/>
          </w:tcPr>
          <w:p w14:paraId="657A7031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7D24D827" w14:textId="77777777" w:rsidTr="00887E43">
        <w:trPr>
          <w:trHeight w:val="567"/>
        </w:trPr>
        <w:tc>
          <w:tcPr>
            <w:tcW w:w="1670" w:type="dxa"/>
            <w:tcBorders>
              <w:bottom w:val="single" w:sz="4" w:space="0" w:color="auto"/>
            </w:tcBorders>
            <w:vAlign w:val="center"/>
          </w:tcPr>
          <w:p w14:paraId="17BA86E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vAlign w:val="center"/>
          </w:tcPr>
          <w:p w14:paraId="69D5A67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bookmarkStart w:id="0" w:name="_Hlk226852728"/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49.15 </w:t>
            </w:r>
            <w:bookmarkEnd w:id="0"/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– </w:t>
            </w:r>
            <w:bookmarkStart w:id="1" w:name="_Hlk226852735"/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64.1</w:t>
            </w:r>
            <w:bookmarkEnd w:id="1"/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14:paraId="445F90E0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50.41 – 65.10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vAlign w:val="center"/>
          </w:tcPr>
          <w:p w14:paraId="2145A7F6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46.51 – 64.97</w:t>
            </w:r>
          </w:p>
        </w:tc>
        <w:tc>
          <w:tcPr>
            <w:tcW w:w="2160" w:type="dxa"/>
            <w:vMerge/>
            <w:vAlign w:val="center"/>
          </w:tcPr>
          <w:p w14:paraId="08493FE5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01590F58" w14:textId="77777777" w:rsidTr="00887E43">
        <w:trPr>
          <w:trHeight w:val="567"/>
        </w:trPr>
        <w:tc>
          <w:tcPr>
            <w:tcW w:w="1670" w:type="dxa"/>
            <w:tcBorders>
              <w:left w:val="single" w:sz="4" w:space="0" w:color="auto"/>
              <w:right w:val="nil"/>
            </w:tcBorders>
            <w:vAlign w:val="center"/>
          </w:tcPr>
          <w:p w14:paraId="09855791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DWMH (%)</w:t>
            </w:r>
          </w:p>
        </w:tc>
        <w:tc>
          <w:tcPr>
            <w:tcW w:w="1987" w:type="dxa"/>
            <w:tcBorders>
              <w:left w:val="nil"/>
              <w:right w:val="nil"/>
            </w:tcBorders>
            <w:vAlign w:val="center"/>
          </w:tcPr>
          <w:p w14:paraId="5B7D11D8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2074" w:type="dxa"/>
            <w:tcBorders>
              <w:left w:val="nil"/>
              <w:right w:val="nil"/>
            </w:tcBorders>
            <w:vAlign w:val="center"/>
          </w:tcPr>
          <w:p w14:paraId="68225FD6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1987" w:type="dxa"/>
            <w:tcBorders>
              <w:left w:val="nil"/>
              <w:right w:val="nil"/>
            </w:tcBorders>
            <w:vAlign w:val="center"/>
          </w:tcPr>
          <w:p w14:paraId="09C382D1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  <w:tc>
          <w:tcPr>
            <w:tcW w:w="2160" w:type="dxa"/>
            <w:tcBorders>
              <w:left w:val="nil"/>
            </w:tcBorders>
            <w:vAlign w:val="center"/>
          </w:tcPr>
          <w:p w14:paraId="2C7E38E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16C75B30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50AE634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± SD</w:t>
            </w:r>
          </w:p>
        </w:tc>
        <w:tc>
          <w:tcPr>
            <w:tcW w:w="1987" w:type="dxa"/>
            <w:vAlign w:val="center"/>
          </w:tcPr>
          <w:p w14:paraId="4D22AEF9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39.12 ± 19.08</w:t>
            </w:r>
          </w:p>
        </w:tc>
        <w:tc>
          <w:tcPr>
            <w:tcW w:w="2074" w:type="dxa"/>
            <w:vAlign w:val="center"/>
          </w:tcPr>
          <w:p w14:paraId="469F5D26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38.90 ± 19.80</w:t>
            </w:r>
          </w:p>
        </w:tc>
        <w:tc>
          <w:tcPr>
            <w:tcW w:w="1987" w:type="dxa"/>
            <w:vAlign w:val="center"/>
          </w:tcPr>
          <w:p w14:paraId="6AC55AB6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39.68 ± 17.19</w:t>
            </w:r>
          </w:p>
        </w:tc>
        <w:tc>
          <w:tcPr>
            <w:tcW w:w="2160" w:type="dxa"/>
            <w:vMerge w:val="restart"/>
            <w:vAlign w:val="center"/>
          </w:tcPr>
          <w:p w14:paraId="3035E52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 = 15,273</w:t>
            </w:r>
          </w:p>
          <w:p w14:paraId="1EA454A5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 = 0.584</w:t>
            </w:r>
          </w:p>
          <w:p w14:paraId="21500B1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= 0.028</w:t>
            </w:r>
          </w:p>
        </w:tc>
      </w:tr>
      <w:tr w:rsidR="00DC2CE9" w:rsidRPr="00D94079" w14:paraId="2ECC0103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7901F961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[IQR]</w:t>
            </w:r>
          </w:p>
        </w:tc>
        <w:tc>
          <w:tcPr>
            <w:tcW w:w="1987" w:type="dxa"/>
            <w:vAlign w:val="center"/>
          </w:tcPr>
          <w:p w14:paraId="5BC9003D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38.87 [27.91-51.01]</w:t>
            </w:r>
          </w:p>
        </w:tc>
        <w:tc>
          <w:tcPr>
            <w:tcW w:w="2074" w:type="dxa"/>
            <w:vAlign w:val="center"/>
          </w:tcPr>
          <w:p w14:paraId="491B03B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38.16 [27.08-50.91]</w:t>
            </w:r>
          </w:p>
        </w:tc>
        <w:tc>
          <w:tcPr>
            <w:tcW w:w="1987" w:type="dxa"/>
            <w:vAlign w:val="center"/>
          </w:tcPr>
          <w:p w14:paraId="2C698DD8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39.35 [28.43-51.41]</w:t>
            </w:r>
          </w:p>
        </w:tc>
        <w:tc>
          <w:tcPr>
            <w:tcW w:w="2160" w:type="dxa"/>
            <w:vMerge/>
            <w:vAlign w:val="center"/>
          </w:tcPr>
          <w:p w14:paraId="68736A90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7884F60C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634F9CBD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vAlign w:val="center"/>
          </w:tcPr>
          <w:p w14:paraId="003CF7E6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30.78 – 41.67</w:t>
            </w:r>
          </w:p>
        </w:tc>
        <w:tc>
          <w:tcPr>
            <w:tcW w:w="2074" w:type="dxa"/>
            <w:tcBorders>
              <w:bottom w:val="single" w:sz="4" w:space="0" w:color="auto"/>
            </w:tcBorders>
            <w:vAlign w:val="center"/>
          </w:tcPr>
          <w:p w14:paraId="3DFEE1FC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30.65 – 42.11</w:t>
            </w:r>
          </w:p>
        </w:tc>
        <w:tc>
          <w:tcPr>
            <w:tcW w:w="1987" w:type="dxa"/>
            <w:tcBorders>
              <w:bottom w:val="single" w:sz="4" w:space="0" w:color="auto"/>
            </w:tcBorders>
            <w:vAlign w:val="center"/>
          </w:tcPr>
          <w:p w14:paraId="7630598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31.13 – 47.96</w:t>
            </w:r>
          </w:p>
        </w:tc>
        <w:tc>
          <w:tcPr>
            <w:tcW w:w="2160" w:type="dxa"/>
            <w:vMerge/>
            <w:vAlign w:val="center"/>
          </w:tcPr>
          <w:p w14:paraId="37E8C97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1CC938D2" w14:textId="77777777" w:rsidTr="00887E43">
        <w:trPr>
          <w:trHeight w:val="567"/>
        </w:trPr>
        <w:tc>
          <w:tcPr>
            <w:tcW w:w="1670" w:type="dxa"/>
            <w:tcBorders>
              <w:right w:val="nil"/>
            </w:tcBorders>
            <w:vAlign w:val="center"/>
          </w:tcPr>
          <w:p w14:paraId="1FE0302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JCWMH (%)</w:t>
            </w:r>
          </w:p>
        </w:tc>
        <w:tc>
          <w:tcPr>
            <w:tcW w:w="1987" w:type="dxa"/>
            <w:tcBorders>
              <w:left w:val="nil"/>
              <w:right w:val="nil"/>
            </w:tcBorders>
            <w:vAlign w:val="center"/>
          </w:tcPr>
          <w:p w14:paraId="76A53E6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074" w:type="dxa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C590D7A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1987" w:type="dxa"/>
            <w:tcBorders>
              <w:left w:val="nil"/>
              <w:right w:val="nil"/>
            </w:tcBorders>
            <w:vAlign w:val="center"/>
          </w:tcPr>
          <w:p w14:paraId="3F66E38D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  <w:tc>
          <w:tcPr>
            <w:tcW w:w="2160" w:type="dxa"/>
            <w:tcBorders>
              <w:left w:val="nil"/>
            </w:tcBorders>
            <w:vAlign w:val="center"/>
          </w:tcPr>
          <w:p w14:paraId="6934771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DC2CE9" w:rsidRPr="00D94079" w14:paraId="64B1249D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6E95A21C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bookmarkStart w:id="2" w:name="_Hlk226853746"/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± SD</w:t>
            </w:r>
          </w:p>
        </w:tc>
        <w:tc>
          <w:tcPr>
            <w:tcW w:w="1987" w:type="dxa"/>
            <w:vAlign w:val="center"/>
          </w:tcPr>
          <w:p w14:paraId="7D78F37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6.71 ± 9.61</w:t>
            </w:r>
          </w:p>
        </w:tc>
        <w:tc>
          <w:tcPr>
            <w:tcW w:w="2074" w:type="dxa"/>
            <w:vAlign w:val="center"/>
          </w:tcPr>
          <w:p w14:paraId="24223B8F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7.18 ± 10.36</w:t>
            </w:r>
          </w:p>
        </w:tc>
        <w:tc>
          <w:tcPr>
            <w:tcW w:w="1987" w:type="dxa"/>
            <w:vAlign w:val="center"/>
          </w:tcPr>
          <w:p w14:paraId="5053B07E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5.53 ± 7.32</w:t>
            </w:r>
          </w:p>
        </w:tc>
        <w:tc>
          <w:tcPr>
            <w:tcW w:w="2160" w:type="dxa"/>
            <w:vMerge w:val="restart"/>
            <w:vAlign w:val="center"/>
          </w:tcPr>
          <w:p w14:paraId="35A6BFEB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 = 13,515.5</w:t>
            </w:r>
          </w:p>
          <w:p w14:paraId="591D74A9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 = 0.205</w:t>
            </w:r>
          </w:p>
          <w:p w14:paraId="5A114C83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 = 0.065</w:t>
            </w:r>
          </w:p>
        </w:tc>
      </w:tr>
      <w:bookmarkEnd w:id="2"/>
      <w:tr w:rsidR="00DC2CE9" w:rsidRPr="00D94079" w14:paraId="59DE1D60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7AD691DE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[IQR]</w:t>
            </w:r>
          </w:p>
        </w:tc>
        <w:tc>
          <w:tcPr>
            <w:tcW w:w="1987" w:type="dxa"/>
            <w:vAlign w:val="center"/>
          </w:tcPr>
          <w:p w14:paraId="14A6F500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3.72 [1.57-7.56]</w:t>
            </w:r>
          </w:p>
        </w:tc>
        <w:tc>
          <w:tcPr>
            <w:tcW w:w="2074" w:type="dxa"/>
            <w:vAlign w:val="center"/>
          </w:tcPr>
          <w:p w14:paraId="6411C48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3.99 [1.65-7.67]</w:t>
            </w:r>
          </w:p>
        </w:tc>
        <w:tc>
          <w:tcPr>
            <w:tcW w:w="1987" w:type="dxa"/>
            <w:vAlign w:val="center"/>
          </w:tcPr>
          <w:p w14:paraId="18ACA252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3.19 [1.49-6.39]</w:t>
            </w:r>
          </w:p>
        </w:tc>
        <w:tc>
          <w:tcPr>
            <w:tcW w:w="2160" w:type="dxa"/>
            <w:vMerge/>
            <w:vAlign w:val="center"/>
          </w:tcPr>
          <w:p w14:paraId="31DBD74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</w:p>
        </w:tc>
      </w:tr>
      <w:tr w:rsidR="00DC2CE9" w:rsidRPr="00D94079" w14:paraId="4E66D1FC" w14:textId="77777777" w:rsidTr="00887E43">
        <w:trPr>
          <w:trHeight w:val="567"/>
        </w:trPr>
        <w:tc>
          <w:tcPr>
            <w:tcW w:w="1670" w:type="dxa"/>
            <w:vAlign w:val="center"/>
          </w:tcPr>
          <w:p w14:paraId="3919C544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</w:t>
            </w:r>
          </w:p>
        </w:tc>
        <w:tc>
          <w:tcPr>
            <w:tcW w:w="1987" w:type="dxa"/>
            <w:vAlign w:val="center"/>
          </w:tcPr>
          <w:p w14:paraId="2CB18FEE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2.76 – 8.07</w:t>
            </w:r>
          </w:p>
        </w:tc>
        <w:tc>
          <w:tcPr>
            <w:tcW w:w="2074" w:type="dxa"/>
            <w:vAlign w:val="center"/>
          </w:tcPr>
          <w:p w14:paraId="32EB6937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3.21 – 9.28</w:t>
            </w:r>
          </w:p>
        </w:tc>
        <w:tc>
          <w:tcPr>
            <w:tcW w:w="1987" w:type="dxa"/>
            <w:vAlign w:val="center"/>
          </w:tcPr>
          <w:p w14:paraId="0C302EF6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  <w:r w:rsidRPr="00D9407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0.96 – 7.19</w:t>
            </w:r>
          </w:p>
        </w:tc>
        <w:tc>
          <w:tcPr>
            <w:tcW w:w="2160" w:type="dxa"/>
            <w:vMerge/>
            <w:vAlign w:val="center"/>
          </w:tcPr>
          <w:p w14:paraId="2F864DE3" w14:textId="77777777" w:rsidR="00DC2CE9" w:rsidRPr="00D94079" w:rsidRDefault="00DC2CE9" w:rsidP="00887E43">
            <w:pPr>
              <w:spacing w:before="100" w:beforeAutospacing="1" w:after="100" w:afterAutospacing="1" w:line="48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44546A" w:themeColor="text2"/>
                <w:kern w:val="0"/>
                <w14:ligatures w14:val="none"/>
              </w:rPr>
            </w:pPr>
          </w:p>
        </w:tc>
      </w:tr>
    </w:tbl>
    <w:p w14:paraId="59928630" w14:textId="77777777" w:rsidR="00DC2CE9" w:rsidRPr="00D94079" w:rsidRDefault="00DC2CE9" w:rsidP="00DC2CE9">
      <w:pPr>
        <w:spacing w:before="100" w:beforeAutospacing="1" w:after="100" w:afterAutospacing="1" w:line="480" w:lineRule="auto"/>
        <w:jc w:val="both"/>
        <w:rPr>
          <w:rFonts w:ascii="Times New Roman" w:eastAsia="Times New Roman" w:hAnsi="Times New Roman" w:cs="Times New Roman"/>
          <w:i/>
          <w:iCs/>
          <w:kern w:val="0"/>
          <w14:ligatures w14:val="none"/>
        </w:rPr>
      </w:pPr>
      <w:r w:rsidRPr="00D9407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Statistical testing: independent t-test for PEWMH (normality confirmed in both groups: Male Shapiro-Wilk p=0.512, Female p=0.160); Mann-Whitney U with rank-biserial correlation (r) for DWMH (Female non-normal: p=0.020) and JCWMH (both non-normal: p&lt;10⁻⁶). No comparisons reach statistical significance after Bonferroni correction (α=0.017 for three comparisons). Median [IQR] is the primary descriptor for DWMH and JCWMH (non-parametric); Mean ± SD is additional for PEWMH (parametric). Range = range of age-group means across five age strata (18–29, 30–39, 40–49, 50–59, 60+).</w:t>
      </w:r>
    </w:p>
    <w:p w14:paraId="208D1B06" w14:textId="77777777" w:rsidR="00BB5469" w:rsidRPr="00DC2CE9" w:rsidRDefault="00BB5469" w:rsidP="00DC2CE9"/>
    <w:sectPr w:rsidR="00BB5469" w:rsidRPr="00DC2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C4"/>
    <w:rsid w:val="00012546"/>
    <w:rsid w:val="000D4F4E"/>
    <w:rsid w:val="001113C4"/>
    <w:rsid w:val="00BB5469"/>
    <w:rsid w:val="00D0366A"/>
    <w:rsid w:val="00DC2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3105"/>
  <w15:chartTrackingRefBased/>
  <w15:docId w15:val="{DC099AAA-F367-4501-8E3C-F8A791844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C4"/>
    <w:rPr>
      <w:kern w:val="2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1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1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13C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1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  <w:kern w:val="0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13C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  <w:kern w:val="0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1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1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0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1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1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13C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13C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13C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13C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13C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1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1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1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1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1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111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1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111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13C4"/>
    <w:pPr>
      <w:spacing w:before="160"/>
      <w:jc w:val="center"/>
    </w:pPr>
    <w:rPr>
      <w:i/>
      <w:iCs/>
      <w:color w:val="404040" w:themeColor="text1" w:themeTint="BF"/>
      <w:kern w:val="0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111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13C4"/>
    <w:pPr>
      <w:ind w:left="720"/>
      <w:contextualSpacing/>
    </w:pPr>
    <w:rPr>
      <w:kern w:val="0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1113C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13C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  <w:kern w:val="0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13C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13C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113C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bashiri</dc:creator>
  <cp:keywords/>
  <dc:description/>
  <cp:lastModifiedBy>mehdi bashiri</cp:lastModifiedBy>
  <cp:revision>2</cp:revision>
  <dcterms:created xsi:type="dcterms:W3CDTF">2026-04-15T21:50:00Z</dcterms:created>
  <dcterms:modified xsi:type="dcterms:W3CDTF">2026-04-16T13:26:00Z</dcterms:modified>
</cp:coreProperties>
</file>