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14EEE" w14:textId="77777777" w:rsidR="006B5489" w:rsidRPr="008E31A1" w:rsidRDefault="006B5489" w:rsidP="006B5489">
      <w:pPr>
        <w:spacing w:before="100" w:beforeAutospacing="1" w:after="100" w:afterAutospacing="1" w:line="480" w:lineRule="auto"/>
        <w:jc w:val="both"/>
        <w:rPr>
          <w:rFonts w:asciiTheme="majorBidi" w:eastAsia="Times New Roman" w:hAnsiTheme="majorBidi" w:cstheme="majorBidi"/>
          <w:kern w:val="0"/>
          <w14:ligatures w14:val="none"/>
        </w:rPr>
      </w:pPr>
      <w:r w:rsidRPr="00AA70BB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Table 4. Annotation Statistics Across Patient Cohort</w:t>
      </w:r>
    </w:p>
    <w:tbl>
      <w:tblPr>
        <w:tblW w:w="11069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1191"/>
        <w:gridCol w:w="1133"/>
        <w:gridCol w:w="1133"/>
        <w:gridCol w:w="1191"/>
        <w:gridCol w:w="1133"/>
        <w:gridCol w:w="1133"/>
        <w:gridCol w:w="1191"/>
        <w:gridCol w:w="1134"/>
        <w:gridCol w:w="1133"/>
      </w:tblGrid>
      <w:tr w:rsidR="006B5489" w:rsidRPr="0088396C" w14:paraId="78CC511E" w14:textId="77777777" w:rsidTr="006B3C67">
        <w:trPr>
          <w:tblHeader/>
          <w:tblCellSpacing w:w="15" w:type="dxa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  <w:vAlign w:val="center"/>
          </w:tcPr>
          <w:p w14:paraId="6DADC41E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Cohort</w:t>
            </w:r>
          </w:p>
        </w:tc>
        <w:tc>
          <w:tcPr>
            <w:tcW w:w="34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49B3ED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8396C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abWMH</w:t>
            </w:r>
            <w:proofErr w:type="spellEnd"/>
          </w:p>
        </w:tc>
        <w:tc>
          <w:tcPr>
            <w:tcW w:w="34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885CD9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n</w:t>
            </w:r>
            <w:r w:rsidRPr="0088396C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WMH</w:t>
            </w:r>
            <w:proofErr w:type="spellEnd"/>
          </w:p>
        </w:tc>
        <w:tc>
          <w:tcPr>
            <w:tcW w:w="3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5EAAD5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Ventricle</w:t>
            </w:r>
          </w:p>
        </w:tc>
      </w:tr>
      <w:tr w:rsidR="006B5489" w:rsidRPr="0088396C" w14:paraId="46AC2F60" w14:textId="77777777" w:rsidTr="006B3C67">
        <w:trPr>
          <w:tblHeader/>
          <w:tblCellSpacing w:w="15" w:type="dxa"/>
          <w:jc w:val="center"/>
        </w:trPr>
        <w:tc>
          <w:tcPr>
            <w:tcW w:w="0" w:type="auto"/>
            <w:vMerge/>
          </w:tcPr>
          <w:p w14:paraId="5150DE63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</w:tcBorders>
          </w:tcPr>
          <w:p w14:paraId="26706AC9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Count</w:t>
            </w:r>
            <w:r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br/>
            </w:r>
            <w:r w:rsidRPr="0088396C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(mean ± SD)</w:t>
            </w:r>
          </w:p>
        </w:tc>
        <w:tc>
          <w:tcPr>
            <w:tcW w:w="1103" w:type="dxa"/>
          </w:tcPr>
          <w:p w14:paraId="41BD6D4C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Load </w:t>
            </w:r>
            <w:r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br/>
            </w:r>
            <w:r w:rsidRPr="0088396C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(mean ± SD)</w:t>
            </w:r>
          </w:p>
        </w:tc>
        <w:tc>
          <w:tcPr>
            <w:tcW w:w="1103" w:type="dxa"/>
          </w:tcPr>
          <w:p w14:paraId="1B16D301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Load (median)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</w:tcBorders>
          </w:tcPr>
          <w:p w14:paraId="55A99166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Count</w:t>
            </w:r>
            <w:r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br/>
            </w:r>
            <w:r w:rsidRPr="0088396C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(mean ± SD)</w:t>
            </w:r>
          </w:p>
        </w:tc>
        <w:tc>
          <w:tcPr>
            <w:tcW w:w="1103" w:type="dxa"/>
          </w:tcPr>
          <w:p w14:paraId="653BCD32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Load</w:t>
            </w:r>
            <w:r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:rtl/>
                <w14:ligatures w14:val="none"/>
              </w:rPr>
              <w:br/>
            </w:r>
            <w:r w:rsidRPr="0088396C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(mean ± SD)</w:t>
            </w:r>
          </w:p>
        </w:tc>
        <w:tc>
          <w:tcPr>
            <w:tcW w:w="1103" w:type="dxa"/>
          </w:tcPr>
          <w:p w14:paraId="423BDA85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Load (median)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</w:tcBorders>
          </w:tcPr>
          <w:p w14:paraId="0D3AF49D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Count</w:t>
            </w:r>
            <w:r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br/>
            </w:r>
            <w:r w:rsidRPr="0088396C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(mean ± SD)</w:t>
            </w:r>
          </w:p>
        </w:tc>
        <w:tc>
          <w:tcPr>
            <w:tcW w:w="1104" w:type="dxa"/>
          </w:tcPr>
          <w:p w14:paraId="29C6EBC6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Load </w:t>
            </w:r>
            <w:r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br/>
            </w:r>
            <w:r w:rsidRPr="0088396C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(mean ± SD)</w:t>
            </w:r>
          </w:p>
        </w:tc>
        <w:tc>
          <w:tcPr>
            <w:tcW w:w="1088" w:type="dxa"/>
          </w:tcPr>
          <w:p w14:paraId="4F4FE25F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Load (median)</w:t>
            </w:r>
          </w:p>
        </w:tc>
      </w:tr>
      <w:tr w:rsidR="006B5489" w:rsidRPr="0088396C" w14:paraId="46A8C037" w14:textId="77777777" w:rsidTr="006B3C67">
        <w:trPr>
          <w:tblCellSpacing w:w="15" w:type="dxa"/>
          <w:jc w:val="center"/>
        </w:trPr>
        <w:tc>
          <w:tcPr>
            <w:tcW w:w="0" w:type="auto"/>
            <w:hideMark/>
          </w:tcPr>
          <w:p w14:paraId="56A2600C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All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</w:tcBorders>
            <w:hideMark/>
          </w:tcPr>
          <w:p w14:paraId="2E4B94F6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47.62 ± 33.71</w:t>
            </w:r>
          </w:p>
        </w:tc>
        <w:tc>
          <w:tcPr>
            <w:tcW w:w="1103" w:type="dxa"/>
            <w:hideMark/>
          </w:tcPr>
          <w:p w14:paraId="249E6AB9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1135.31 ± 1125.38</w:t>
            </w:r>
          </w:p>
        </w:tc>
        <w:tc>
          <w:tcPr>
            <w:tcW w:w="1103" w:type="dxa"/>
            <w:hideMark/>
          </w:tcPr>
          <w:p w14:paraId="6C710E60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703.28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</w:tcBorders>
            <w:hideMark/>
          </w:tcPr>
          <w:p w14:paraId="48416A8B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68.28 ± 14.29</w:t>
            </w:r>
          </w:p>
        </w:tc>
        <w:tc>
          <w:tcPr>
            <w:tcW w:w="1103" w:type="dxa"/>
            <w:hideMark/>
          </w:tcPr>
          <w:p w14:paraId="10A11F1B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579.44 ± 260.69</w:t>
            </w:r>
          </w:p>
        </w:tc>
        <w:tc>
          <w:tcPr>
            <w:tcW w:w="1103" w:type="dxa"/>
            <w:hideMark/>
          </w:tcPr>
          <w:p w14:paraId="103302AA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524.27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</w:tcBorders>
            <w:hideMark/>
          </w:tcPr>
          <w:p w14:paraId="0FF9DB8C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32.69 ± 5.45</w:t>
            </w:r>
          </w:p>
        </w:tc>
        <w:tc>
          <w:tcPr>
            <w:tcW w:w="1104" w:type="dxa"/>
            <w:hideMark/>
          </w:tcPr>
          <w:p w14:paraId="7F684EA4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3551.34 ± 1471.85</w:t>
            </w:r>
          </w:p>
        </w:tc>
        <w:tc>
          <w:tcPr>
            <w:tcW w:w="1088" w:type="dxa"/>
            <w:hideMark/>
          </w:tcPr>
          <w:p w14:paraId="5F9DE00A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3279.28</w:t>
            </w:r>
          </w:p>
        </w:tc>
      </w:tr>
      <w:tr w:rsidR="006B5489" w:rsidRPr="0088396C" w14:paraId="08B4DAA3" w14:textId="77777777" w:rsidTr="006B3C67">
        <w:trPr>
          <w:tblCellSpacing w:w="15" w:type="dxa"/>
          <w:jc w:val="center"/>
        </w:trPr>
        <w:tc>
          <w:tcPr>
            <w:tcW w:w="0" w:type="auto"/>
            <w:hideMark/>
          </w:tcPr>
          <w:p w14:paraId="52E2DCFD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Female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</w:tcBorders>
            <w:hideMark/>
          </w:tcPr>
          <w:p w14:paraId="6444BC09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43.85 ± 31.71</w:t>
            </w:r>
          </w:p>
        </w:tc>
        <w:tc>
          <w:tcPr>
            <w:tcW w:w="1103" w:type="dxa"/>
            <w:hideMark/>
          </w:tcPr>
          <w:p w14:paraId="3BEE9537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1023.87 ± 1131.54</w:t>
            </w:r>
          </w:p>
        </w:tc>
        <w:tc>
          <w:tcPr>
            <w:tcW w:w="1103" w:type="dxa"/>
            <w:hideMark/>
          </w:tcPr>
          <w:p w14:paraId="4ADF20B1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628.97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</w:tcBorders>
            <w:hideMark/>
          </w:tcPr>
          <w:p w14:paraId="6CF60B9A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67.05 ± 14.83</w:t>
            </w:r>
          </w:p>
        </w:tc>
        <w:tc>
          <w:tcPr>
            <w:tcW w:w="1103" w:type="dxa"/>
            <w:hideMark/>
          </w:tcPr>
          <w:p w14:paraId="362802F7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518.88 ± 217.35</w:t>
            </w:r>
          </w:p>
        </w:tc>
        <w:tc>
          <w:tcPr>
            <w:tcW w:w="1103" w:type="dxa"/>
            <w:hideMark/>
          </w:tcPr>
          <w:p w14:paraId="3806867D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483.57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</w:tcBorders>
            <w:hideMark/>
          </w:tcPr>
          <w:p w14:paraId="6D622B32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32.23 ± 5.42</w:t>
            </w:r>
          </w:p>
        </w:tc>
        <w:tc>
          <w:tcPr>
            <w:tcW w:w="1104" w:type="dxa"/>
            <w:hideMark/>
          </w:tcPr>
          <w:p w14:paraId="6A20096F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3352.32 ± 1254.89</w:t>
            </w:r>
          </w:p>
        </w:tc>
        <w:tc>
          <w:tcPr>
            <w:tcW w:w="1088" w:type="dxa"/>
            <w:hideMark/>
          </w:tcPr>
          <w:p w14:paraId="6A16D34B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3140.37</w:t>
            </w:r>
          </w:p>
        </w:tc>
      </w:tr>
      <w:tr w:rsidR="006B5489" w:rsidRPr="0088396C" w14:paraId="4FF18155" w14:textId="77777777" w:rsidTr="006B3C67">
        <w:trPr>
          <w:tblCellSpacing w:w="15" w:type="dxa"/>
          <w:jc w:val="center"/>
        </w:trPr>
        <w:tc>
          <w:tcPr>
            <w:tcW w:w="0" w:type="auto"/>
            <w:hideMark/>
          </w:tcPr>
          <w:p w14:paraId="1D345265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Male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</w:tcBorders>
            <w:hideMark/>
          </w:tcPr>
          <w:p w14:paraId="7B49A27D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58.35 ± 37.45</w:t>
            </w:r>
          </w:p>
        </w:tc>
        <w:tc>
          <w:tcPr>
            <w:tcW w:w="1103" w:type="dxa"/>
            <w:hideMark/>
          </w:tcPr>
          <w:p w14:paraId="52EB7F48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1452.47 ± 1065.46</w:t>
            </w:r>
          </w:p>
        </w:tc>
        <w:tc>
          <w:tcPr>
            <w:tcW w:w="1103" w:type="dxa"/>
            <w:hideMark/>
          </w:tcPr>
          <w:p w14:paraId="2F7EE053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1019.18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</w:tcBorders>
            <w:hideMark/>
          </w:tcPr>
          <w:p w14:paraId="31708A99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71.77 ± 12.21</w:t>
            </w:r>
          </w:p>
        </w:tc>
        <w:tc>
          <w:tcPr>
            <w:tcW w:w="1103" w:type="dxa"/>
            <w:hideMark/>
          </w:tcPr>
          <w:p w14:paraId="4581DD22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751.79 ± 299.05</w:t>
            </w:r>
          </w:p>
        </w:tc>
        <w:tc>
          <w:tcPr>
            <w:tcW w:w="1103" w:type="dxa"/>
            <w:hideMark/>
          </w:tcPr>
          <w:p w14:paraId="220D3B1E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663.39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</w:tcBorders>
            <w:hideMark/>
          </w:tcPr>
          <w:p w14:paraId="70A1B899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34.00 ± 5.40</w:t>
            </w:r>
          </w:p>
        </w:tc>
        <w:tc>
          <w:tcPr>
            <w:tcW w:w="1104" w:type="dxa"/>
            <w:hideMark/>
          </w:tcPr>
          <w:p w14:paraId="0733C976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4117.76 ± 1878.70</w:t>
            </w:r>
          </w:p>
        </w:tc>
        <w:tc>
          <w:tcPr>
            <w:tcW w:w="1088" w:type="dxa"/>
            <w:hideMark/>
          </w:tcPr>
          <w:p w14:paraId="68C45B5A" w14:textId="77777777" w:rsidR="006B5489" w:rsidRPr="0088396C" w:rsidRDefault="006B548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88396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3671.53</w:t>
            </w:r>
          </w:p>
        </w:tc>
      </w:tr>
    </w:tbl>
    <w:p w14:paraId="7EFB7A75" w14:textId="77777777" w:rsidR="006B5489" w:rsidRPr="007C4DE8" w:rsidRDefault="006B5489" w:rsidP="006B5489">
      <w:pPr>
        <w:spacing w:before="100" w:beforeAutospacing="1" w:after="100" w:afterAutospacing="1" w:line="480" w:lineRule="auto"/>
        <w:jc w:val="both"/>
        <w:rPr>
          <w:rFonts w:asciiTheme="majorBidi" w:eastAsia="Times New Roman" w:hAnsiTheme="majorBidi" w:cstheme="majorBidi"/>
          <w:kern w:val="0"/>
          <w14:ligatures w14:val="none"/>
        </w:rPr>
      </w:pPr>
      <w:r w:rsidRPr="00AA70BB">
        <w:rPr>
          <w:rFonts w:asciiTheme="majorBidi" w:eastAsia="Times New Roman" w:hAnsiTheme="majorBidi" w:cstheme="majorBidi"/>
          <w:i/>
          <w:iCs/>
          <w:kern w:val="0"/>
          <w14:ligatures w14:val="none"/>
        </w:rPr>
        <w:t xml:space="preserve">Note: </w:t>
      </w:r>
      <w:proofErr w:type="spellStart"/>
      <w:r w:rsidRPr="00AA70BB">
        <w:rPr>
          <w:rFonts w:asciiTheme="majorBidi" w:eastAsia="Times New Roman" w:hAnsiTheme="majorBidi" w:cstheme="majorBidi"/>
          <w:i/>
          <w:iCs/>
          <w:kern w:val="0"/>
          <w14:ligatures w14:val="none"/>
        </w:rPr>
        <w:t>abWMH</w:t>
      </w:r>
      <w:proofErr w:type="spellEnd"/>
      <w:r w:rsidRPr="00AA70BB">
        <w:rPr>
          <w:rFonts w:asciiTheme="majorBidi" w:eastAsia="Times New Roman" w:hAnsiTheme="majorBidi" w:cstheme="majorBidi"/>
          <w:i/>
          <w:iCs/>
          <w:kern w:val="0"/>
          <w14:ligatures w14:val="none"/>
        </w:rPr>
        <w:t xml:space="preserve"> = abnormal white matter hyperintensities (MS lesions); </w:t>
      </w:r>
      <w:proofErr w:type="spellStart"/>
      <w:r w:rsidRPr="00AA70BB">
        <w:rPr>
          <w:rFonts w:asciiTheme="majorBidi" w:eastAsia="Times New Roman" w:hAnsiTheme="majorBidi" w:cstheme="majorBidi"/>
          <w:i/>
          <w:iCs/>
          <w:kern w:val="0"/>
          <w14:ligatures w14:val="none"/>
        </w:rPr>
        <w:t>nWMH</w:t>
      </w:r>
      <w:proofErr w:type="spellEnd"/>
      <w:r w:rsidRPr="00AA70BB">
        <w:rPr>
          <w:rFonts w:asciiTheme="majorBidi" w:eastAsia="Times New Roman" w:hAnsiTheme="majorBidi" w:cstheme="majorBidi"/>
          <w:i/>
          <w:iCs/>
          <w:kern w:val="0"/>
          <w14:ligatures w14:val="none"/>
        </w:rPr>
        <w:t xml:space="preserve"> = normal white matter hyperintensities; Count = number of connected components; Load = total area in mm².</w:t>
      </w:r>
    </w:p>
    <w:p w14:paraId="64184051" w14:textId="77777777" w:rsidR="00C74206" w:rsidRDefault="00C74206"/>
    <w:sectPr w:rsidR="00C74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489"/>
    <w:rsid w:val="00486A3D"/>
    <w:rsid w:val="006B5489"/>
    <w:rsid w:val="008D0C65"/>
    <w:rsid w:val="00A60329"/>
    <w:rsid w:val="00A76841"/>
    <w:rsid w:val="00B13CE5"/>
    <w:rsid w:val="00C7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467E6"/>
  <w15:chartTrackingRefBased/>
  <w15:docId w15:val="{5E17AD6B-5E59-4845-8FE4-5AA3F0B5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48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548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48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48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48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48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48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48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48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48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48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489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B5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489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6B5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4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1</cp:revision>
  <dcterms:created xsi:type="dcterms:W3CDTF">2025-10-11T11:49:00Z</dcterms:created>
  <dcterms:modified xsi:type="dcterms:W3CDTF">2025-10-11T11:49:00Z</dcterms:modified>
</cp:coreProperties>
</file>