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0F10" w14:textId="77777777" w:rsidR="0063430A" w:rsidRPr="00DA0AA1" w:rsidRDefault="0063430A" w:rsidP="0063430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A0A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DA0A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DA0AA1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performance of six architectural variants for simultaneous ventricle and WMH segmentation evaluated on independent test set (n=60 patients) using 5-fold cross-validation. Metrics represent mean±SD across 5 folds. Bold indicates best performance per metric.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951"/>
        <w:gridCol w:w="3404"/>
        <w:gridCol w:w="1003"/>
        <w:gridCol w:w="1003"/>
        <w:gridCol w:w="1002"/>
        <w:gridCol w:w="1146"/>
        <w:gridCol w:w="1003"/>
      </w:tblGrid>
      <w:tr w:rsidR="0063430A" w:rsidRPr="00DA0AA1" w14:paraId="6A6A5FF3" w14:textId="77777777" w:rsidTr="00B153B7">
        <w:tc>
          <w:tcPr>
            <w:tcW w:w="876" w:type="dxa"/>
            <w:vAlign w:val="center"/>
          </w:tcPr>
          <w:p w14:paraId="1356AFE2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Variant</w:t>
            </w:r>
          </w:p>
        </w:tc>
        <w:tc>
          <w:tcPr>
            <w:tcW w:w="3456" w:type="dxa"/>
            <w:vAlign w:val="center"/>
          </w:tcPr>
          <w:p w14:paraId="7FA6271F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Architecture</w:t>
            </w:r>
          </w:p>
        </w:tc>
        <w:tc>
          <w:tcPr>
            <w:tcW w:w="1008" w:type="dxa"/>
            <w:vAlign w:val="center"/>
          </w:tcPr>
          <w:p w14:paraId="2437CF0B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0AA1">
              <w:rPr>
                <w:rFonts w:asciiTheme="majorBidi" w:hAnsiTheme="majorBidi" w:cstheme="majorBidi"/>
                <w:b/>
                <w:bCs/>
              </w:rPr>
              <w:t>mean DSC</w:t>
            </w:r>
          </w:p>
        </w:tc>
        <w:tc>
          <w:tcPr>
            <w:tcW w:w="1008" w:type="dxa"/>
            <w:vAlign w:val="center"/>
          </w:tcPr>
          <w:p w14:paraId="0C0E995D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0AA1">
              <w:rPr>
                <w:rFonts w:asciiTheme="majorBidi" w:hAnsiTheme="majorBidi" w:cstheme="majorBidi"/>
                <w:b/>
                <w:bCs/>
              </w:rPr>
              <w:t>mean IoU</w:t>
            </w:r>
          </w:p>
        </w:tc>
        <w:tc>
          <w:tcPr>
            <w:tcW w:w="1008" w:type="dxa"/>
            <w:vAlign w:val="center"/>
          </w:tcPr>
          <w:p w14:paraId="271E3963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0AA1">
              <w:rPr>
                <w:rFonts w:asciiTheme="majorBidi" w:hAnsiTheme="majorBidi" w:cstheme="majorBidi"/>
                <w:b/>
                <w:bCs/>
              </w:rPr>
              <w:t>mean HD95</w:t>
            </w:r>
          </w:p>
        </w:tc>
        <w:tc>
          <w:tcPr>
            <w:tcW w:w="1148" w:type="dxa"/>
            <w:vAlign w:val="center"/>
          </w:tcPr>
          <w:p w14:paraId="4D8C5212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A0AA1">
              <w:rPr>
                <w:rFonts w:asciiTheme="majorBidi" w:hAnsiTheme="majorBidi" w:cstheme="majorBidi"/>
                <w:b/>
                <w:bCs/>
              </w:rPr>
              <w:t>mean Precision</w:t>
            </w:r>
          </w:p>
        </w:tc>
        <w:tc>
          <w:tcPr>
            <w:tcW w:w="1008" w:type="dxa"/>
            <w:vAlign w:val="center"/>
          </w:tcPr>
          <w:p w14:paraId="1B3564D8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hAnsiTheme="majorBidi" w:cstheme="majorBidi"/>
                <w:b/>
                <w:bCs/>
              </w:rPr>
            </w:pPr>
            <w:r w:rsidRPr="00DA0AA1">
              <w:rPr>
                <w:rFonts w:asciiTheme="majorBidi" w:hAnsiTheme="majorBidi" w:cstheme="majorBidi"/>
                <w:b/>
                <w:bCs/>
              </w:rPr>
              <w:t>mean Recall</w:t>
            </w:r>
          </w:p>
        </w:tc>
      </w:tr>
      <w:tr w:rsidR="0063430A" w:rsidRPr="00DA0AA1" w14:paraId="431341CB" w14:textId="77777777" w:rsidTr="00B153B7">
        <w:tc>
          <w:tcPr>
            <w:tcW w:w="876" w:type="dxa"/>
            <w:vAlign w:val="center"/>
          </w:tcPr>
          <w:p w14:paraId="0DEFD0EF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V0</w:t>
            </w:r>
          </w:p>
        </w:tc>
        <w:tc>
          <w:tcPr>
            <w:tcW w:w="3456" w:type="dxa"/>
            <w:vAlign w:val="center"/>
          </w:tcPr>
          <w:p w14:paraId="442F2AA1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Baseline U-Net</w:t>
            </w:r>
          </w:p>
        </w:tc>
        <w:tc>
          <w:tcPr>
            <w:tcW w:w="1008" w:type="dxa"/>
            <w:vAlign w:val="center"/>
          </w:tcPr>
          <w:p w14:paraId="6083391B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0.714 ±0.018</w:t>
            </w:r>
          </w:p>
        </w:tc>
        <w:tc>
          <w:tcPr>
            <w:tcW w:w="1008" w:type="dxa"/>
            <w:vAlign w:val="center"/>
          </w:tcPr>
          <w:p w14:paraId="253299C0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0.601 ±0.020</w:t>
            </w:r>
          </w:p>
        </w:tc>
        <w:tc>
          <w:tcPr>
            <w:tcW w:w="1008" w:type="dxa"/>
            <w:vAlign w:val="center"/>
          </w:tcPr>
          <w:p w14:paraId="21412588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6.50 ±0.46</w:t>
            </w:r>
          </w:p>
        </w:tc>
        <w:tc>
          <w:tcPr>
            <w:tcW w:w="1148" w:type="dxa"/>
            <w:vAlign w:val="center"/>
          </w:tcPr>
          <w:p w14:paraId="5B499085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0.616 ±0.020</w:t>
            </w:r>
          </w:p>
        </w:tc>
        <w:tc>
          <w:tcPr>
            <w:tcW w:w="1008" w:type="dxa"/>
            <w:vAlign w:val="center"/>
          </w:tcPr>
          <w:p w14:paraId="303A2E69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0.937</w:t>
            </w: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±0.002</w:t>
            </w:r>
          </w:p>
        </w:tc>
      </w:tr>
      <w:tr w:rsidR="0063430A" w:rsidRPr="00DA0AA1" w14:paraId="628C1967" w14:textId="77777777" w:rsidTr="00B153B7">
        <w:tc>
          <w:tcPr>
            <w:tcW w:w="876" w:type="dxa"/>
            <w:vAlign w:val="center"/>
          </w:tcPr>
          <w:p w14:paraId="54CFE5CE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V1</w:t>
            </w:r>
          </w:p>
        </w:tc>
        <w:tc>
          <w:tcPr>
            <w:tcW w:w="3456" w:type="dxa"/>
            <w:vAlign w:val="center"/>
          </w:tcPr>
          <w:p w14:paraId="46B0009A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Baseline Pix2Pix with WCE</w:t>
            </w:r>
          </w:p>
        </w:tc>
        <w:tc>
          <w:tcPr>
            <w:tcW w:w="1008" w:type="dxa"/>
            <w:vAlign w:val="center"/>
          </w:tcPr>
          <w:p w14:paraId="6913FBF2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0.823 ±0.011</w:t>
            </w:r>
          </w:p>
        </w:tc>
        <w:tc>
          <w:tcPr>
            <w:tcW w:w="1008" w:type="dxa"/>
            <w:vAlign w:val="center"/>
          </w:tcPr>
          <w:p w14:paraId="3EB55140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0.721 ±0.014</w:t>
            </w:r>
          </w:p>
        </w:tc>
        <w:tc>
          <w:tcPr>
            <w:tcW w:w="1008" w:type="dxa"/>
            <w:vAlign w:val="center"/>
          </w:tcPr>
          <w:p w14:paraId="4CFAD206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5.31 ±0.20</w:t>
            </w:r>
          </w:p>
        </w:tc>
        <w:tc>
          <w:tcPr>
            <w:tcW w:w="1148" w:type="dxa"/>
            <w:vAlign w:val="center"/>
          </w:tcPr>
          <w:p w14:paraId="4D581ED9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0.805 ±0.005</w:t>
            </w:r>
          </w:p>
        </w:tc>
        <w:tc>
          <w:tcPr>
            <w:tcW w:w="1008" w:type="dxa"/>
            <w:vAlign w:val="center"/>
          </w:tcPr>
          <w:p w14:paraId="48A44F89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0.848 ±0.010</w:t>
            </w:r>
          </w:p>
        </w:tc>
      </w:tr>
      <w:tr w:rsidR="0063430A" w:rsidRPr="00DA0AA1" w14:paraId="3EFCCD98" w14:textId="77777777" w:rsidTr="00B153B7">
        <w:tc>
          <w:tcPr>
            <w:tcW w:w="876" w:type="dxa"/>
            <w:vAlign w:val="center"/>
          </w:tcPr>
          <w:p w14:paraId="33B76E11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V2</w:t>
            </w:r>
          </w:p>
        </w:tc>
        <w:tc>
          <w:tcPr>
            <w:tcW w:w="3456" w:type="dxa"/>
            <w:vAlign w:val="center"/>
          </w:tcPr>
          <w:p w14:paraId="1F06605D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Baseline Pix2Pix with UFL</w:t>
            </w:r>
          </w:p>
        </w:tc>
        <w:tc>
          <w:tcPr>
            <w:tcW w:w="1008" w:type="dxa"/>
            <w:vAlign w:val="center"/>
          </w:tcPr>
          <w:p w14:paraId="52AB8FA0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0.817 ±0.010</w:t>
            </w:r>
          </w:p>
        </w:tc>
        <w:tc>
          <w:tcPr>
            <w:tcW w:w="1008" w:type="dxa"/>
            <w:vAlign w:val="center"/>
          </w:tcPr>
          <w:p w14:paraId="1AB1BDAD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0.714 ±0.012</w:t>
            </w:r>
          </w:p>
        </w:tc>
        <w:tc>
          <w:tcPr>
            <w:tcW w:w="1008" w:type="dxa"/>
            <w:vAlign w:val="center"/>
          </w:tcPr>
          <w:p w14:paraId="2FC65371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5.50 ±0.35</w:t>
            </w:r>
          </w:p>
        </w:tc>
        <w:tc>
          <w:tcPr>
            <w:tcW w:w="1148" w:type="dxa"/>
            <w:vAlign w:val="center"/>
          </w:tcPr>
          <w:p w14:paraId="667BD55D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0.791 ±0.021</w:t>
            </w:r>
          </w:p>
        </w:tc>
        <w:tc>
          <w:tcPr>
            <w:tcW w:w="1008" w:type="dxa"/>
            <w:vAlign w:val="center"/>
          </w:tcPr>
          <w:p w14:paraId="37B53D48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0.850 ±0.019</w:t>
            </w:r>
          </w:p>
        </w:tc>
      </w:tr>
      <w:tr w:rsidR="0063430A" w:rsidRPr="00DA0AA1" w14:paraId="1D19DAF6" w14:textId="77777777" w:rsidTr="00B153B7">
        <w:tc>
          <w:tcPr>
            <w:tcW w:w="876" w:type="dxa"/>
            <w:vAlign w:val="center"/>
          </w:tcPr>
          <w:p w14:paraId="03682347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V3</w:t>
            </w:r>
          </w:p>
        </w:tc>
        <w:tc>
          <w:tcPr>
            <w:tcW w:w="3456" w:type="dxa"/>
            <w:vAlign w:val="center"/>
          </w:tcPr>
          <w:p w14:paraId="4D1E1337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Pix2Pix + Attention Discriminator + WCE</w:t>
            </w:r>
          </w:p>
        </w:tc>
        <w:tc>
          <w:tcPr>
            <w:tcW w:w="1008" w:type="dxa"/>
            <w:vAlign w:val="center"/>
          </w:tcPr>
          <w:p w14:paraId="15D3F635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0.824 ±0.008</w:t>
            </w:r>
          </w:p>
        </w:tc>
        <w:tc>
          <w:tcPr>
            <w:tcW w:w="1008" w:type="dxa"/>
            <w:vAlign w:val="center"/>
          </w:tcPr>
          <w:p w14:paraId="7F98FED4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0.723 ±0.011</w:t>
            </w:r>
          </w:p>
        </w:tc>
        <w:tc>
          <w:tcPr>
            <w:tcW w:w="1008" w:type="dxa"/>
            <w:vAlign w:val="center"/>
          </w:tcPr>
          <w:p w14:paraId="2B751855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5.23 ±0.31</w:t>
            </w:r>
          </w:p>
        </w:tc>
        <w:tc>
          <w:tcPr>
            <w:tcW w:w="1148" w:type="dxa"/>
            <w:vAlign w:val="center"/>
          </w:tcPr>
          <w:p w14:paraId="46333E89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0.807 ±0.014</w:t>
            </w:r>
          </w:p>
        </w:tc>
        <w:tc>
          <w:tcPr>
            <w:tcW w:w="1008" w:type="dxa"/>
            <w:vAlign w:val="center"/>
          </w:tcPr>
          <w:p w14:paraId="36F2D673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0.843 ±0.009</w:t>
            </w:r>
          </w:p>
        </w:tc>
      </w:tr>
      <w:tr w:rsidR="0063430A" w:rsidRPr="00DA0AA1" w14:paraId="1A98B197" w14:textId="77777777" w:rsidTr="00B153B7">
        <w:tc>
          <w:tcPr>
            <w:tcW w:w="876" w:type="dxa"/>
            <w:vAlign w:val="center"/>
          </w:tcPr>
          <w:p w14:paraId="03F1D966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V4</w:t>
            </w:r>
          </w:p>
        </w:tc>
        <w:tc>
          <w:tcPr>
            <w:tcW w:w="3456" w:type="dxa"/>
            <w:vAlign w:val="center"/>
          </w:tcPr>
          <w:p w14:paraId="702DE336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Pix2Pix + Adaptive Hybrid Loss</w:t>
            </w:r>
          </w:p>
        </w:tc>
        <w:tc>
          <w:tcPr>
            <w:tcW w:w="1008" w:type="dxa"/>
            <w:vAlign w:val="center"/>
          </w:tcPr>
          <w:p w14:paraId="2B72818F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0.844 ±0.002</w:t>
            </w:r>
          </w:p>
        </w:tc>
        <w:tc>
          <w:tcPr>
            <w:tcW w:w="1008" w:type="dxa"/>
            <w:vAlign w:val="center"/>
          </w:tcPr>
          <w:p w14:paraId="62E11700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0.750 ±0.003</w:t>
            </w:r>
          </w:p>
        </w:tc>
        <w:tc>
          <w:tcPr>
            <w:tcW w:w="1008" w:type="dxa"/>
            <w:vAlign w:val="center"/>
          </w:tcPr>
          <w:p w14:paraId="703C42D9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4.81</w:t>
            </w: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±0.05</w:t>
            </w:r>
          </w:p>
        </w:tc>
        <w:tc>
          <w:tcPr>
            <w:tcW w:w="1148" w:type="dxa"/>
            <w:vAlign w:val="center"/>
          </w:tcPr>
          <w:p w14:paraId="52DD7598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0.845 ±0.009</w:t>
            </w:r>
          </w:p>
        </w:tc>
        <w:tc>
          <w:tcPr>
            <w:tcW w:w="1008" w:type="dxa"/>
            <w:vAlign w:val="center"/>
          </w:tcPr>
          <w:p w14:paraId="14F51E50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0.843 ±0.010</w:t>
            </w:r>
          </w:p>
        </w:tc>
      </w:tr>
      <w:tr w:rsidR="0063430A" w:rsidRPr="00C71F2B" w14:paraId="5ECC740A" w14:textId="77777777" w:rsidTr="00B153B7">
        <w:tc>
          <w:tcPr>
            <w:tcW w:w="876" w:type="dxa"/>
            <w:vAlign w:val="center"/>
          </w:tcPr>
          <w:p w14:paraId="6EE1AF1E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V5</w:t>
            </w:r>
          </w:p>
        </w:tc>
        <w:tc>
          <w:tcPr>
            <w:tcW w:w="3456" w:type="dxa"/>
            <w:vAlign w:val="center"/>
          </w:tcPr>
          <w:p w14:paraId="6307F3C1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Pix2Pix + Attention Discriminator + Adaptive Hybrid Loss</w:t>
            </w:r>
          </w:p>
        </w:tc>
        <w:tc>
          <w:tcPr>
            <w:tcW w:w="1008" w:type="dxa"/>
            <w:vAlign w:val="center"/>
          </w:tcPr>
          <w:p w14:paraId="431F15A5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0.852</w:t>
            </w: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±0.004</w:t>
            </w:r>
          </w:p>
        </w:tc>
        <w:tc>
          <w:tcPr>
            <w:tcW w:w="1008" w:type="dxa"/>
            <w:vAlign w:val="center"/>
          </w:tcPr>
          <w:p w14:paraId="1A8E2F50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0.760</w:t>
            </w: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±0.006</w:t>
            </w:r>
          </w:p>
        </w:tc>
        <w:tc>
          <w:tcPr>
            <w:tcW w:w="1008" w:type="dxa"/>
            <w:vAlign w:val="center"/>
          </w:tcPr>
          <w:p w14:paraId="5BB9D7C4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4.87 ±0.13</w:t>
            </w:r>
          </w:p>
        </w:tc>
        <w:tc>
          <w:tcPr>
            <w:tcW w:w="1148" w:type="dxa"/>
            <w:vAlign w:val="center"/>
          </w:tcPr>
          <w:p w14:paraId="039773E4" w14:textId="77777777" w:rsidR="0063430A" w:rsidRPr="00DA0AA1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0.856</w:t>
            </w: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±0.006</w:t>
            </w:r>
          </w:p>
        </w:tc>
        <w:tc>
          <w:tcPr>
            <w:tcW w:w="1008" w:type="dxa"/>
            <w:vAlign w:val="center"/>
          </w:tcPr>
          <w:p w14:paraId="6445A4B4" w14:textId="77777777" w:rsidR="0063430A" w:rsidRPr="00C71F2B" w:rsidRDefault="0063430A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A0AA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0.850 ±0.006</w:t>
            </w:r>
          </w:p>
        </w:tc>
      </w:tr>
    </w:tbl>
    <w:p w14:paraId="3269C06C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0A"/>
    <w:rsid w:val="0063430A"/>
    <w:rsid w:val="00B37995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97A6"/>
  <w15:chartTrackingRefBased/>
  <w15:docId w15:val="{BA5D79EB-DDFB-4494-9D5D-083B3F3E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30A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3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63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0A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63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0A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343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0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3430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2026-02-19T02:23:00Z</dcterms:created>
  <dcterms:modified xsi:type="dcterms:W3CDTF">2026-02-19T02:23:00Z</dcterms:modified>
</cp:coreProperties>
</file>