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4"/>
          <w:szCs w:val="34"/>
        </w:rPr>
        <w:t xml:space="preserve">Integrated aggregate-exposure equation for metals in water, diet and air</w:t>
      </w:r>
    </w:p>
    <w:p>
      <w:pPr>
        <w:spacing w:after="120" w:line="300"/>
        <w:jc w:val="left"/>
      </w:pPr>
      <w:r>
        <w:rPr>
          <w:rFonts w:ascii="Times New Roman" w:cs="Times New Roman" w:eastAsia="Times New Roman" w:hAnsi="Times New Roman"/>
          <w:i/>
          <w:iCs/>
          <w:sz w:val="24"/>
          <w:szCs w:val="24"/>
        </w:rPr>
        <w:t xml:space="preserve">Method specification and worked example for the applied multi-route study</w:t>
      </w:r>
    </w:p>
    <w:p>
      <w:pPr>
        <w:spacing w:after="120" w:line="300"/>
        <w:jc w:val="both"/>
      </w:pPr>
      <w:r>
        <w:rPr>
          <w:rFonts w:ascii="Times New Roman" w:cs="Times New Roman" w:eastAsia="Times New Roman" w:hAnsi="Times New Roman"/>
        </w:rPr>
        <w:t xml:space="preserve">Companion to the revised review manuscript. Equations, parameters and toxicity values are identical to Section 4 and Table 3 of the manuscript; this document adds the step-by-step workflow, the data specification and the reporting checklist needed to apply them to new data.</w:t>
      </w:r>
    </w:p>
    <w:p>
      <w:pPr>
        <w:pStyle w:val="Heading1"/>
        <w:keepNext/>
        <w:spacing w:after="120" w:before="300"/>
      </w:pPr>
      <w:r>
        <w:rPr>
          <w:rFonts w:ascii="Times New Roman" w:cs="Times New Roman" w:eastAsia="Times New Roman" w:hAnsi="Times New Roman"/>
          <w:color w:val="2E74B5"/>
          <w:sz w:val="32"/>
          <w:szCs w:val="32"/>
        </w:rPr>
        <w:t xml:space="preserve">1. The equation in one line</w:t>
      </w:r>
    </w:p>
    <w:p>
      <w:pPr>
        <w:spacing w:after="120" w:line="300"/>
        <w:jc w:val="both"/>
      </w:pPr>
      <w:r>
        <w:rPr>
          <w:rFonts w:ascii="Times New Roman" w:cs="Times New Roman" w:eastAsia="Times New Roman" w:hAnsi="Times New Roman"/>
        </w:rPr>
        <w:t xml:space="preserve">For each metal </w:t>
      </w:r>
      <w:r>
        <w:rPr>
          <w:rFonts w:ascii="Times New Roman" w:cs="Times New Roman" w:eastAsia="Times New Roman" w:hAnsi="Times New Roman"/>
          <w:i/>
          <w:iCs/>
        </w:rPr>
        <w:t xml:space="preserve">j</w:t>
      </w:r>
      <w:r>
        <w:rPr>
          <w:rFonts w:ascii="Times New Roman" w:cs="Times New Roman" w:eastAsia="Times New Roman" w:hAnsi="Times New Roman"/>
        </w:rPr>
        <w:t xml:space="preserve"> in one population, the aggregate hazard index is the sum of route-specific hazard quotients after every medium has been converted to a dose on a common scale:</w:t>
      </w:r>
    </w:p>
    <w:p>
      <w:pPr>
        <w:spacing w:after="120" w:line="300"/>
        <w:jc w:val="center"/>
      </w:pPr>
      <w:r>
        <w:rPr>
          <w:rFonts w:ascii="Times New Roman" w:cs="Times New Roman" w:eastAsia="Times New Roman" w:hAnsi="Times New Roman"/>
          <w:i/>
          <w:iCs/>
          <w:sz w:val="22"/>
          <w:szCs w:val="22"/>
        </w:rPr>
        <w:t xml:space="preserve">HI</w:t>
      </w:r>
      <w:r>
        <w:rPr>
          <w:rFonts w:ascii="Times New Roman" w:cs="Times New Roman" w:eastAsia="Times New Roman" w:hAnsi="Times New Roman"/>
          <w:sz w:val="22"/>
          <w:szCs w:val="22"/>
          <w:vertAlign w:val="subscript"/>
        </w:rPr>
        <w:t xml:space="preserve">agg,j</w:t>
      </w:r>
      <w:r>
        <w:rPr>
          <w:rFonts w:ascii="Times New Roman" w:cs="Times New Roman" w:eastAsia="Times New Roman" w:hAnsi="Times New Roman"/>
          <w:sz w:val="22"/>
          <w:szCs w:val="22"/>
        </w:rPr>
        <w:t xml:space="preserve"> = (EF·ED/AT) × [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IR</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 (BW·</w:t>
      </w:r>
      <w:r>
        <w:rPr>
          <w:rFonts w:ascii="Times New Roman" w:cs="Times New Roman" w:eastAsia="Times New Roman" w:hAnsi="Times New Roman"/>
          <w:i/>
          <w:iCs/>
          <w:sz w:val="22"/>
          <w:szCs w:val="22"/>
        </w:rPr>
        <w:t xml:space="preserve">RfD</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RBA</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IR</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(BW·</w:t>
      </w:r>
      <w:r>
        <w:rPr>
          <w:rFonts w:ascii="Times New Roman" w:cs="Times New Roman" w:eastAsia="Times New Roman" w:hAnsi="Times New Roman"/>
          <w:i/>
          <w:iCs/>
          <w:sz w:val="22"/>
          <w:szCs w:val="22"/>
        </w:rPr>
        <w:t xml:space="preserve">RfD</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ET·</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RfC</w:t>
      </w:r>
      <w:r>
        <w:rPr>
          <w:rFonts w:ascii="Times New Roman" w:cs="Times New Roman" w:eastAsia="Times New Roman" w:hAnsi="Times New Roman"/>
          <w:sz w:val="22"/>
          <w:szCs w:val="22"/>
        </w:rPr>
        <w:t xml:space="preserve"> ]</w:t>
      </w:r>
    </w:p>
    <w:p>
      <w:pPr>
        <w:spacing w:after="120" w:line="300"/>
        <w:jc w:val="both"/>
      </w:pPr>
      <w:r>
        <w:rPr>
          <w:rFonts w:ascii="Times New Roman" w:cs="Times New Roman" w:eastAsia="Times New Roman" w:hAnsi="Times New Roman"/>
        </w:rPr>
        <w:t xml:space="preserve">with the margin of exposure replacing the hazard index for lead and inorganic arsenic, the incremental lifetime cancer risk added across routes for carcinogens, and the share of each medium, </w:t>
      </w: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m</w:t>
      </w:r>
      <w:r>
        <w:rPr>
          <w:rFonts w:ascii="Times New Roman" w:cs="Times New Roman" w:eastAsia="Times New Roman" w:hAnsi="Times New Roman"/>
        </w:rPr>
        <w:t xml:space="preserve"> = </w:t>
      </w:r>
      <w:r>
        <w:rPr>
          <w:rFonts w:ascii="Times New Roman" w:cs="Times New Roman" w:eastAsia="Times New Roman" w:hAnsi="Times New Roman"/>
          <w:i/>
          <w:iCs/>
        </w:rPr>
        <w:t xml:space="preserve">HQ</w:t>
      </w:r>
      <w:r>
        <w:rPr>
          <w:rFonts w:ascii="Times New Roman" w:cs="Times New Roman" w:eastAsia="Times New Roman" w:hAnsi="Times New Roman"/>
          <w:vertAlign w:val="subscript"/>
        </w:rPr>
        <w:t xml:space="preserve">m</w:t>
      </w:r>
      <w:r>
        <w:rPr>
          <w:rFonts w:ascii="Times New Roman" w:cs="Times New Roman" w:eastAsia="Times New Roman" w:hAnsi="Times New Roman"/>
        </w:rPr>
        <w:t xml:space="preserve">/</w:t>
      </w:r>
      <w:r>
        <w:rPr>
          <w:rFonts w:ascii="Times New Roman" w:cs="Times New Roman" w:eastAsia="Times New Roman" w:hAnsi="Times New Roman"/>
          <w:i/>
          <w:iCs/>
        </w:rPr>
        <w:t xml:space="preserve">HI</w:t>
      </w:r>
      <w:r>
        <w:rPr>
          <w:rFonts w:ascii="Times New Roman" w:cs="Times New Roman" w:eastAsia="Times New Roman" w:hAnsi="Times New Roman"/>
          <w:vertAlign w:val="subscript"/>
        </w:rPr>
        <w:t xml:space="preserve">agg</w:t>
      </w:r>
      <w:r>
        <w:rPr>
          <w:rFonts w:ascii="Times New Roman" w:cs="Times New Roman" w:eastAsia="Times New Roman" w:hAnsi="Times New Roman"/>
        </w:rPr>
        <w:t xml:space="preserve">, reported as the empirical source contribution. The full set of equations follows.</w:t>
      </w:r>
    </w:p>
    <w:p>
      <w:pPr>
        <w:pStyle w:val="Heading1"/>
        <w:keepNext/>
        <w:spacing w:after="120" w:before="300"/>
      </w:pPr>
      <w:r>
        <w:rPr>
          <w:rFonts w:ascii="Times New Roman" w:cs="Times New Roman" w:eastAsia="Times New Roman" w:hAnsi="Times New Roman"/>
          <w:color w:val="2E74B5"/>
          <w:sz w:val="32"/>
          <w:szCs w:val="32"/>
        </w:rPr>
        <w:t xml:space="preserve">2. An integrated aggregate-exposure equation for metals</w:t>
      </w:r>
    </w:p>
    <w:p>
      <w:pPr>
        <w:spacing w:after="120" w:line="300"/>
        <w:jc w:val="both"/>
      </w:pPr>
      <w:r>
        <w:rPr>
          <w:rFonts w:ascii="Times New Roman" w:cs="Times New Roman" w:eastAsia="Times New Roman" w:hAnsi="Times New Roman"/>
        </w:rPr>
        <w:t xml:space="preserve">The companion review found that a pooled concentration from heterogeneous single-medium studies cannot stand in for the exposure of any real population, and that none of the reviewed studies combined the media it measured into one intake. What the literature can supply is the structure of the calculation. This section assembles that structure from the WHO drinking-water allocation procedure [1], US EPA risk-assessment guidance for oral, inhalation and probabilistic assessment [2–4], the EPA relative-source-contribution methodology [5] and the REACH route-summation approach [6] into a single per-metal equation that adds water, diet and air on a common scale. It is a framework derived from guidance, not an empirical model fitted to the reviewed data, and it is intended to be applied to co-located measurements in one population.</w:t>
      </w:r>
    </w:p>
    <w:p>
      <w:pPr>
        <w:pStyle w:val="Heading2"/>
        <w:keepNext/>
        <w:spacing w:after="120" w:before="200"/>
      </w:pPr>
      <w:r>
        <w:rPr>
          <w:rFonts w:ascii="Times New Roman" w:cs="Times New Roman" w:eastAsia="Times New Roman" w:hAnsi="Times New Roman"/>
          <w:color w:val="2E74B5"/>
          <w:sz w:val="26"/>
          <w:szCs w:val="26"/>
        </w:rPr>
        <w:t xml:space="preserve">2.1 Design principles</w:t>
      </w:r>
    </w:p>
    <w:p>
      <w:pPr>
        <w:pStyle w:val="ListParagraph"/>
        <w:numPr>
          <w:ilvl w:val="0"/>
          <w:numId w:val="2"/>
        </w:numPr>
        <w:spacing w:after="80" w:line="290"/>
        <w:jc w:val="both"/>
      </w:pPr>
      <w:r>
        <w:rPr>
          <w:rFonts w:ascii="Times New Roman" w:cs="Times New Roman" w:eastAsia="Times New Roman" w:hAnsi="Times New Roman"/>
          <w:b/>
          <w:bCs/>
        </w:rPr>
        <w:t xml:space="preserve">One population, one place, one period.</w:t>
      </w:r>
      <w:r>
        <w:rPr>
          <w:rFonts w:ascii="Times New Roman" w:cs="Times New Roman" w:eastAsia="Times New Roman" w:hAnsi="Times New Roman"/>
        </w:rPr>
        <w:t xml:space="preserve"> Every concentration entering the equation describes the same people, so that the covariance between media is preserved rather than assumed away [7].</w:t>
      </w:r>
    </w:p>
    <w:p>
      <w:pPr>
        <w:pStyle w:val="ListParagraph"/>
        <w:numPr>
          <w:ilvl w:val="0"/>
          <w:numId w:val="2"/>
        </w:numPr>
        <w:spacing w:after="80" w:line="290"/>
        <w:jc w:val="both"/>
      </w:pPr>
      <w:r>
        <w:rPr>
          <w:rFonts w:ascii="Times New Roman" w:cs="Times New Roman" w:eastAsia="Times New Roman" w:hAnsi="Times New Roman"/>
          <w:b/>
          <w:bCs/>
        </w:rPr>
        <w:t xml:space="preserve">A common dose scale before any comparison.</w:t>
      </w:r>
      <w:r>
        <w:rPr>
          <w:rFonts w:ascii="Times New Roman" w:cs="Times New Roman" w:eastAsia="Times New Roman" w:hAnsi="Times New Roman"/>
        </w:rPr>
        <w:t xml:space="preserve"> Media are compared only after conversion to µg/kg bw/day (oral) or to a time-weighted air concentration (inhalation), never on their reported units.</w:t>
      </w:r>
    </w:p>
    <w:p>
      <w:pPr>
        <w:pStyle w:val="ListParagraph"/>
        <w:numPr>
          <w:ilvl w:val="0"/>
          <w:numId w:val="2"/>
        </w:numPr>
        <w:spacing w:after="80" w:line="290"/>
        <w:jc w:val="both"/>
      </w:pPr>
      <w:r>
        <w:rPr>
          <w:rFonts w:ascii="Times New Roman" w:cs="Times New Roman" w:eastAsia="Times New Roman" w:hAnsi="Times New Roman"/>
          <w:b/>
          <w:bCs/>
        </w:rPr>
        <w:t xml:space="preserve">Route-specific toxicity values.</w:t>
      </w:r>
      <w:r>
        <w:rPr>
          <w:rFonts w:ascii="Times New Roman" w:cs="Times New Roman" w:eastAsia="Times New Roman" w:hAnsi="Times New Roman"/>
        </w:rPr>
        <w:t xml:space="preserve"> Oral doses are divided by oral values and air concentrations by inhalation values; an oral RfD is never applied to an inhalation exposure (an error found in the reviewed literature).</w:t>
      </w:r>
    </w:p>
    <w:p>
      <w:pPr>
        <w:pStyle w:val="ListParagraph"/>
        <w:numPr>
          <w:ilvl w:val="0"/>
          <w:numId w:val="2"/>
        </w:numPr>
        <w:spacing w:after="80" w:line="290"/>
        <w:jc w:val="both"/>
      </w:pPr>
      <w:r>
        <w:rPr>
          <w:rFonts w:ascii="Times New Roman" w:cs="Times New Roman" w:eastAsia="Times New Roman" w:hAnsi="Times New Roman"/>
          <w:b/>
          <w:bCs/>
        </w:rPr>
        <w:t xml:space="preserve">The index follows the mode of action.</w:t>
      </w:r>
      <w:r>
        <w:rPr>
          <w:rFonts w:ascii="Times New Roman" w:cs="Times New Roman" w:eastAsia="Times New Roman" w:hAnsi="Times New Roman"/>
        </w:rPr>
        <w:t xml:space="preserve"> Threshold agents are summed as hazard quotients; agents without an identifiable threshold (Pb, inorganic As) are characterised by a margin of exposure; carcinogens by an incremental lifetime cancer risk.</w:t>
      </w:r>
    </w:p>
    <w:p>
      <w:pPr>
        <w:pStyle w:val="ListParagraph"/>
        <w:numPr>
          <w:ilvl w:val="0"/>
          <w:numId w:val="2"/>
        </w:numPr>
        <w:spacing w:after="80" w:line="290"/>
        <w:jc w:val="both"/>
      </w:pPr>
      <w:r>
        <w:rPr>
          <w:rFonts w:ascii="Times New Roman" w:cs="Times New Roman" w:eastAsia="Times New Roman" w:hAnsi="Times New Roman"/>
          <w:b/>
          <w:bCs/>
        </w:rPr>
        <w:t xml:space="preserve">Toxicologically relevant form only.</w:t>
      </w:r>
      <w:r>
        <w:rPr>
          <w:rFonts w:ascii="Times New Roman" w:cs="Times New Roman" w:eastAsia="Times New Roman" w:hAnsi="Times New Roman"/>
        </w:rPr>
        <w:t xml:space="preserve"> Concentrations are reduced to the species to which the toxicity value refers (inorganic As, Cr(VI), methylmercury) and, where measured, to the relatively bioavailable fraction.</w:t>
      </w:r>
    </w:p>
    <w:p>
      <w:pPr>
        <w:pStyle w:val="Heading2"/>
        <w:keepNext/>
        <w:spacing w:after="120" w:before="200"/>
      </w:pPr>
      <w:r>
        <w:rPr>
          <w:rFonts w:ascii="Times New Roman" w:cs="Times New Roman" w:eastAsia="Times New Roman" w:hAnsi="Times New Roman"/>
          <w:color w:val="2E74B5"/>
          <w:sz w:val="26"/>
          <w:szCs w:val="26"/>
        </w:rPr>
        <w:t xml:space="preserve">2.2 Route-specific doses</w:t>
      </w:r>
    </w:p>
    <w:p>
      <w:pPr>
        <w:keepNext/>
        <w:spacing w:after="120" w:line="300"/>
        <w:jc w:val="both"/>
      </w:pPr>
      <w:r>
        <w:rPr>
          <w:rFonts w:ascii="Times New Roman" w:cs="Times New Roman" w:eastAsia="Times New Roman" w:hAnsi="Times New Roman"/>
        </w:rPr>
        <w:t xml:space="preserve">For metal </w:t>
      </w:r>
      <w:r>
        <w:rPr>
          <w:rFonts w:ascii="Times New Roman" w:cs="Times New Roman" w:eastAsia="Times New Roman" w:hAnsi="Times New Roman"/>
          <w:i/>
          <w:iCs/>
        </w:rPr>
        <w:t xml:space="preserve">j</w:t>
      </w:r>
      <w:r>
        <w:rPr>
          <w:rFonts w:ascii="Times New Roman" w:cs="Times New Roman" w:eastAsia="Times New Roman" w:hAnsi="Times New Roman"/>
        </w:rPr>
        <w:t xml:space="preserve">, the average daily dose from drinking water and from the diet, and the time-weighted exposure concentration in air, are:</w:t>
      </w:r>
    </w:p>
    <w:p>
      <w:pPr>
        <w:spacing w:after="160" w:before="120"/>
        <w:jc w:val="center"/>
      </w:pPr>
      <m:oMath>
        <m:sSub>
          <m:sSubPr/>
          <m:e>
            <m:r>
              <m:t>D</m:t>
            </m:r>
          </m:e>
          <m:sub>
            <m:r>
              <m:t>w,j</m:t>
            </m:r>
          </m:sub>
        </m:sSub>
        <m:r>
          <m:t> = </m:t>
        </m:r>
        <m:f>
          <m:num>
            <m:sSub>
              <m:sSubPr/>
              <m:e>
                <m:r>
                  <m:t>C</m:t>
                </m:r>
              </m:e>
              <m:sub>
                <m:r>
                  <m:t>w,j</m:t>
                </m:r>
              </m:sub>
            </m:sSub>
            <m:r>
              <m:t>·</m:t>
            </m:r>
            <m:sSub>
              <m:sSubPr/>
              <m:e>
                <m:r>
                  <m:t>IR</m:t>
                </m:r>
              </m:e>
              <m:sub>
                <m:r>
                  <m:t>w</m:t>
                </m:r>
              </m:sub>
            </m:sSub>
            <m:r>
              <m:t>·EF·ED</m:t>
            </m:r>
          </m:num>
          <m:den>
            <m:r>
              <m:t>BW·AT</m:t>
            </m:r>
          </m:den>
        </m:f>
      </m:oMath>
      <w:r>
        <w:rPr>
          <w:rFonts w:ascii="Times New Roman" w:cs="Times New Roman" w:eastAsia="Times New Roman" w:hAnsi="Times New Roman"/>
        </w:rPr>
        <w:t xml:space="preserve">		(1)</w:t>
      </w:r>
    </w:p>
    <w:p>
      <w:pPr>
        <w:spacing w:after="160" w:before="120"/>
        <w:jc w:val="center"/>
      </w:pPr>
      <m:oMath>
        <m:sSub>
          <m:sSubPr/>
          <m:e>
            <m:r>
              <m:t>D</m:t>
            </m:r>
          </m:e>
          <m:sub>
            <m:r>
              <m:t>f,j</m:t>
            </m:r>
          </m:sub>
        </m:sSub>
        <m:r>
          <m:t> = </m:t>
        </m:r>
        <m:nary>
          <m:naryPr>
            <m:chr m:val="∑"/>
            <m:limLoc m:val="undOvr"/>
            <m:supHide m:val="1"/>
          </m:naryPr>
          <m:sub>
            <m:r>
              <m:t>k</m:t>
            </m:r>
          </m:sub>
          <m:sup/>
          <m:e>
            <m:f>
              <m:num>
                <m:sSub>
                  <m:sSubPr/>
                  <m:e>
                    <m:r>
                      <m:t>C</m:t>
                    </m:r>
                  </m:e>
                  <m:sub>
                    <m:r>
                      <m:t>k,j</m:t>
                    </m:r>
                  </m:sub>
                </m:sSub>
                <m:r>
                  <m:t>·</m:t>
                </m:r>
                <m:sSub>
                  <m:sSubPr/>
                  <m:e>
                    <m:r>
                      <m:t>S</m:t>
                    </m:r>
                  </m:e>
                  <m:sub>
                    <m:r>
                      <m:t>k,j</m:t>
                    </m:r>
                  </m:sub>
                </m:sSub>
                <m:r>
                  <m:t>·</m:t>
                </m:r>
                <m:sSub>
                  <m:sSubPr/>
                  <m:e>
                    <m:r>
                      <m:t>RBA</m:t>
                    </m:r>
                  </m:e>
                  <m:sub>
                    <m:r>
                      <m:t>k,j</m:t>
                    </m:r>
                  </m:sub>
                </m:sSub>
                <m:r>
                  <m:t>·</m:t>
                </m:r>
                <m:sSub>
                  <m:sSubPr/>
                  <m:e>
                    <m:r>
                      <m:t>IR</m:t>
                    </m:r>
                  </m:e>
                  <m:sub>
                    <m:r>
                      <m:t>k</m:t>
                    </m:r>
                  </m:sub>
                </m:sSub>
                <m:r>
                  <m:t>·EF·ED</m:t>
                </m:r>
              </m:num>
              <m:den>
                <m:r>
                  <m:t>BW·AT</m:t>
                </m:r>
              </m:den>
            </m:f>
          </m:e>
        </m:nary>
      </m:oMath>
      <w:r>
        <w:rPr>
          <w:rFonts w:ascii="Times New Roman" w:cs="Times New Roman" w:eastAsia="Times New Roman" w:hAnsi="Times New Roman"/>
        </w:rPr>
        <w:t xml:space="preserve">		(2)</w:t>
      </w:r>
    </w:p>
    <w:p>
      <w:pPr>
        <w:spacing w:after="160" w:before="120"/>
        <w:jc w:val="center"/>
      </w:pPr>
      <m:oMath>
        <m:sSub>
          <m:sSubPr/>
          <m:e>
            <m:r>
              <m:t>EC</m:t>
            </m:r>
          </m:e>
          <m:sub>
            <m:r>
              <m:t>a,j</m:t>
            </m:r>
          </m:sub>
        </m:sSub>
        <m:r>
          <m:t> = </m:t>
        </m:r>
        <m:f>
          <m:num>
            <m:sSub>
              <m:sSubPr/>
              <m:e>
                <m:r>
                  <m:t>C</m:t>
                </m:r>
              </m:e>
              <m:sub>
                <m:r>
                  <m:t>a,j</m:t>
                </m:r>
              </m:sub>
            </m:sSub>
            <m:r>
              <m:t>·ET·EF·ED</m:t>
            </m:r>
          </m:num>
          <m:den>
            <m:r>
              <m:t>AT</m:t>
            </m:r>
          </m:den>
        </m:f>
      </m:oMath>
      <w:r>
        <w:rPr>
          <w:rFonts w:ascii="Times New Roman" w:cs="Times New Roman" w:eastAsia="Times New Roman" w:hAnsi="Times New Roman"/>
        </w:rPr>
        <w:t xml:space="preserve">		(3)</w:t>
      </w:r>
    </w:p>
    <w:p>
      <w:pPr>
        <w:spacing w:after="120" w:line="300"/>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w,j</w:t>
      </w:r>
      <w:r>
        <w:rPr>
          <w:rFonts w:ascii="Times New Roman" w:cs="Times New Roman" w:eastAsia="Times New Roman" w:hAnsi="Times New Roman"/>
        </w:rPr>
        <w:t xml:space="preserve"> is the concentration in treated drinking water at the tap (µg/L) and </w:t>
      </w:r>
      <w:r>
        <w:rPr>
          <w:rFonts w:ascii="Times New Roman" w:cs="Times New Roman" w:eastAsia="Times New Roman" w:hAnsi="Times New Roman"/>
          <w:i/>
          <w:iCs/>
        </w:rPr>
        <w:t xml:space="preserve">IR</w:t>
      </w:r>
      <w:r>
        <w:rPr>
          <w:rFonts w:ascii="Times New Roman" w:cs="Times New Roman" w:eastAsia="Times New Roman" w:hAnsi="Times New Roman"/>
          <w:vertAlign w:val="subscript"/>
        </w:rPr>
        <w:t xml:space="preserve">w</w:t>
      </w:r>
      <w:r>
        <w:rPr>
          <w:rFonts w:ascii="Times New Roman" w:cs="Times New Roman" w:eastAsia="Times New Roman" w:hAnsi="Times New Roman"/>
        </w:rPr>
        <w:t xml:space="preserve"> the daily water intake (L/d);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k,j</w:t>
      </w:r>
      <w:r>
        <w:rPr>
          <w:rFonts w:ascii="Times New Roman" w:cs="Times New Roman" w:eastAsia="Times New Roman" w:hAnsi="Times New Roman"/>
        </w:rPr>
        <w:t xml:space="preserve"> the concentration in food group </w:t>
      </w:r>
      <w:r>
        <w:rPr>
          <w:rFonts w:ascii="Times New Roman" w:cs="Times New Roman" w:eastAsia="Times New Roman" w:hAnsi="Times New Roman"/>
          <w:i/>
          <w:iCs/>
        </w:rPr>
        <w:t xml:space="preserve">k</w:t>
      </w:r>
      <w:r>
        <w:rPr>
          <w:rFonts w:ascii="Times New Roman" w:cs="Times New Roman" w:eastAsia="Times New Roman" w:hAnsi="Times New Roman"/>
        </w:rPr>
        <w:t xml:space="preserve"> as eaten, on a wet-weight basis (µg/kg; dry-weight values are converted with the measured moisture fraction,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ww</w:t>
      </w:r>
      <w:r>
        <w:rPr>
          <w:rFonts w:ascii="Times New Roman" w:cs="Times New Roman" w:eastAsia="Times New Roman" w:hAnsi="Times New Roman"/>
        </w:rPr>
        <w:t xml:space="preserve"> =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dw</w:t>
      </w:r>
      <w:r>
        <w:rPr>
          <w:rFonts w:ascii="Times New Roman" w:cs="Times New Roman" w:eastAsia="Times New Roman" w:hAnsi="Times New Roman"/>
        </w:rPr>
        <w:t xml:space="preserve">·(1 − </w:t>
      </w:r>
      <w:r>
        <w:rPr>
          <w:rFonts w:ascii="Times New Roman" w:cs="Times New Roman" w:eastAsia="Times New Roman" w:hAnsi="Times New Roman"/>
          <w:i/>
          <w:iCs/>
        </w:rPr>
        <w:t xml:space="preserve">M</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IR</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its intake (kg/d); </w:t>
      </w: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k,j</w:t>
      </w:r>
      <w:r>
        <w:rPr>
          <w:rFonts w:ascii="Times New Roman" w:cs="Times New Roman" w:eastAsia="Times New Roman" w:hAnsi="Times New Roman"/>
        </w:rPr>
        <w:t xml:space="preserve"> the fraction of the total element present as the species to which the toxicity value refers; </w:t>
      </w:r>
      <w:r>
        <w:rPr>
          <w:rFonts w:ascii="Times New Roman" w:cs="Times New Roman" w:eastAsia="Times New Roman" w:hAnsi="Times New Roman"/>
          <w:i/>
          <w:iCs/>
        </w:rPr>
        <w:t xml:space="preserve">RBA</w:t>
      </w:r>
      <w:r>
        <w:rPr>
          <w:rFonts w:ascii="Times New Roman" w:cs="Times New Roman" w:eastAsia="Times New Roman" w:hAnsi="Times New Roman"/>
          <w:vertAlign w:val="subscript"/>
        </w:rPr>
        <w:t xml:space="preserve">k,j</w:t>
      </w:r>
      <w:r>
        <w:rPr>
          <w:rFonts w:ascii="Times New Roman" w:cs="Times New Roman" w:eastAsia="Times New Roman" w:hAnsi="Times New Roman"/>
        </w:rPr>
        <w:t xml:space="preserve"> the bioavailability of the metal in that food relative to the vehicle of the critical toxicity study (1 when not measured);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a,j</w:t>
      </w:r>
      <w:r>
        <w:rPr>
          <w:rFonts w:ascii="Times New Roman" w:cs="Times New Roman" w:eastAsia="Times New Roman" w:hAnsi="Times New Roman"/>
        </w:rPr>
        <w:t xml:space="preserve"> the concentration in ambient PM</w:t>
      </w:r>
      <w:r>
        <w:rPr>
          <w:rFonts w:ascii="Times New Roman" w:cs="Times New Roman" w:eastAsia="Times New Roman" w:hAnsi="Times New Roman"/>
          <w:vertAlign w:val="subscript"/>
        </w:rPr>
        <w:t xml:space="preserve">10</w:t>
      </w:r>
      <w:r>
        <w:rPr>
          <w:rFonts w:ascii="Times New Roman" w:cs="Times New Roman" w:eastAsia="Times New Roman" w:hAnsi="Times New Roman"/>
        </w:rPr>
        <w:t xml:space="preserve"> (µg/m³); </w:t>
      </w:r>
      <w:r>
        <w:rPr>
          <w:rFonts w:ascii="Times New Roman" w:cs="Times New Roman" w:eastAsia="Times New Roman" w:hAnsi="Times New Roman"/>
          <w:i/>
          <w:iCs/>
        </w:rPr>
        <w:t xml:space="preserve">ET</w:t>
      </w:r>
      <w:r>
        <w:rPr>
          <w:rFonts w:ascii="Times New Roman" w:cs="Times New Roman" w:eastAsia="Times New Roman" w:hAnsi="Times New Roman"/>
        </w:rPr>
        <w:t xml:space="preserve"> the fraction of the day spent in the exposure setting; </w:t>
      </w:r>
      <w:r>
        <w:rPr>
          <w:rFonts w:ascii="Times New Roman" w:cs="Times New Roman" w:eastAsia="Times New Roman" w:hAnsi="Times New Roman"/>
          <w:i/>
          <w:iCs/>
        </w:rPr>
        <w:t xml:space="preserve">EF</w:t>
      </w:r>
      <w:r>
        <w:rPr>
          <w:rFonts w:ascii="Times New Roman" w:cs="Times New Roman" w:eastAsia="Times New Roman" w:hAnsi="Times New Roman"/>
        </w:rPr>
        <w:t xml:space="preserve"> (d/y), </w:t>
      </w:r>
      <w:r>
        <w:rPr>
          <w:rFonts w:ascii="Times New Roman" w:cs="Times New Roman" w:eastAsia="Times New Roman" w:hAnsi="Times New Roman"/>
          <w:i/>
          <w:iCs/>
        </w:rPr>
        <w:t xml:space="preserve">ED</w:t>
      </w:r>
      <w:r>
        <w:rPr>
          <w:rFonts w:ascii="Times New Roman" w:cs="Times New Roman" w:eastAsia="Times New Roman" w:hAnsi="Times New Roman"/>
        </w:rPr>
        <w:t xml:space="preserve"> (y), </w:t>
      </w:r>
      <w:r>
        <w:rPr>
          <w:rFonts w:ascii="Times New Roman" w:cs="Times New Roman" w:eastAsia="Times New Roman" w:hAnsi="Times New Roman"/>
          <w:i/>
          <w:iCs/>
        </w:rPr>
        <w:t xml:space="preserve">BW</w:t>
      </w:r>
      <w:r>
        <w:rPr>
          <w:rFonts w:ascii="Times New Roman" w:cs="Times New Roman" w:eastAsia="Times New Roman" w:hAnsi="Times New Roman"/>
        </w:rPr>
        <w:t xml:space="preserve"> (kg) and </w:t>
      </w:r>
      <w:r>
        <w:rPr>
          <w:rFonts w:ascii="Times New Roman" w:cs="Times New Roman" w:eastAsia="Times New Roman" w:hAnsi="Times New Roman"/>
          <w:i/>
          <w:iCs/>
        </w:rPr>
        <w:t xml:space="preserve">AT</w:t>
      </w:r>
      <w:r>
        <w:rPr>
          <w:rFonts w:ascii="Times New Roman" w:cs="Times New Roman" w:eastAsia="Times New Roman" w:hAnsi="Times New Roman"/>
        </w:rPr>
        <w:t xml:space="preserve"> (d) the exposure frequency, duration, body weight and averaging time [2, 3, 8]. Equation 3 follows the concentration-based inhalation methodology of RAGS Part F, which removes the inhalation rate and body weight because RfC and IUR values are already expressed per unit air concentration [3].</w:t>
      </w:r>
    </w:p>
    <w:p>
      <w:pPr>
        <w:spacing w:after="120" w:line="300"/>
        <w:jc w:val="both"/>
      </w:pPr>
      <w:r>
        <w:rPr>
          <w:rFonts w:ascii="Times New Roman" w:cs="Times New Roman" w:eastAsia="Times New Roman" w:hAnsi="Times New Roman"/>
        </w:rPr>
        <w:t xml:space="preserve">Two cautions apply to </w:t>
      </w:r>
      <w:r>
        <w:rPr>
          <w:rFonts w:ascii="Times New Roman" w:cs="Times New Roman" w:eastAsia="Times New Roman" w:hAnsi="Times New Roman"/>
          <w:i/>
          <w:iCs/>
        </w:rPr>
        <w:t xml:space="preserve">RBA</w:t>
      </w:r>
      <w:r>
        <w:rPr>
          <w:rFonts w:ascii="Times New Roman" w:cs="Times New Roman" w:eastAsia="Times New Roman" w:hAnsi="Times New Roman"/>
        </w:rPr>
        <w:t xml:space="preserve">. First, toxicity values are derived from administered doses, so the correction must be the bioavailability relative to that in the critical study, not the absolute bioaccessible fraction measured by an in-vitro extraction [9]; an in-vitro value should be converted with an in-vivo calibration before use. Second, </w:t>
      </w:r>
      <w:r>
        <w:rPr>
          <w:rFonts w:ascii="Times New Roman" w:cs="Times New Roman" w:eastAsia="Times New Roman" w:hAnsi="Times New Roman"/>
          <w:i/>
          <w:iCs/>
        </w:rPr>
        <w:t xml:space="preserve">RBA</w:t>
      </w:r>
      <w:r>
        <w:rPr>
          <w:rFonts w:ascii="Times New Roman" w:cs="Times New Roman" w:eastAsia="Times New Roman" w:hAnsi="Times New Roman"/>
        </w:rPr>
        <w:t xml:space="preserve"> = 1 is the protective default and should be retained when the matrix has not been tested. Wang et al. measured matrix-specific bioaccessibility for six food groups and showed that it changes the dietary risk materially [10]; that dataset is the template for this parameter.</w:t>
      </w:r>
    </w:p>
    <w:p>
      <w:pPr>
        <w:pStyle w:val="Heading2"/>
        <w:keepNext/>
        <w:spacing w:after="120" w:before="200"/>
      </w:pPr>
      <w:r>
        <w:rPr>
          <w:rFonts w:ascii="Times New Roman" w:cs="Times New Roman" w:eastAsia="Times New Roman" w:hAnsi="Times New Roman"/>
          <w:color w:val="2E74B5"/>
          <w:sz w:val="26"/>
          <w:szCs w:val="26"/>
        </w:rPr>
        <w:t xml:space="preserve">2.3 Aggregate hazard index for threshold agents</w:t>
      </w:r>
    </w:p>
    <w:p>
      <w:pPr>
        <w:spacing w:after="160" w:before="120"/>
        <w:jc w:val="center"/>
      </w:pPr>
      <m:oMath>
        <m:sSub>
          <m:sSubPr/>
          <m:e>
            <m:r>
              <m:t>HI</m:t>
            </m:r>
          </m:e>
          <m:sub>
            <m:r>
              <m:t>agg,j</m:t>
            </m:r>
          </m:sub>
        </m:sSub>
        <m:r>
          <m:t> = </m:t>
        </m:r>
        <m:f>
          <m:num>
            <m:sSub>
              <m:sSubPr/>
              <m:e>
                <m:r>
                  <m:t>D</m:t>
                </m:r>
              </m:e>
              <m:sub>
                <m:r>
                  <m:t>w,j</m:t>
                </m:r>
              </m:sub>
            </m:sSub>
          </m:num>
          <m:den>
            <m:sSub>
              <m:sSubPr/>
              <m:e>
                <m:r>
                  <m:t>RfD</m:t>
                </m:r>
              </m:e>
              <m:sub>
                <m:r>
                  <m:t>w,j</m:t>
                </m:r>
              </m:sub>
            </m:sSub>
          </m:den>
        </m:f>
        <m:r>
          <m:t> + </m:t>
        </m:r>
        <m:f>
          <m:num>
            <m:sSub>
              <m:sSubPr/>
              <m:e>
                <m:r>
                  <m:t>D</m:t>
                </m:r>
              </m:e>
              <m:sub>
                <m:r>
                  <m:t>f,j</m:t>
                </m:r>
              </m:sub>
            </m:sSub>
          </m:num>
          <m:den>
            <m:sSub>
              <m:sSubPr/>
              <m:e>
                <m:r>
                  <m:t>RfD</m:t>
                </m:r>
              </m:e>
              <m:sub>
                <m:r>
                  <m:t>f,j</m:t>
                </m:r>
              </m:sub>
            </m:sSub>
          </m:den>
        </m:f>
        <m:r>
          <m:t> + </m:t>
        </m:r>
        <m:f>
          <m:num>
            <m:sSub>
              <m:sSubPr/>
              <m:e>
                <m:r>
                  <m:t>EC</m:t>
                </m:r>
              </m:e>
              <m:sub>
                <m:r>
                  <m:t>a,j</m:t>
                </m:r>
              </m:sub>
            </m:sSub>
          </m:num>
          <m:den>
            <m:sSub>
              <m:sSubPr/>
              <m:e>
                <m:r>
                  <m:t>RfC</m:t>
                </m:r>
              </m:e>
              <m:sub>
                <m:r>
                  <m:t>j</m:t>
                </m:r>
              </m:sub>
            </m:sSub>
          </m:den>
        </m:f>
      </m:oMath>
      <w:r>
        <w:rPr>
          <w:rFonts w:ascii="Times New Roman" w:cs="Times New Roman" w:eastAsia="Times New Roman" w:hAnsi="Times New Roman"/>
        </w:rPr>
        <w:t xml:space="preserve">		(4)</w:t>
      </w:r>
    </w:p>
    <w:p>
      <w:pPr>
        <w:spacing w:after="120" w:line="300"/>
        <w:jc w:val="both"/>
      </w:pPr>
      <w:r>
        <w:rPr>
          <w:rFonts w:ascii="Times New Roman" w:cs="Times New Roman" w:eastAsia="Times New Roman" w:hAnsi="Times New Roman"/>
        </w:rPr>
        <w:t xml:space="preserve">Each term is a route-specific hazard quotient </w:t>
      </w:r>
      <w:r>
        <w:rPr>
          <w:rFonts w:ascii="Times New Roman" w:cs="Times New Roman" w:eastAsia="Times New Roman" w:hAnsi="Times New Roman"/>
          <w:i/>
          <w:iCs/>
        </w:rPr>
        <w:t xml:space="preserve">HQ</w:t>
      </w:r>
      <w:r>
        <w:rPr>
          <w:rFonts w:ascii="Times New Roman" w:cs="Times New Roman" w:eastAsia="Times New Roman" w:hAnsi="Times New Roman"/>
          <w:vertAlign w:val="subscript"/>
        </w:rPr>
        <w:t xml:space="preserve">m,j</w:t>
      </w:r>
      <w:r>
        <w:rPr>
          <w:rFonts w:ascii="Times New Roman" w:cs="Times New Roman" w:eastAsia="Times New Roman" w:hAnsi="Times New Roman"/>
        </w:rPr>
        <w:t xml:space="preserve">. The water and food reference doses are written separately because some agencies distinguish them: the US EPA oral RfD for cadmium is 0.5 µg/kg bw/day in water and 1.0 in food [11]. For most metals the two are identical. </w:t>
      </w:r>
      <w:r>
        <w:rPr>
          <w:rFonts w:ascii="Times New Roman" w:cs="Times New Roman" w:eastAsia="Times New Roman" w:hAnsi="Times New Roman"/>
          <w:i/>
          <w:iCs/>
        </w:rPr>
        <w:t xml:space="preserve">HI</w:t>
      </w:r>
      <w:r>
        <w:rPr>
          <w:rFonts w:ascii="Times New Roman" w:cs="Times New Roman" w:eastAsia="Times New Roman" w:hAnsi="Times New Roman"/>
          <w:vertAlign w:val="subscript"/>
        </w:rPr>
        <w:t xml:space="preserve">agg,j</w:t>
      </w:r>
      <w:r>
        <w:rPr>
          <w:rFonts w:ascii="Times New Roman" w:cs="Times New Roman" w:eastAsia="Times New Roman" w:hAnsi="Times New Roman"/>
        </w:rPr>
        <w:t xml:space="preserve"> &gt; 1 indicates that the combined exposure exceeds the tolerable level. Under REACH the same expression, with derived no-effect levels in place of RfD and RfC, is the summed risk characterisation ratio [6]; Equation 4 therefore contains the European approach as a special case, which allows the two frameworks to be compared on identical exposures.</w:t>
      </w:r>
    </w:p>
    <w:p>
      <w:pPr>
        <w:pStyle w:val="Heading2"/>
        <w:keepNext/>
        <w:spacing w:after="120" w:before="200"/>
      </w:pPr>
      <w:r>
        <w:rPr>
          <w:rFonts w:ascii="Times New Roman" w:cs="Times New Roman" w:eastAsia="Times New Roman" w:hAnsi="Times New Roman"/>
          <w:color w:val="2E74B5"/>
          <w:sz w:val="26"/>
          <w:szCs w:val="26"/>
        </w:rPr>
        <w:t xml:space="preserve">2.4 Margin of exposure for agents without a threshold</w:t>
      </w:r>
    </w:p>
    <w:p>
      <w:pPr>
        <w:spacing w:after="160" w:before="120"/>
        <w:jc w:val="center"/>
      </w:pPr>
      <m:oMath>
        <m:sSub>
          <m:sSubPr/>
          <m:e>
            <m:r>
              <m:t>MOE</m:t>
            </m:r>
          </m:e>
          <m:sub>
            <m:r>
              <m:t>j</m:t>
            </m:r>
          </m:sub>
        </m:sSub>
        <m:r>
          <m:t> = </m:t>
        </m:r>
        <m:f>
          <m:num>
            <m:sSub>
              <m:sSubPr/>
              <m:e>
                <m:r>
                  <m:t>BMDL</m:t>
                </m:r>
              </m:e>
              <m:sub>
                <m:r>
                  <m:t>j</m:t>
                </m:r>
              </m:sub>
            </m:sSub>
          </m:num>
          <m:den>
            <m:sSub>
              <m:sSubPr/>
              <m:e>
                <m:r>
                  <m:t>D</m:t>
                </m:r>
              </m:e>
              <m:sub>
                <m:r>
                  <m:t>w,j</m:t>
                </m:r>
              </m:sub>
            </m:sSub>
            <m:r>
              <m:t> + </m:t>
            </m:r>
            <m:sSub>
              <m:sSubPr/>
              <m:e>
                <m:r>
                  <m:t>D</m:t>
                </m:r>
              </m:e>
              <m:sub>
                <m:r>
                  <m:t>f,j</m:t>
                </m:r>
              </m:sub>
            </m:sSub>
            <m:r>
              <m:t> + </m:t>
            </m:r>
            <m:sSub>
              <m:sSubPr/>
              <m:e>
                <m:r>
                  <m:t>D</m:t>
                </m:r>
              </m:e>
              <m:sub>
                <m:r>
                  <m:t>a,j</m:t>
                </m:r>
              </m:sub>
            </m:sSub>
            <m:r>
              <m:t>^eq</m:t>
            </m:r>
          </m:den>
        </m:f>
      </m:oMath>
      <w:r>
        <w:rPr>
          <w:rFonts w:ascii="Times New Roman" w:cs="Times New Roman" w:eastAsia="Times New Roman" w:hAnsi="Times New Roman"/>
        </w:rPr>
        <w:t xml:space="preserve">		(5)</w:t>
      </w:r>
    </w:p>
    <w:p>
      <w:pPr>
        <w:spacing w:after="160" w:before="120"/>
        <w:jc w:val="center"/>
      </w:pPr>
      <m:oMath>
        <m:sSub>
          <m:sSubPr/>
          <m:e>
            <m:r>
              <m:t>D</m:t>
            </m:r>
          </m:e>
          <m:sub>
            <m:r>
              <m:t>a,j</m:t>
            </m:r>
          </m:sub>
        </m:sSub>
        <m:r>
          <m:t>^eq = </m:t>
        </m:r>
        <m:f>
          <m:num>
            <m:sSub>
              <m:sSubPr/>
              <m:e>
                <m:r>
                  <m:t>C</m:t>
                </m:r>
              </m:e>
              <m:sub>
                <m:r>
                  <m:t>a,j</m:t>
                </m:r>
              </m:sub>
            </m:sSub>
            <m:r>
              <m:t>·InhR·EF·ED</m:t>
            </m:r>
          </m:num>
          <m:den>
            <m:r>
              <m:t>BW·AT</m:t>
            </m:r>
          </m:den>
        </m:f>
        <m:r>
          <m:t>·</m:t>
        </m:r>
        <m:f>
          <m:num>
            <m:sSub>
              <m:sSubPr/>
              <m:e>
                <m:r>
                  <m:t>F</m:t>
                </m:r>
              </m:e>
              <m:sub>
                <m:r>
                  <m:t>inh</m:t>
                </m:r>
              </m:sub>
            </m:sSub>
          </m:num>
          <m:den>
            <m:sSub>
              <m:sSubPr/>
              <m:e>
                <m:r>
                  <m:t>F</m:t>
                </m:r>
              </m:e>
              <m:sub>
                <m:r>
                  <m:t>oral</m:t>
                </m:r>
              </m:sub>
            </m:sSub>
          </m:den>
        </m:f>
      </m:oMath>
      <w:r>
        <w:rPr>
          <w:rFonts w:ascii="Times New Roman" w:cs="Times New Roman" w:eastAsia="Times New Roman" w:hAnsi="Times New Roman"/>
        </w:rPr>
        <w:t xml:space="preserve">		(6)</w:t>
      </w:r>
    </w:p>
    <w:p>
      <w:pPr>
        <w:spacing w:after="120" w:line="300"/>
        <w:jc w:val="both"/>
      </w:pPr>
      <w:r>
        <w:rPr>
          <w:rFonts w:ascii="Times New Roman" w:cs="Times New Roman" w:eastAsia="Times New Roman" w:hAnsi="Times New Roman"/>
        </w:rPr>
        <w:t xml:space="preserve">For lead the reference points are the EFSA BMDL</w:t>
      </w:r>
      <w:r>
        <w:rPr>
          <w:rFonts w:ascii="Times New Roman" w:cs="Times New Roman" w:eastAsia="Times New Roman" w:hAnsi="Times New Roman"/>
          <w:vertAlign w:val="subscript"/>
        </w:rPr>
        <w:t xml:space="preserve">01</w:t>
      </w:r>
      <w:r>
        <w:rPr>
          <w:rFonts w:ascii="Times New Roman" w:cs="Times New Roman" w:eastAsia="Times New Roman" w:hAnsi="Times New Roman"/>
        </w:rPr>
        <w:t xml:space="preserve"> of 0.50 µg/kg bw/day for developmental neurotoxicity in children, the BMDL</w:t>
      </w:r>
      <w:r>
        <w:rPr>
          <w:rFonts w:ascii="Times New Roman" w:cs="Times New Roman" w:eastAsia="Times New Roman" w:hAnsi="Times New Roman"/>
          <w:vertAlign w:val="subscript"/>
        </w:rPr>
        <w:t xml:space="preserve">01</w:t>
      </w:r>
      <w:r>
        <w:rPr>
          <w:rFonts w:ascii="Times New Roman" w:cs="Times New Roman" w:eastAsia="Times New Roman" w:hAnsi="Times New Roman"/>
        </w:rPr>
        <w:t xml:space="preserve"> of 1.50 for systolic blood pressure and the BMDL</w:t>
      </w:r>
      <w:r>
        <w:rPr>
          <w:rFonts w:ascii="Times New Roman" w:cs="Times New Roman" w:eastAsia="Times New Roman" w:hAnsi="Times New Roman"/>
          <w:vertAlign w:val="subscript"/>
        </w:rPr>
        <w:t xml:space="preserve">10</w:t>
      </w:r>
      <w:r>
        <w:rPr>
          <w:rFonts w:ascii="Times New Roman" w:cs="Times New Roman" w:eastAsia="Times New Roman" w:hAnsi="Times New Roman"/>
        </w:rPr>
        <w:t xml:space="preserve"> of 0.63 for chronic kidney disease in adults [12]; for inorganic arsenic the BMDL</w:t>
      </w:r>
      <w:r>
        <w:rPr>
          <w:rFonts w:ascii="Times New Roman" w:cs="Times New Roman" w:eastAsia="Times New Roman" w:hAnsi="Times New Roman"/>
          <w:vertAlign w:val="subscript"/>
        </w:rPr>
        <w:t xml:space="preserve">05</w:t>
      </w:r>
      <w:r>
        <w:rPr>
          <w:rFonts w:ascii="Times New Roman" w:cs="Times New Roman" w:eastAsia="Times New Roman" w:hAnsi="Times New Roman"/>
        </w:rPr>
        <w:t xml:space="preserve"> of 0.06 µg/kg bw/day for skin cancer [13]. An MOE of 1 or less signals concern; for the adult lead end-points EFSA regarded an MOE of 10 or more as sufficient to exclude an appreciable risk [12, 14]. Because the reference points are external oral doses, the inhaled dose is converted to an oral-equivalent dose with the ratio of absorbed fractions (Equation 6); in the absence of metal-specific data the ECHA default for route-to-route extrapolation, </w:t>
      </w: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inh</w:t>
      </w:r>
      <w:r>
        <w:rPr>
          <w:rFonts w:ascii="Times New Roman" w:cs="Times New Roman" w:eastAsia="Times New Roman" w:hAnsi="Times New Roman"/>
        </w:rPr>
        <w:t xml:space="preserve">/</w:t>
      </w: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oral</w:t>
      </w:r>
      <w:r>
        <w:rPr>
          <w:rFonts w:ascii="Times New Roman" w:cs="Times New Roman" w:eastAsia="Times New Roman" w:hAnsi="Times New Roman"/>
        </w:rPr>
        <w:t xml:space="preserve"> = 2, is used [6]. For lead in children a biokinetic model that integrates air, water, diet and soil into a predicted blood lead concentration (IEUBK) is the more complete implementation of the same idea and should be preferred where its inputs are available [15].</w:t>
      </w:r>
    </w:p>
    <w:p>
      <w:pPr>
        <w:pStyle w:val="Heading2"/>
        <w:keepNext/>
        <w:spacing w:after="120" w:before="200"/>
      </w:pPr>
      <w:r>
        <w:rPr>
          <w:rFonts w:ascii="Times New Roman" w:cs="Times New Roman" w:eastAsia="Times New Roman" w:hAnsi="Times New Roman"/>
          <w:color w:val="2E74B5"/>
          <w:sz w:val="26"/>
          <w:szCs w:val="26"/>
        </w:rPr>
        <w:t xml:space="preserve">2.5 Aggregate incremental lifetime cancer risk</w:t>
      </w:r>
    </w:p>
    <w:p>
      <w:pPr>
        <w:spacing w:after="160" w:before="120"/>
        <w:jc w:val="center"/>
      </w:pPr>
      <m:oMath>
        <m:sSub>
          <m:sSubPr/>
          <m:e>
            <m:r>
              <m:t>ILCR</m:t>
            </m:r>
          </m:e>
          <m:sub>
            <m:r>
              <m:t>j</m:t>
            </m:r>
          </m:sub>
        </m:sSub>
        <m:r>
          <m:t> = </m:t>
        </m:r>
        <m:r>
          <m:t>(</m:t>
        </m:r>
        <m:sSub>
          <m:sSubPr/>
          <m:e>
            <m:r>
              <m:t>D</m:t>
            </m:r>
          </m:e>
          <m:sub>
            <m:r>
              <m:t>w,j</m:t>
            </m:r>
          </m:sub>
        </m:sSub>
        <m:r>
          <m:t> + </m:t>
        </m:r>
        <m:sSub>
          <m:sSubPr/>
          <m:e>
            <m:r>
              <m:t>D</m:t>
            </m:r>
          </m:e>
          <m:sub>
            <m:r>
              <m:t>f,j</m:t>
            </m:r>
          </m:sub>
        </m:sSub>
        <m:r>
          <m:t>)·</m:t>
        </m:r>
        <m:sSub>
          <m:sSubPr/>
          <m:e>
            <m:r>
              <m:t>CSF</m:t>
            </m:r>
          </m:e>
          <m:sub>
            <m:r>
              <m:t>o,j</m:t>
            </m:r>
          </m:sub>
        </m:sSub>
        <m:r>
          <m:t>·ADAF + </m:t>
        </m:r>
        <m:sSub>
          <m:sSubPr/>
          <m:e>
            <m:r>
              <m:t>EC</m:t>
            </m:r>
          </m:e>
          <m:sub>
            <m:r>
              <m:t>a,j</m:t>
            </m:r>
          </m:sub>
        </m:sSub>
        <m:r>
          <m:t>·</m:t>
        </m:r>
        <m:sSub>
          <m:sSubPr/>
          <m:e>
            <m:r>
              <m:t>IUR</m:t>
            </m:r>
          </m:e>
          <m:sub>
            <m:r>
              <m:t>j</m:t>
            </m:r>
          </m:sub>
        </m:sSub>
      </m:oMath>
      <w:r>
        <w:rPr>
          <w:rFonts w:ascii="Times New Roman" w:cs="Times New Roman" w:eastAsia="Times New Roman" w:hAnsi="Times New Roman"/>
        </w:rPr>
        <w:t xml:space="preserve">		(7)</w:t>
      </w:r>
    </w:p>
    <w:p>
      <w:pPr>
        <w:spacing w:after="120" w:line="300"/>
        <w:jc w:val="both"/>
      </w:pPr>
      <w:r>
        <w:rPr>
          <w:rFonts w:ascii="Times New Roman" w:cs="Times New Roman" w:eastAsia="Times New Roman" w:hAnsi="Times New Roman"/>
        </w:rPr>
        <w:t xml:space="preserve">Doses in Equation 7 are averaged over a lifetime (</w:t>
      </w:r>
      <w:r>
        <w:rPr>
          <w:rFonts w:ascii="Times New Roman" w:cs="Times New Roman" w:eastAsia="Times New Roman" w:hAnsi="Times New Roman"/>
          <w:i/>
          <w:iCs/>
        </w:rPr>
        <w:t xml:space="preserve">AT</w:t>
      </w:r>
      <w:r>
        <w:rPr>
          <w:rFonts w:ascii="Times New Roman" w:cs="Times New Roman" w:eastAsia="Times New Roman" w:hAnsi="Times New Roman"/>
        </w:rPr>
        <w:t xml:space="preserve"> = 70 y × 365 d). Age-dependent adjustment factors apply to agents with a mutagenic mode of action, among them Cr(VI) [16, 17]. For inorganic arsenic the 2025 IRIS oral slope factor (32 per mg/kg-day) is valid only in the low-dose region below about 0.2 µg/kg bw/day; above it the IRIS dose-response equations must be used instead of the linear factor [18]. Cancer risks are additive across routes and, as a screening assumption, across metals.</w:t>
      </w:r>
    </w:p>
    <w:p>
      <w:pPr>
        <w:pStyle w:val="Heading2"/>
        <w:keepNext/>
        <w:spacing w:after="120" w:before="200"/>
      </w:pPr>
      <w:r>
        <w:rPr>
          <w:rFonts w:ascii="Times New Roman" w:cs="Times New Roman" w:eastAsia="Times New Roman" w:hAnsi="Times New Roman"/>
          <w:color w:val="2E74B5"/>
          <w:sz w:val="26"/>
          <w:szCs w:val="26"/>
        </w:rPr>
        <w:t xml:space="preserve">2.6 Empirical source contribution and context-specific guideline values</w:t>
      </w:r>
    </w:p>
    <w:p>
      <w:pPr>
        <w:keepNext/>
        <w:spacing w:after="120" w:line="300"/>
        <w:jc w:val="both"/>
      </w:pPr>
      <w:r>
        <w:rPr>
          <w:rFonts w:ascii="Times New Roman" w:cs="Times New Roman" w:eastAsia="Times New Roman" w:hAnsi="Times New Roman"/>
        </w:rPr>
        <w:t xml:space="preserve">Once Equation 4 has been evaluated, the contribution of each medium is measured rather than assumed:</w:t>
      </w:r>
    </w:p>
    <w:p>
      <w:pPr>
        <w:spacing w:after="160" w:before="120"/>
        <w:jc w:val="center"/>
      </w:pPr>
      <m:oMath>
        <m:sSub>
          <m:sSubPr/>
          <m:e>
            <m:r>
              <m:t>f</m:t>
            </m:r>
          </m:e>
          <m:sub>
            <m:r>
              <m:t>m,j</m:t>
            </m:r>
          </m:sub>
        </m:sSub>
        <m:r>
          <m:t> = </m:t>
        </m:r>
        <m:f>
          <m:num>
            <m:sSub>
              <m:sSubPr/>
              <m:e>
                <m:r>
                  <m:t>HQ</m:t>
                </m:r>
              </m:e>
              <m:sub>
                <m:r>
                  <m:t>m,j</m:t>
                </m:r>
              </m:sub>
            </m:sSub>
          </m:num>
          <m:den>
            <m:sSub>
              <m:sSubPr/>
              <m:e>
                <m:r>
                  <m:t>HI</m:t>
                </m:r>
              </m:e>
              <m:sub>
                <m:r>
                  <m:t>agg,j</m:t>
                </m:r>
              </m:sub>
            </m:sSub>
          </m:den>
        </m:f>
        <m:r>
          <m:t>,     m ∈ {water, food, air}</m:t>
        </m:r>
      </m:oMath>
      <w:r>
        <w:rPr>
          <w:rFonts w:ascii="Times New Roman" w:cs="Times New Roman" w:eastAsia="Times New Roman" w:hAnsi="Times New Roman"/>
        </w:rPr>
        <w:t xml:space="preserve">		(8)</w:t>
      </w:r>
    </w:p>
    <w:p>
      <w:pPr>
        <w:keepNext/>
        <w:spacing w:after="120" w:line="300"/>
        <w:jc w:val="both"/>
      </w:pP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w,j</w:t>
      </w:r>
      <w:r>
        <w:rPr>
          <w:rFonts w:ascii="Times New Roman" w:cs="Times New Roman" w:eastAsia="Times New Roman" w:hAnsi="Times New Roman"/>
        </w:rPr>
        <w:t xml:space="preserve"> is the empirical counterpart of the relative source contribution, which the EPA sets at 20% by default when the other sources are unknown [5], and of the WHO allocation factor </w:t>
      </w:r>
      <w:r>
        <w:rPr>
          <w:rFonts w:ascii="Times New Roman" w:cs="Times New Roman" w:eastAsia="Times New Roman" w:hAnsi="Times New Roman"/>
          <w:i/>
          <w:iCs/>
        </w:rPr>
        <w:t xml:space="preserve">P</w:t>
      </w:r>
      <w:r>
        <w:rPr>
          <w:rFonts w:ascii="Times New Roman" w:cs="Times New Roman" w:eastAsia="Times New Roman" w:hAnsi="Times New Roman"/>
        </w:rPr>
        <w:t xml:space="preserve"> in GV = TDI·BW·</w:t>
      </w:r>
      <w:r>
        <w:rPr>
          <w:rFonts w:ascii="Times New Roman" w:cs="Times New Roman" w:eastAsia="Times New Roman" w:hAnsi="Times New Roman"/>
          <w:i/>
          <w:iCs/>
        </w:rPr>
        <w:t xml:space="preserve">P</w:t>
      </w:r>
      <w:r>
        <w:rPr>
          <w:rFonts w:ascii="Times New Roman" w:cs="Times New Roman" w:eastAsia="Times New Roman" w:hAnsi="Times New Roman"/>
        </w:rPr>
        <w:t xml:space="preserve">/</w:t>
      </w:r>
      <w:r>
        <w:rPr>
          <w:rFonts w:ascii="Times New Roman" w:cs="Times New Roman" w:eastAsia="Times New Roman" w:hAnsi="Times New Roman"/>
          <w:i/>
          <w:iCs/>
        </w:rPr>
        <w:t xml:space="preserve">C</w:t>
      </w:r>
      <w:r>
        <w:rPr>
          <w:rFonts w:ascii="Times New Roman" w:cs="Times New Roman" w:eastAsia="Times New Roman" w:hAnsi="Times New Roman"/>
        </w:rPr>
        <w:t xml:space="preserve"> [1]. Equation 8 can also be run in reverse to give a drinking-water value that is consistent with the exposure the population actually receives from its food and air, using the subtraction method bounded by the WHO and EPA floor and ceiling of 20% and 80% [1, 5, 19]:</w:t>
      </w:r>
    </w:p>
    <w:p>
      <w:pPr>
        <w:spacing w:after="160" w:before="120"/>
        <w:jc w:val="center"/>
      </w:pPr>
      <m:oMath>
        <m:sSubSup>
          <m:sSubSupPr/>
          <m:e>
            <m:r>
              <m:t>C</m:t>
            </m:r>
          </m:e>
          <m:sub>
            <m:r>
              <m:t>w,j</m:t>
            </m:r>
          </m:sub>
          <m:sup>
            <m:r>
              <m:t>∗</m:t>
            </m:r>
          </m:sup>
        </m:sSubSup>
        <m:r>
          <m:t> = </m:t>
        </m:r>
        <m:f>
          <m:num>
            <m:sSub>
              <m:sSubPr/>
              <m:e>
                <m:r>
                  <m:t>RfD</m:t>
                </m:r>
              </m:e>
              <m:sub>
                <m:r>
                  <m:t>w,j</m:t>
                </m:r>
              </m:sub>
            </m:sSub>
            <m:r>
              <m:t>·BW·</m:t>
            </m:r>
            <m:sSub>
              <m:sSubPr/>
              <m:e>
                <m:r>
                  <m:t>P</m:t>
                </m:r>
              </m:e>
              <m:sub>
                <m:r>
                  <m:t>w,j</m:t>
                </m:r>
              </m:sub>
            </m:sSub>
          </m:num>
          <m:den>
            <m:sSub>
              <m:sSubPr/>
              <m:e>
                <m:r>
                  <m:t>IR</m:t>
                </m:r>
              </m:e>
              <m:sub>
                <m:r>
                  <m:t>w</m:t>
                </m:r>
              </m:sub>
            </m:sSub>
          </m:den>
        </m:f>
        <m:r>
          <m:t>,   </m:t>
        </m:r>
        <m:sSub>
          <m:sSubPr/>
          <m:e>
            <m:r>
              <m:t>P</m:t>
            </m:r>
          </m:e>
          <m:sub>
            <m:r>
              <m:t>w,j</m:t>
            </m:r>
          </m:sub>
        </m:sSub>
        <m:r>
          <m:t> = min{0.8, max[0.2, 1 − </m:t>
        </m:r>
        <m:sSub>
          <m:sSubPr/>
          <m:e>
            <m:r>
              <m:t>HQ</m:t>
            </m:r>
          </m:e>
          <m:sub>
            <m:r>
              <m:t>f,j</m:t>
            </m:r>
          </m:sub>
        </m:sSub>
        <m:r>
          <m:t> − </m:t>
        </m:r>
        <m:sSub>
          <m:sSubPr/>
          <m:e>
            <m:r>
              <m:t>HQ</m:t>
            </m:r>
          </m:e>
          <m:sub>
            <m:r>
              <m:t>a,j</m:t>
            </m:r>
          </m:sub>
        </m:sSub>
        <m:r>
          <m:t>]}</m:t>
        </m:r>
      </m:oMath>
      <w:r>
        <w:rPr>
          <w:rFonts w:ascii="Times New Roman" w:cs="Times New Roman" w:eastAsia="Times New Roman" w:hAnsi="Times New Roman"/>
        </w:rPr>
        <w:t xml:space="preserve">		(9)</w:t>
      </w:r>
    </w:p>
    <w:p>
      <w:pPr>
        <w:pStyle w:val="Heading2"/>
        <w:keepNext/>
        <w:spacing w:after="120" w:before="200"/>
      </w:pPr>
      <w:r>
        <w:rPr>
          <w:rFonts w:ascii="Times New Roman" w:cs="Times New Roman" w:eastAsia="Times New Roman" w:hAnsi="Times New Roman"/>
          <w:color w:val="2E74B5"/>
          <w:sz w:val="26"/>
          <w:szCs w:val="26"/>
        </w:rPr>
        <w:t xml:space="preserve">2.7 Cumulative risk across metals</w:t>
      </w:r>
    </w:p>
    <w:p>
      <w:pPr>
        <w:spacing w:after="160" w:before="120"/>
        <w:jc w:val="center"/>
      </w:pPr>
      <m:oMath>
        <m:sSub>
          <m:sSubPr/>
          <m:e>
            <m:r>
              <m:t>HI</m:t>
            </m:r>
          </m:e>
          <m:sub>
            <m:r>
              <m:t>o</m:t>
            </m:r>
          </m:sub>
        </m:sSub>
        <m:r>
          <m:t> = </m:t>
        </m:r>
        <m:nary>
          <m:naryPr>
            <m:chr m:val="∑"/>
            <m:limLoc m:val="undOvr"/>
            <m:supHide m:val="1"/>
          </m:naryPr>
          <m:sub>
            <m:r>
              <m:t>j ∈ o</m:t>
            </m:r>
          </m:sub>
          <m:sup/>
          <m:e>
            <m:sSub>
              <m:sSubPr/>
              <m:e>
                <m:r>
                  <m:t>HI</m:t>
                </m:r>
              </m:e>
              <m:sub>
                <m:r>
                  <m:t>agg,j</m:t>
                </m:r>
              </m:sub>
            </m:sSub>
          </m:e>
        </m:nary>
      </m:oMath>
      <w:r>
        <w:rPr>
          <w:rFonts w:ascii="Times New Roman" w:cs="Times New Roman" w:eastAsia="Times New Roman" w:hAnsi="Times New Roman"/>
        </w:rPr>
        <w:t xml:space="preserve">		(10)</w:t>
      </w:r>
    </w:p>
    <w:p>
      <w:pPr>
        <w:spacing w:after="120" w:line="300"/>
        <w:jc w:val="both"/>
      </w:pPr>
      <w:r>
        <w:rPr>
          <w:rFonts w:ascii="Times New Roman" w:cs="Times New Roman" w:eastAsia="Times New Roman" w:hAnsi="Times New Roman"/>
        </w:rPr>
        <w:t xml:space="preserve">Hazard indices are summed across metals only within a target organ </w:t>
      </w:r>
      <w:r>
        <w:rPr>
          <w:rFonts w:ascii="Times New Roman" w:cs="Times New Roman" w:eastAsia="Times New Roman" w:hAnsi="Times New Roman"/>
          <w:i/>
          <w:iCs/>
        </w:rPr>
        <w:t xml:space="preserve">o</w:t>
      </w:r>
      <w:r>
        <w:rPr>
          <w:rFonts w:ascii="Times New Roman" w:cs="Times New Roman" w:eastAsia="Times New Roman" w:hAnsi="Times New Roman"/>
        </w:rPr>
        <w:t xml:space="preserve"> (kidney for Cd, inorganic Hg and Pb; nervous system for MeHg and Pb; the gastrointestinal tract for Cr(VI) and Cu), as recommended for mixtures with common target organs [1, 20]. A sum across all metals regardless of organ is a screening upper bound only.</w:t>
      </w:r>
    </w:p>
    <w:p>
      <w:pPr>
        <w:pStyle w:val="Heading2"/>
        <w:keepNext/>
        <w:spacing w:after="120" w:before="200"/>
      </w:pPr>
      <w:r>
        <w:rPr>
          <w:rFonts w:ascii="Times New Roman" w:cs="Times New Roman" w:eastAsia="Times New Roman" w:hAnsi="Times New Roman"/>
          <w:color w:val="2E74B5"/>
          <w:sz w:val="26"/>
          <w:szCs w:val="26"/>
        </w:rPr>
        <w:t xml:space="preserve">2.8 Probabilistic implementation</w:t>
      </w:r>
    </w:p>
    <w:p>
      <w:pPr>
        <w:spacing w:after="120" w:line="300"/>
        <w:jc w:val="both"/>
      </w:pPr>
      <w:r>
        <w:rPr>
          <w:rFonts w:ascii="Times New Roman" w:cs="Times New Roman" w:eastAsia="Times New Roman" w:hAnsi="Times New Roman"/>
        </w:rPr>
        <w:t xml:space="preserve">The deterministic equations become a population model when each input is replaced by a distribution and Equations 1–10 are evaluated for every simulated individual [4]. Concentrations are described as log-normal (geometric mean and geometric SD from the measured data, with non-detects handled by Kaplan–Meier or regression-on-order-statistics estimation rather than substitution when they exceed about 15% of results [21]); intake rates as log-normal or empirical distributions from a dietary survey of the same population; and body weight as normal or empirical. Water and food concentrations are drawn jointly with a rank correlation ρ, induced by a Gaussian copula or the Iman–Conover method [22], so that a household with contaminated water is more likely also to eat contaminated produce. The outputs are the 50th and 95th percentiles and the exceedance probability Pr(</w:t>
      </w:r>
      <w:r>
        <w:rPr>
          <w:rFonts w:ascii="Times New Roman" w:cs="Times New Roman" w:eastAsia="Times New Roman" w:hAnsi="Times New Roman"/>
          <w:i/>
          <w:iCs/>
        </w:rPr>
        <w:t xml:space="preserve">HI</w:t>
      </w:r>
      <w:r>
        <w:rPr>
          <w:rFonts w:ascii="Times New Roman" w:cs="Times New Roman" w:eastAsia="Times New Roman" w:hAnsi="Times New Roman"/>
          <w:vertAlign w:val="subscript"/>
        </w:rPr>
        <w:t xml:space="preserve">agg</w:t>
      </w:r>
      <w:r>
        <w:rPr>
          <w:rFonts w:ascii="Times New Roman" w:cs="Times New Roman" w:eastAsia="Times New Roman" w:hAnsi="Times New Roman"/>
        </w:rPr>
        <w:t xml:space="preserve"> &gt; 1) or Pr(</w:t>
      </w:r>
      <w:r>
        <w:rPr>
          <w:rFonts w:ascii="Times New Roman" w:cs="Times New Roman" w:eastAsia="Times New Roman" w:hAnsi="Times New Roman"/>
          <w:i/>
          <w:iCs/>
        </w:rPr>
        <w:t xml:space="preserve">MOE</w:t>
      </w:r>
      <w:r>
        <w:rPr>
          <w:rFonts w:ascii="Times New Roman" w:cs="Times New Roman" w:eastAsia="Times New Roman" w:hAnsi="Times New Roman"/>
        </w:rPr>
        <w:t xml:space="preserve"> &lt; 1). The 95th percentile of the aggregate must be computed from the joint simulation; adding route-specific 95th percentiles describes no individual and overstates the tail when routes are independent.</w:t>
      </w:r>
    </w:p>
    <w:p>
      <w:pPr>
        <w:keepNext/>
        <w:spacing w:after="100" w:before="20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Parameters of the integrated equation, with the recommended source and default for the applied (second)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650"/>
        <w:gridCol w:w="2210"/>
      </w:tblGrid>
      <w:tr>
        <w:trPr>
          <w:tblHeader/>
        </w:trPr>
        <w:tc>
          <w:tcPr>
            <w:tcW w:type="dxa" w:w="11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Symbol</w:t>
            </w:r>
          </w:p>
        </w:tc>
        <w:tc>
          <w:tcPr>
            <w:tcW w:type="dxa" w:w="23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Definition (unit)</w:t>
            </w:r>
          </w:p>
        </w:tc>
        <w:tc>
          <w:tcPr>
            <w:tcW w:type="dxa" w:w="36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Recommended source / default</w:t>
            </w:r>
          </w:p>
        </w:tc>
        <w:tc>
          <w:tcPr>
            <w:tcW w:type="dxa" w:w="221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Distribution for Monte Carlo</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w</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Metal in treated tap water (µg/L)</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Measured in the study households; total and, for As/Cr, speciated</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 (GM, GSD); ND by KM/ROS</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IR</w:t>
            </w:r>
            <w:r>
              <w:rPr>
                <w:rFonts w:ascii="Times New Roman" w:cs="Times New Roman" w:eastAsia="Times New Roman" w:hAnsi="Times New Roman"/>
                <w:sz w:val="16"/>
                <w:szCs w:val="16"/>
                <w:vertAlign w:val="subscript"/>
              </w:rPr>
              <w:t xml:space="preserve">w</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Drinking-water intake (L/d)</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Population survey; WHO default 2 L/d [1]</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 / empirical</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k</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Metal in food group k as eaten (µg/kg ww)</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Market-basket or duplicate-diet samples from the same area</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 per food group</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w:t>
            </w:r>
            <w:r>
              <w:rPr>
                <w:rFonts w:ascii="Times New Roman" w:cs="Times New Roman" w:eastAsia="Times New Roman" w:hAnsi="Times New Roman"/>
                <w:sz w:val="16"/>
                <w:szCs w:val="16"/>
                <w:vertAlign w:val="subscript"/>
              </w:rPr>
              <w:t xml:space="preserve">k</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Moisture fraction of food k (–)</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Measured with the concentration</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IR</w:t>
            </w:r>
            <w:r>
              <w:rPr>
                <w:rFonts w:ascii="Times New Roman" w:cs="Times New Roman" w:eastAsia="Times New Roman" w:hAnsi="Times New Roman"/>
                <w:sz w:val="16"/>
                <w:szCs w:val="16"/>
                <w:vertAlign w:val="subscript"/>
              </w:rPr>
              <w:t xml:space="preserve">k</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Intake of food group k (kg/d)</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National dietary survey (24-h recall / FFQ) for the same population</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 / empirical</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k,j</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Fraction present as the toxic species (–)</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Measured (iAs/tAs, Cr(VI)/Cr, MeHg/THg); default 1</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Uniform or beta over measured range</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RBA</w:t>
            </w:r>
            <w:r>
              <w:rPr>
                <w:rFonts w:ascii="Times New Roman" w:cs="Times New Roman" w:eastAsia="Times New Roman" w:hAnsi="Times New Roman"/>
                <w:sz w:val="16"/>
                <w:szCs w:val="16"/>
                <w:vertAlign w:val="subscript"/>
              </w:rPr>
              <w:t xml:space="preserve">k,j</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Relative bioavailability (–)</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In-vitro test calibrated to in-vivo RBA [9, 10]; default 1</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Uniform over measured range</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a</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Metal in ambient PM</w:t>
            </w:r>
            <w:r>
              <w:rPr>
                <w:rFonts w:ascii="Times New Roman" w:cs="Times New Roman" w:eastAsia="Times New Roman" w:hAnsi="Times New Roman"/>
                <w:sz w:val="16"/>
                <w:szCs w:val="16"/>
                <w:vertAlign w:val="subscript"/>
              </w:rPr>
              <w:t xml:space="preserve">10</w:t>
            </w:r>
            <w:r>
              <w:rPr>
                <w:rFonts w:ascii="Times New Roman" w:cs="Times New Roman" w:eastAsia="Times New Roman" w:hAnsi="Times New Roman"/>
                <w:sz w:val="16"/>
                <w:szCs w:val="16"/>
              </w:rPr>
              <w:t xml:space="preserve"> (µg/m³)</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Filter samples at the residential sites, same period</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ET</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Fraction of day exposed (–)</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 for residential (24 h/24 h) [3]</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 or time-activity survey</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InhR</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Inhalation rate (m³/d), MOE only</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20 m³/d adult default; EFH age-specific values [8]</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w:t>
            </w:r>
            <w:r>
              <w:rPr>
                <w:rFonts w:ascii="Times New Roman" w:cs="Times New Roman" w:eastAsia="Times New Roman" w:hAnsi="Times New Roman"/>
                <w:sz w:val="16"/>
                <w:szCs w:val="16"/>
                <w:vertAlign w:val="subscript"/>
              </w:rPr>
              <w:t xml:space="preserve">inh</w:t>
            </w:r>
            <w:r>
              <w:rPr>
                <w:rFonts w:ascii="Times New Roman" w:cs="Times New Roman" w:eastAsia="Times New Roman" w:hAnsi="Times New Roman"/>
                <w:sz w:val="16"/>
                <w:szCs w:val="16"/>
              </w:rPr>
              <w:t xml:space="preserve">/F</w:t>
            </w:r>
            <w:r>
              <w:rPr>
                <w:rFonts w:ascii="Times New Roman" w:cs="Times New Roman" w:eastAsia="Times New Roman" w:hAnsi="Times New Roman"/>
                <w:sz w:val="16"/>
                <w:szCs w:val="16"/>
                <w:vertAlign w:val="subscript"/>
              </w:rPr>
              <w:t xml:space="preserve">oral</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Route-to-route absorption ratio (–)</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Metal-specific; ECHA default 2 [6]</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Sensitivity 1–5</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BW</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Body weight (kg)</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Measured in the population; WHO default 60, EPA 80 [1, 23]</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Normal / empirical</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EF</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Exposure frequency (d/y)</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350 (EPA residential) or 365 [23]</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ED</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Exposure duration (y)</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Study-specific; EPA residential 26 [23]</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AT</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Averaging time (d)</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ED×365 for threshold effects; 70×365 for cancer [2]</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ρ</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Rank correlation of log C</w:t>
            </w:r>
            <w:r>
              <w:rPr>
                <w:rFonts w:ascii="Times New Roman" w:cs="Times New Roman" w:eastAsia="Times New Roman" w:hAnsi="Times New Roman"/>
                <w:sz w:val="16"/>
                <w:szCs w:val="16"/>
                <w:vertAlign w:val="subscript"/>
              </w:rPr>
              <w:t xml:space="preserve">w</w:t>
            </w:r>
            <w:r>
              <w:rPr>
                <w:rFonts w:ascii="Times New Roman" w:cs="Times New Roman" w:eastAsia="Times New Roman" w:hAnsi="Times New Roman"/>
                <w:sz w:val="16"/>
                <w:szCs w:val="16"/>
              </w:rPr>
              <w:t xml:space="preserve"> and log C</w:t>
            </w:r>
            <w:r>
              <w:rPr>
                <w:rFonts w:ascii="Times New Roman" w:cs="Times New Roman" w:eastAsia="Times New Roman" w:hAnsi="Times New Roman"/>
                <w:sz w:val="16"/>
                <w:szCs w:val="16"/>
                <w:vertAlign w:val="subscript"/>
              </w:rPr>
              <w:t xml:space="preserve">k</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Estimated from paired household data; sensitivity 0–0.8</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RfD, RfC, CSF, IUR, BMDL</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Toxicity values</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Manuscript Table 3 (verified agency values)</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 (state source and date)</w:t>
            </w:r>
          </w:p>
        </w:tc>
      </w:tr>
    </w:tbl>
    <w:p>
      <w:pPr>
        <w:spacing w:after="200" w:before="60"/>
        <w:jc w:val="both"/>
      </w:pPr>
      <w:r>
        <w:rPr>
          <w:rFonts w:ascii="Times New Roman" w:cs="Times New Roman" w:eastAsia="Times New Roman" w:hAnsi="Times New Roman"/>
          <w:color w:val="404040"/>
          <w:sz w:val="16"/>
          <w:szCs w:val="16"/>
        </w:rPr>
        <w:t xml:space="preserve">ND, non-detect; KM, Kaplan–Meier; ROS, regression on order statistics; FFQ, food-frequency questionnaire; GM/GSD, geometric mean/standard deviation.</w:t>
      </w:r>
    </w:p>
    <w:p>
      <w:pPr>
        <w:pStyle w:val="Heading2"/>
        <w:keepNext/>
        <w:spacing w:after="120" w:before="200"/>
      </w:pPr>
      <w:r>
        <w:rPr>
          <w:rFonts w:ascii="Times New Roman" w:cs="Times New Roman" w:eastAsia="Times New Roman" w:hAnsi="Times New Roman"/>
          <w:color w:val="2E74B5"/>
          <w:sz w:val="26"/>
          <w:szCs w:val="26"/>
        </w:rPr>
        <w:t xml:space="preserve">2.9 Illustrative application</w:t>
      </w:r>
    </w:p>
    <w:p>
      <w:pPr>
        <w:spacing w:after="120" w:line="300"/>
        <w:jc w:val="both"/>
      </w:pPr>
      <w:r>
        <w:rPr>
          <w:rFonts w:ascii="Times New Roman" w:cs="Times New Roman" w:eastAsia="Times New Roman" w:hAnsi="Times New Roman"/>
        </w:rPr>
        <w:t xml:space="preserve">The equations were applied to the only dataset in the review in which water and an exposure food were measured at the same place: Honghu Lake, China, where Zhang et al. analysed lake water at 20 sites and the muscle of six fish species [24]. Scenario A combines the measured lake-water concentrations (assuming, for illustration only, that untreated lake water were drunk at 2 L/d) with fish intake at the authors’ consumption rate of 54.3 g/d and body weight of 61.6 kg. No air was measured; scenario B adds ambient air at the EU target or limit value (As 6, Cd 5 ng/m³; Pb 0.5 µg/m³) [25] to show how far an unmeasured medium could move the result. Fish total arsenic, below detection in five of six species, was treated as wholly inorganic, and total chromium was bounded by assuming it to be entirely Cr(III) or entirely Cr(VI). Results are in Table 2 and Figure 1.</w:t>
      </w:r>
    </w:p>
    <w:p>
      <w:pPr>
        <w:keepNext/>
        <w:spacing w:after="100" w:before="20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Illustrative aggregate assessment for Honghu Lake (data from Zhang et al. 2017 [24]). Doses in ng/kg bw/day.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40"/>
        <w:gridCol w:w="640"/>
        <w:gridCol w:w="900"/>
        <w:gridCol w:w="1250"/>
        <w:gridCol w:w="1050"/>
        <w:gridCol w:w="950"/>
        <w:gridCol w:w="900"/>
        <w:gridCol w:w="1050"/>
        <w:gridCol w:w="730"/>
      </w:tblGrid>
      <w:tr>
        <w:trPr>
          <w:tblHeader/>
        </w:trPr>
        <w:tc>
          <w:tcPr>
            <w:tcW w:type="dxa" w:w="12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Metal</w:t>
            </w:r>
          </w:p>
        </w:tc>
        <w:tc>
          <w:tcPr>
            <w:tcW w:type="dxa" w:w="64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D</w:t>
            </w:r>
            <w:r>
              <w:rPr>
                <w:rFonts w:ascii="Times New Roman" w:cs="Times New Roman" w:eastAsia="Times New Roman" w:hAnsi="Times New Roman"/>
                <w:b/>
                <w:bCs/>
                <w:sz w:val="16"/>
                <w:szCs w:val="16"/>
                <w:vertAlign w:val="subscript"/>
              </w:rPr>
              <w:t xml:space="preserve">w</w:t>
            </w:r>
          </w:p>
        </w:tc>
        <w:tc>
          <w:tcPr>
            <w:tcW w:type="dxa" w:w="64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D</w:t>
            </w:r>
            <w:r>
              <w:rPr>
                <w:rFonts w:ascii="Times New Roman" w:cs="Times New Roman" w:eastAsia="Times New Roman" w:hAnsi="Times New Roman"/>
                <w:b/>
                <w:bCs/>
                <w:sz w:val="16"/>
                <w:szCs w:val="16"/>
                <w:vertAlign w:val="subscript"/>
              </w:rPr>
              <w:t xml:space="preserve">f</w:t>
            </w:r>
          </w:p>
        </w:tc>
        <w:tc>
          <w:tcPr>
            <w:tcW w:type="dxa" w:w="9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HI</w:t>
            </w:r>
            <w:r>
              <w:rPr>
                <w:rFonts w:ascii="Times New Roman" w:cs="Times New Roman" w:eastAsia="Times New Roman" w:hAnsi="Times New Roman"/>
                <w:b/>
                <w:bCs/>
                <w:sz w:val="16"/>
                <w:szCs w:val="16"/>
                <w:vertAlign w:val="subscript"/>
              </w:rPr>
              <w:t xml:space="preserve">agg</w:t>
            </w:r>
            <w:r>
              <w:rPr>
                <w:rFonts w:ascii="Times New Roman" w:cs="Times New Roman" w:eastAsia="Times New Roman" w:hAnsi="Times New Roman"/>
                <w:b/>
                <w:bCs/>
                <w:sz w:val="16"/>
                <w:szCs w:val="16"/>
              </w:rPr>
              <w:t xml:space="preserve"> (A)</w:t>
            </w:r>
          </w:p>
        </w:tc>
        <w:tc>
          <w:tcPr>
            <w:tcW w:type="dxa" w:w="12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Water / fish share (A)</w:t>
            </w:r>
          </w:p>
        </w:tc>
        <w:tc>
          <w:tcPr>
            <w:tcW w:type="dxa" w:w="10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MOE (A)</w:t>
            </w:r>
          </w:p>
        </w:tc>
        <w:tc>
          <w:tcPr>
            <w:tcW w:type="dxa" w:w="9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ILCR (A)</w:t>
            </w:r>
          </w:p>
        </w:tc>
        <w:tc>
          <w:tcPr>
            <w:tcW w:type="dxa" w:w="9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HI</w:t>
            </w:r>
            <w:r>
              <w:rPr>
                <w:rFonts w:ascii="Times New Roman" w:cs="Times New Roman" w:eastAsia="Times New Roman" w:hAnsi="Times New Roman"/>
                <w:b/>
                <w:bCs/>
                <w:sz w:val="16"/>
                <w:szCs w:val="16"/>
                <w:vertAlign w:val="subscript"/>
              </w:rPr>
              <w:t xml:space="preserve">agg</w:t>
            </w:r>
            <w:r>
              <w:rPr>
                <w:rFonts w:ascii="Times New Roman" w:cs="Times New Roman" w:eastAsia="Times New Roman" w:hAnsi="Times New Roman"/>
                <w:b/>
                <w:bCs/>
                <w:sz w:val="16"/>
                <w:szCs w:val="16"/>
              </w:rPr>
              <w:t xml:space="preserve"> (B)</w:t>
            </w:r>
          </w:p>
        </w:tc>
        <w:tc>
          <w:tcPr>
            <w:tcW w:type="dxa" w:w="10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MOE (B)</w:t>
            </w:r>
          </w:p>
        </w:tc>
        <w:tc>
          <w:tcPr>
            <w:tcW w:type="dxa" w:w="73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Air share (B)</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Inorganic As</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32.1</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1.18</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0.56</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96% / 4%</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1.80</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4.6×10</w:t>
            </w:r>
            <w:r>
              <w:rPr>
                <w:rFonts w:ascii="Times New Roman" w:cs="Times New Roman" w:eastAsia="Times New Roman" w:hAnsi="Times New Roman"/>
                <w:sz w:val="16"/>
                <w:szCs w:val="16"/>
                <w:vertAlign w:val="superscript"/>
              </w:rPr>
              <w:t xml:space="preserve">-4</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0.96</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1.61</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42%</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Cd</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4.55</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5.84</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0.015</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61% / 39%</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0.51</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97%</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Cr as Cr(III)</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52.9</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893</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0.00063</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6% / 94%</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0.00063</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Cr as Cr(VI)</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52.9</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893</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1.05</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6% / 94%</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1.1×10</w:t>
            </w:r>
            <w:r>
              <w:rPr>
                <w:rFonts w:ascii="Times New Roman" w:cs="Times New Roman" w:eastAsia="Times New Roman" w:hAnsi="Times New Roman"/>
                <w:sz w:val="16"/>
                <w:szCs w:val="16"/>
                <w:vertAlign w:val="superscript"/>
              </w:rPr>
              <w:t xml:space="preserve">-4</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1.05</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Cu</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100</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775</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0.022</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11% / 89%</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0.022</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Pb</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111</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91.3</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55% / 45%</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7.41 / 3.11</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7.4×10</w:t>
            </w:r>
            <w:r>
              <w:rPr>
                <w:rFonts w:ascii="Times New Roman" w:cs="Times New Roman" w:eastAsia="Times New Roman" w:hAnsi="Times New Roman"/>
                <w:sz w:val="16"/>
                <w:szCs w:val="16"/>
                <w:vertAlign w:val="superscript"/>
              </w:rPr>
              <w:t xml:space="preserve">-7</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2.85 / 1.20</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62%</w:t>
            </w:r>
          </w:p>
        </w:tc>
      </w:tr>
    </w:tbl>
    <w:p>
      <w:pPr>
        <w:spacing w:after="200" w:before="60"/>
        <w:jc w:val="both"/>
      </w:pPr>
      <w:r>
        <w:rPr>
          <w:rFonts w:ascii="Times New Roman" w:cs="Times New Roman" w:eastAsia="Times New Roman" w:hAnsi="Times New Roman"/>
          <w:color w:val="404040"/>
          <w:sz w:val="16"/>
          <w:szCs w:val="16"/>
        </w:rPr>
        <w:t xml:space="preserve">A: lake water + fish (co-located, measured). B: A + air at EU target/limit values (scenario). MOE for Pb is given as SBP / CKD (BMDL 1.50 / 0.63 µg/kg bw/day); MOE for As uses BMDL</w:t>
      </w:r>
      <w:r>
        <w:rPr>
          <w:rFonts w:ascii="Times New Roman" w:cs="Times New Roman" w:eastAsia="Times New Roman" w:hAnsi="Times New Roman"/>
          <w:color w:val="404040"/>
          <w:sz w:val="16"/>
          <w:szCs w:val="16"/>
          <w:vertAlign w:val="subscript"/>
        </w:rPr>
        <w:t xml:space="preserve">05</w:t>
      </w:r>
      <w:r>
        <w:rPr>
          <w:rFonts w:ascii="Times New Roman" w:cs="Times New Roman" w:eastAsia="Times New Roman" w:hAnsi="Times New Roman"/>
          <w:color w:val="404040"/>
          <w:sz w:val="16"/>
          <w:szCs w:val="16"/>
        </w:rPr>
        <w:t xml:space="preserve"> 0.06 µg/kg bw/day. Pb air share is of total oral-equivalent dose (Equation 6, F</w:t>
      </w:r>
      <w:r>
        <w:rPr>
          <w:rFonts w:ascii="Times New Roman" w:cs="Times New Roman" w:eastAsia="Times New Roman" w:hAnsi="Times New Roman"/>
          <w:color w:val="404040"/>
          <w:sz w:val="16"/>
          <w:szCs w:val="16"/>
          <w:vertAlign w:val="subscript"/>
        </w:rPr>
        <w:t xml:space="preserve">inh</w:t>
      </w:r>
      <w:r>
        <w:rPr>
          <w:rFonts w:ascii="Times New Roman" w:cs="Times New Roman" w:eastAsia="Times New Roman" w:hAnsi="Times New Roman"/>
          <w:color w:val="404040"/>
          <w:sz w:val="16"/>
          <w:szCs w:val="16"/>
        </w:rPr>
        <w:t xml:space="preserve">/F</w:t>
      </w:r>
      <w:r>
        <w:rPr>
          <w:rFonts w:ascii="Times New Roman" w:cs="Times New Roman" w:eastAsia="Times New Roman" w:hAnsi="Times New Roman"/>
          <w:color w:val="404040"/>
          <w:sz w:val="16"/>
          <w:szCs w:val="16"/>
          <w:vertAlign w:val="subscript"/>
        </w:rPr>
        <w:t xml:space="preserve">oral</w:t>
      </w:r>
      <w:r>
        <w:rPr>
          <w:rFonts w:ascii="Times New Roman" w:cs="Times New Roman" w:eastAsia="Times New Roman" w:hAnsi="Times New Roman"/>
          <w:color w:val="404040"/>
          <w:sz w:val="16"/>
          <w:szCs w:val="16"/>
        </w:rPr>
        <w:t xml:space="preserve"> = 2). The developmental BMDL for Pb (0.50) applies to children and is not used for this adult scenario.</w:t>
      </w:r>
    </w:p>
    <w:p>
      <w:pPr>
        <w:spacing w:after="120" w:line="300"/>
        <w:jc w:val="both"/>
      </w:pPr>
      <w:r>
        <w:rPr>
          <w:rFonts w:ascii="Times New Roman" w:cs="Times New Roman" w:eastAsia="Times New Roman" w:hAnsi="Times New Roman"/>
        </w:rPr>
        <w:t xml:space="preserve">Four results illustrate what the aggregate equation adds. First, the medium that dominates differs by metal within one population: water supplied 96% of the inorganic-arsenic hazard and 61% of the cadmium hazard, whereas fish supplied 89% of the copper hazard and 94% of the chromium hazard. No single default allocation fits all four. Second, speciation decides the conclusion for chromium: the same measurements give an aggregate HI of 0.00063 if the metal is trivalent and 1.05 if it is hexavalent. Third, the unmeasured medium matters: adding air at the EU target value raised the cadmium HI from 0.015 to 0.51 and reduced the lead MOE for kidney disease from 3.11 to 1.20, so a study that omits air cannot be assumed conservative. Fourth, under the 2025 IRIS slope factor the aggregate cancer risk from inorganic arsenic at a water concentration below 1 µg/L was 4.6×10</w:t>
      </w:r>
      <w:r>
        <w:rPr>
          <w:rFonts w:ascii="Times New Roman" w:cs="Times New Roman" w:eastAsia="Times New Roman" w:hAnsi="Times New Roman"/>
          <w:vertAlign w:val="superscript"/>
        </w:rPr>
        <w:t xml:space="preserve">-4</w:t>
      </w:r>
      <w:r>
        <w:rPr>
          <w:rFonts w:ascii="Times New Roman" w:cs="Times New Roman" w:eastAsia="Times New Roman" w:hAnsi="Times New Roman"/>
        </w:rPr>
        <w:t xml:space="preserve">, already above the 10</w:t>
      </w:r>
      <w:r>
        <w:rPr>
          <w:rFonts w:ascii="Times New Roman" w:cs="Times New Roman" w:eastAsia="Times New Roman" w:hAnsi="Times New Roman"/>
          <w:vertAlign w:val="superscript"/>
        </w:rPr>
        <w:t xml:space="preserve">-4</w:t>
      </w:r>
      <w:r>
        <w:rPr>
          <w:rFonts w:ascii="Times New Roman" w:cs="Times New Roman" w:eastAsia="Times New Roman" w:hAnsi="Times New Roman"/>
        </w:rPr>
        <w:t xml:space="preserve"> upper bound of the conventional acceptable range, which indicates how strongly the revised toxicity value changes the interpretation of earlier studies [18].</w:t>
      </w:r>
    </w:p>
    <w:p>
      <w:pPr>
        <w:spacing w:after="120" w:line="300"/>
        <w:jc w:val="both"/>
      </w:pPr>
      <w:r>
        <w:rPr>
          <w:rFonts w:ascii="Times New Roman" w:cs="Times New Roman" w:eastAsia="Times New Roman" w:hAnsi="Times New Roman"/>
        </w:rPr>
        <w:t xml:space="preserve">The Monte Carlo analysis (100,000 iterations; coefficient of variation 1.0 assumed for water, for which the source reports no SD) gave a 95th-percentile lead dose of 568 ng/kg bw/day with independent media and 616 with a water–fish correlation of 0.6, against a deterministic mean of 202; the corresponding MOE for kidney disease at the 95th percentile fell to 1.11 and 1.02. Summing the route-specific 95th percentiles instead gave 675 ng/kg bw/day, a value that corresponds to no simulated individual. For cadmium the context-specific drinking-water value from Equation 9 was 12.3 µg/L (allocation bounded at 80% because the diet used only 1% of the RfD), compared with the WHO guideline value of 3 µg/L derived from a default 10% allocation [1]; for inorganic arsenic the same calculation with the 2025 RfD gave 1.48 µg/L, well below the provisional WHO value of 10 µg/L, which is set on analytical and treatment achievability rather than on health grounds [1].</w:t>
      </w:r>
    </w:p>
    <w:p>
      <w:pPr>
        <w:spacing w:after="120" w:line="300"/>
        <w:jc w:val="both"/>
      </w:pPr>
      <w:r>
        <w:rPr>
          <w:rFonts w:ascii="Times New Roman" w:cs="Times New Roman" w:eastAsia="Times New Roman" w:hAnsi="Times New Roman"/>
        </w:rPr>
        <w:t xml:space="preserve">These numbers are an illustration of the method on real co-located data, not a risk assessment of Honghu Lake residents: lake water is not the drinking-water supply, air was not measured, and arsenic and chromium were not speciated. Each of these gaps is a design requirement for the applied study (Sections 3–4 below).</w:t>
      </w:r>
    </w:p>
    <w:p>
      <w:pPr>
        <w:keepNext/>
        <w:spacing w:after="60" w:before="120"/>
        <w:jc w:val="center"/>
      </w:pPr>
      <w:r>
        <w:drawing>
          <wp:inline distT="0" distB="0" distL="0" distR="0">
            <wp:extent cx="5667375" cy="3467100"/>
            <wp:effectExtent t="0" r="0" b="0" l="0"/>
            <wp:docPr id="1" name="/tmp/claude-0/-home-user-python-dashboard/c55fee97-9d4f-5f18-9111-169e41a6971a/scratchpad/work/fig5_worked_example.png" descr="/tmp/claude-0/-home-user-python-dashboard/c55fee97-9d4f-5f18-9111-169e41a6971a/scratchpad/work/fig5_worked_example.png" title="/tmp/claude-0/-home-user-python-dashboard/c55fee97-9d4f-5f18-9111-169e41a6971a/scratchpad/work/fig5_worked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467100"/>
                    </a:xfrm>
                    <a:prstGeom prst="rect">
                      <a:avLst/>
                    </a:prstGeom>
                  </pic:spPr>
                </pic:pic>
              </a:graphicData>
            </a:graphic>
          </wp:inline>
        </w:drawing>
      </w:r>
    </w:p>
    <w:p>
      <w:pPr>
        <w:keepNext/>
        <w:spacing w:after="100" w:before="20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Contribution of each medium to the aggregate hazard index (Pb: to the total oral-equivalent dose) in the Honghu Lake illustration. A, measured water and fish; B, with air at the EU target or limit value. The index value is given at the right of each bar.</w:t>
      </w:r>
    </w:p>
    <w:p>
      <w:pPr>
        <w:pStyle w:val="Heading1"/>
        <w:keepNext/>
        <w:spacing w:after="120" w:before="300"/>
      </w:pPr>
      <w:r>
        <w:rPr>
          <w:rFonts w:ascii="Times New Roman" w:cs="Times New Roman" w:eastAsia="Times New Roman" w:hAnsi="Times New Roman"/>
          <w:color w:val="2E74B5"/>
          <w:sz w:val="32"/>
          <w:szCs w:val="32"/>
        </w:rPr>
        <w:t xml:space="preserve">3. Workflow for the applied study</w:t>
      </w:r>
    </w:p>
    <w:p>
      <w:pPr>
        <w:pStyle w:val="ListParagraph"/>
        <w:numPr>
          <w:ilvl w:val="0"/>
          <w:numId w:val="3"/>
        </w:numPr>
        <w:spacing w:after="80" w:line="290"/>
        <w:jc w:val="both"/>
      </w:pPr>
      <w:r>
        <w:rPr>
          <w:rFonts w:ascii="Times New Roman" w:cs="Times New Roman" w:eastAsia="Times New Roman" w:hAnsi="Times New Roman"/>
          <w:b/>
          <w:bCs/>
        </w:rPr>
        <w:t xml:space="preserve">Define the population and the sampling frame.</w:t>
      </w:r>
      <w:r>
        <w:rPr>
          <w:rFonts w:ascii="Times New Roman" w:cs="Times New Roman" w:eastAsia="Times New Roman" w:hAnsi="Times New Roman"/>
        </w:rPr>
        <w:t xml:space="preserve"> Households or communities served by one water supply, sharing a local food market and an air shed; record age, sex and body weight.</w:t>
      </w:r>
    </w:p>
    <w:p>
      <w:pPr>
        <w:pStyle w:val="ListParagraph"/>
        <w:numPr>
          <w:ilvl w:val="0"/>
          <w:numId w:val="3"/>
        </w:numPr>
        <w:spacing w:after="80" w:line="290"/>
        <w:jc w:val="both"/>
      </w:pPr>
      <w:r>
        <w:rPr>
          <w:rFonts w:ascii="Times New Roman" w:cs="Times New Roman" w:eastAsia="Times New Roman" w:hAnsi="Times New Roman"/>
          <w:b/>
          <w:bCs/>
        </w:rPr>
        <w:t xml:space="preserve">Sample all three media in the same period.</w:t>
      </w:r>
      <w:r>
        <w:rPr>
          <w:rFonts w:ascii="Times New Roman" w:cs="Times New Roman" w:eastAsia="Times New Roman" w:hAnsi="Times New Roman"/>
        </w:rPr>
        <w:t xml:space="preserve"> Tap water (after treatment) in each household; the diet as consumed (duplicate-diet or market basket of the food groups that supply ≥ 90% of intake); ambient PM</w:t>
      </w:r>
      <w:r>
        <w:rPr>
          <w:rFonts w:ascii="Times New Roman" w:cs="Times New Roman" w:eastAsia="Times New Roman" w:hAnsi="Times New Roman"/>
          <w:vertAlign w:val="subscript"/>
        </w:rPr>
        <w:t xml:space="preserve">10</w:t>
      </w:r>
      <w:r>
        <w:rPr>
          <w:rFonts w:ascii="Times New Roman" w:cs="Times New Roman" w:eastAsia="Times New Roman" w:hAnsi="Times New Roman"/>
        </w:rPr>
        <w:t xml:space="preserve"> filters at residential sites.</w:t>
      </w:r>
    </w:p>
    <w:p>
      <w:pPr>
        <w:pStyle w:val="ListParagraph"/>
        <w:numPr>
          <w:ilvl w:val="0"/>
          <w:numId w:val="3"/>
        </w:numPr>
        <w:spacing w:after="80" w:line="290"/>
        <w:jc w:val="both"/>
      </w:pPr>
      <w:r>
        <w:rPr>
          <w:rFonts w:ascii="Times New Roman" w:cs="Times New Roman" w:eastAsia="Times New Roman" w:hAnsi="Times New Roman"/>
          <w:b/>
          <w:bCs/>
        </w:rPr>
        <w:t xml:space="preserve">Measure the right form.</w:t>
      </w:r>
      <w:r>
        <w:rPr>
          <w:rFonts w:ascii="Times New Roman" w:cs="Times New Roman" w:eastAsia="Times New Roman" w:hAnsi="Times New Roman"/>
        </w:rPr>
        <w:t xml:space="preserve"> ICP-MS (or equivalent) with CRMs, recovery and LOD/LOQ; inorganic arsenic by HPLC-ICP-MS; Cr(VI) by ion chromatography or speciated method; methylmercury in fish. Report food on a wet-weight basis with moisture content.</w:t>
      </w:r>
    </w:p>
    <w:p>
      <w:pPr>
        <w:pStyle w:val="ListParagraph"/>
        <w:numPr>
          <w:ilvl w:val="0"/>
          <w:numId w:val="3"/>
        </w:numPr>
        <w:spacing w:after="80" w:line="290"/>
        <w:jc w:val="both"/>
      </w:pPr>
      <w:r>
        <w:rPr>
          <w:rFonts w:ascii="Times New Roman" w:cs="Times New Roman" w:eastAsia="Times New Roman" w:hAnsi="Times New Roman"/>
          <w:b/>
          <w:bCs/>
        </w:rPr>
        <w:t xml:space="preserve">Measure intake.</w:t>
      </w:r>
      <w:r>
        <w:rPr>
          <w:rFonts w:ascii="Times New Roman" w:cs="Times New Roman" w:eastAsia="Times New Roman" w:hAnsi="Times New Roman"/>
        </w:rPr>
        <w:t xml:space="preserve"> Water intake and food consumption by 24-h recall or FFQ for the same individuals; time–activity for ET.</w:t>
      </w:r>
    </w:p>
    <w:p>
      <w:pPr>
        <w:pStyle w:val="ListParagraph"/>
        <w:numPr>
          <w:ilvl w:val="0"/>
          <w:numId w:val="3"/>
        </w:numPr>
        <w:spacing w:after="80" w:line="290"/>
        <w:jc w:val="both"/>
      </w:pPr>
      <w:r>
        <w:rPr>
          <w:rFonts w:ascii="Times New Roman" w:cs="Times New Roman" w:eastAsia="Times New Roman" w:hAnsi="Times New Roman"/>
          <w:b/>
          <w:bCs/>
        </w:rPr>
        <w:t xml:space="preserve">Handle non-detects.</w:t>
      </w:r>
      <w:r>
        <w:rPr>
          <w:rFonts w:ascii="Times New Roman" w:cs="Times New Roman" w:eastAsia="Times New Roman" w:hAnsi="Times New Roman"/>
        </w:rPr>
        <w:t xml:space="preserve"> LOD/2 only when &lt; 15% are non-detects; otherwise Kaplan–Meier or ROS [21].</w:t>
      </w:r>
    </w:p>
    <w:p>
      <w:pPr>
        <w:pStyle w:val="ListParagraph"/>
        <w:numPr>
          <w:ilvl w:val="0"/>
          <w:numId w:val="3"/>
        </w:numPr>
        <w:spacing w:after="80" w:line="290"/>
        <w:jc w:val="both"/>
      </w:pPr>
      <w:r>
        <w:rPr>
          <w:rFonts w:ascii="Times New Roman" w:cs="Times New Roman" w:eastAsia="Times New Roman" w:hAnsi="Times New Roman"/>
          <w:b/>
          <w:bCs/>
        </w:rPr>
        <w:t xml:space="preserve">Compute deterministic results.</w:t>
      </w:r>
      <w:r>
        <w:rPr>
          <w:rFonts w:ascii="Times New Roman" w:cs="Times New Roman" w:eastAsia="Times New Roman" w:hAnsi="Times New Roman"/>
        </w:rPr>
        <w:t xml:space="preserve"> Enter the data in the Excel calculator (Integrated_HRA_Calculator.xlsx) or run integrated_hra.py: route doses, HQs, HI</w:t>
      </w:r>
      <w:r>
        <w:rPr>
          <w:rFonts w:ascii="Times New Roman" w:cs="Times New Roman" w:eastAsia="Times New Roman" w:hAnsi="Times New Roman"/>
          <w:vertAlign w:val="subscript"/>
        </w:rPr>
        <w:t xml:space="preserve">agg</w:t>
      </w:r>
      <w:r>
        <w:rPr>
          <w:rFonts w:ascii="Times New Roman" w:cs="Times New Roman" w:eastAsia="Times New Roman" w:hAnsi="Times New Roman"/>
        </w:rPr>
        <w:t xml:space="preserve">, f</w:t>
      </w:r>
      <w:r>
        <w:rPr>
          <w:rFonts w:ascii="Times New Roman" w:cs="Times New Roman" w:eastAsia="Times New Roman" w:hAnsi="Times New Roman"/>
          <w:vertAlign w:val="subscript"/>
        </w:rPr>
        <w:t xml:space="preserve">m</w:t>
      </w:r>
      <w:r>
        <w:rPr>
          <w:rFonts w:ascii="Times New Roman" w:cs="Times New Roman" w:eastAsia="Times New Roman" w:hAnsi="Times New Roman"/>
        </w:rPr>
        <w:t xml:space="preserve">, MOE, ILCR and the context-specific water value for each metal.</w:t>
      </w:r>
    </w:p>
    <w:p>
      <w:pPr>
        <w:pStyle w:val="ListParagraph"/>
        <w:numPr>
          <w:ilvl w:val="0"/>
          <w:numId w:val="3"/>
        </w:numPr>
        <w:spacing w:after="80" w:line="290"/>
        <w:jc w:val="both"/>
      </w:pPr>
      <w:r>
        <w:rPr>
          <w:rFonts w:ascii="Times New Roman" w:cs="Times New Roman" w:eastAsia="Times New Roman" w:hAnsi="Times New Roman"/>
          <w:b/>
          <w:bCs/>
        </w:rPr>
        <w:t xml:space="preserve">Compute probabilistic results.</w:t>
      </w:r>
      <w:r>
        <w:rPr>
          <w:rFonts w:ascii="Times New Roman" w:cs="Times New Roman" w:eastAsia="Times New Roman" w:hAnsi="Times New Roman"/>
        </w:rPr>
        <w:t xml:space="preserve"> Fit distributions to each input, estimate ρ between water and food concentrations from the paired household data, and run ≥ 10,000 iterations; report P50, P95 and Pr(HI</w:t>
      </w:r>
      <w:r>
        <w:rPr>
          <w:rFonts w:ascii="Times New Roman" w:cs="Times New Roman" w:eastAsia="Times New Roman" w:hAnsi="Times New Roman"/>
          <w:vertAlign w:val="subscript"/>
        </w:rPr>
        <w:t xml:space="preserve">agg</w:t>
      </w:r>
      <w:r>
        <w:rPr>
          <w:rFonts w:ascii="Times New Roman" w:cs="Times New Roman" w:eastAsia="Times New Roman" w:hAnsi="Times New Roman"/>
        </w:rPr>
        <w:t xml:space="preserve"> &gt; 1) or Pr(MOE &lt; 1); report Spearman sensitivity of each input [4, 22].</w:t>
      </w:r>
    </w:p>
    <w:p>
      <w:pPr>
        <w:pStyle w:val="ListParagraph"/>
        <w:numPr>
          <w:ilvl w:val="0"/>
          <w:numId w:val="3"/>
        </w:numPr>
        <w:spacing w:after="80" w:line="290"/>
        <w:jc w:val="both"/>
      </w:pPr>
      <w:r>
        <w:rPr>
          <w:rFonts w:ascii="Times New Roman" w:cs="Times New Roman" w:eastAsia="Times New Roman" w:hAnsi="Times New Roman"/>
          <w:b/>
          <w:bCs/>
        </w:rPr>
        <w:t xml:space="preserve">Compare frameworks.</w:t>
      </w:r>
      <w:r>
        <w:rPr>
          <w:rFonts w:ascii="Times New Roman" w:cs="Times New Roman" w:eastAsia="Times New Roman" w:hAnsi="Times New Roman"/>
        </w:rPr>
        <w:t xml:space="preserve"> Report the default-allocation (20%) result, the subtraction-method result (Eq. 9) and the REACH-style summed RCR on the same exposures.</w:t>
      </w:r>
    </w:p>
    <w:p>
      <w:pPr>
        <w:pStyle w:val="ListParagraph"/>
        <w:numPr>
          <w:ilvl w:val="0"/>
          <w:numId w:val="3"/>
        </w:numPr>
        <w:spacing w:after="80" w:line="290"/>
        <w:jc w:val="both"/>
      </w:pPr>
      <w:r>
        <w:rPr>
          <w:rFonts w:ascii="Times New Roman" w:cs="Times New Roman" w:eastAsia="Times New Roman" w:hAnsi="Times New Roman"/>
          <w:b/>
          <w:bCs/>
        </w:rPr>
        <w:t xml:space="preserve">Sensitivity analyses.</w:t>
      </w:r>
      <w:r>
        <w:rPr>
          <w:rFonts w:ascii="Times New Roman" w:cs="Times New Roman" w:eastAsia="Times New Roman" w:hAnsi="Times New Roman"/>
        </w:rPr>
        <w:t xml:space="preserve"> Toxicity values (current vs previous), speciation fractions, RBA = 1 vs measured, ρ = 0 vs estimated, F</w:t>
      </w:r>
      <w:r>
        <w:rPr>
          <w:rFonts w:ascii="Times New Roman" w:cs="Times New Roman" w:eastAsia="Times New Roman" w:hAnsi="Times New Roman"/>
          <w:vertAlign w:val="subscript"/>
        </w:rPr>
        <w:t xml:space="preserve">inh</w:t>
      </w:r>
      <w:r>
        <w:rPr>
          <w:rFonts w:ascii="Times New Roman" w:cs="Times New Roman" w:eastAsia="Times New Roman" w:hAnsi="Times New Roman"/>
        </w:rPr>
        <w:t xml:space="preserve">/F</w:t>
      </w:r>
      <w:r>
        <w:rPr>
          <w:rFonts w:ascii="Times New Roman" w:cs="Times New Roman" w:eastAsia="Times New Roman" w:hAnsi="Times New Roman"/>
          <w:vertAlign w:val="subscript"/>
        </w:rPr>
        <w:t xml:space="preserve">oral</w:t>
      </w:r>
      <w:r>
        <w:rPr>
          <w:rFonts w:ascii="Times New Roman" w:cs="Times New Roman" w:eastAsia="Times New Roman" w:hAnsi="Times New Roman"/>
        </w:rPr>
        <w:t xml:space="preserve"> 1–5.</w:t>
      </w:r>
    </w:p>
    <w:p>
      <w:pPr>
        <w:pStyle w:val="Heading1"/>
        <w:keepNext/>
        <w:spacing w:after="120" w:before="300"/>
      </w:pPr>
      <w:r>
        <w:rPr>
          <w:rFonts w:ascii="Times New Roman" w:cs="Times New Roman" w:eastAsia="Times New Roman" w:hAnsi="Times New Roman"/>
          <w:color w:val="2E74B5"/>
          <w:sz w:val="32"/>
          <w:szCs w:val="32"/>
        </w:rPr>
        <w:t xml:space="preserve">4. Data specification</w:t>
      </w:r>
    </w:p>
    <w:p>
      <w:pPr>
        <w:keepNext/>
        <w:spacing w:after="100" w:before="20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Minimum dataset for one metal in one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700"/>
        <w:gridCol w:w="1650"/>
        <w:gridCol w:w="1700"/>
        <w:gridCol w:w="1960"/>
      </w:tblGrid>
      <w:tr>
        <w:trPr>
          <w:tblHeader/>
        </w:trPr>
        <w:tc>
          <w:tcPr>
            <w:tcW w:type="dxa" w:w="13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Medium</w:t>
            </w:r>
          </w:p>
        </w:tc>
        <w:tc>
          <w:tcPr>
            <w:tcW w:type="dxa" w:w="27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Measurement</w:t>
            </w:r>
          </w:p>
        </w:tc>
        <w:tc>
          <w:tcPr>
            <w:tcW w:type="dxa" w:w="16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Unit / basis</w:t>
            </w:r>
          </w:p>
        </w:tc>
        <w:tc>
          <w:tcPr>
            <w:tcW w:type="dxa" w:w="17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Linked exposure data</w:t>
            </w:r>
          </w:p>
        </w:tc>
        <w:tc>
          <w:tcPr>
            <w:tcW w:type="dxa" w:w="196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Quality requirement</w:t>
            </w:r>
          </w:p>
        </w:tc>
      </w:tr>
      <w:tr>
        <w:trPr>
          <w:cantSplit/>
        </w:trPr>
        <w:tc>
          <w:tcPr>
            <w:tcW w:type="dxa" w:w="1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Drinking water</w:t>
            </w:r>
          </w:p>
        </w:tc>
        <w:tc>
          <w:tcPr>
            <w:tcW w:type="dxa" w:w="2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Total metal; iAs and Cr(VI) speciation</w:t>
            </w:r>
          </w:p>
        </w:tc>
        <w:tc>
          <w:tcPr>
            <w:tcW w:type="dxa" w:w="1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µg/L at the tap</w:t>
            </w:r>
          </w:p>
        </w:tc>
        <w:tc>
          <w:tcPr>
            <w:tcW w:type="dxa" w:w="1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IR</w:t>
            </w:r>
            <w:r>
              <w:rPr>
                <w:rFonts w:ascii="Times New Roman" w:cs="Times New Roman" w:eastAsia="Times New Roman" w:hAnsi="Times New Roman"/>
                <w:sz w:val="16"/>
                <w:szCs w:val="16"/>
                <w:vertAlign w:val="subscript"/>
              </w:rPr>
              <w:t xml:space="preserve">w</w:t>
            </w:r>
            <w:r>
              <w:rPr>
                <w:rFonts w:ascii="Times New Roman" w:cs="Times New Roman" w:eastAsia="Times New Roman" w:hAnsi="Times New Roman"/>
                <w:sz w:val="16"/>
                <w:szCs w:val="16"/>
              </w:rPr>
              <w:t xml:space="preserve"> per person</w:t>
            </w:r>
          </w:p>
        </w:tc>
        <w:tc>
          <w:tcPr>
            <w:tcW w:type="dxa" w:w="19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ICP-MS, LOD ≤ 0.1 × guideline value, CRM</w:t>
            </w:r>
          </w:p>
        </w:tc>
      </w:tr>
      <w:tr>
        <w:trPr>
          <w:cantSplit/>
        </w:trPr>
        <w:tc>
          <w:tcPr>
            <w:tcW w:type="dxa" w:w="1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Diet</w:t>
            </w:r>
          </w:p>
        </w:tc>
        <w:tc>
          <w:tcPr>
            <w:tcW w:type="dxa" w:w="2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Total metal per food group; iAs, MeHg, Cr(VI) where relevant; moisture</w:t>
            </w:r>
          </w:p>
        </w:tc>
        <w:tc>
          <w:tcPr>
            <w:tcW w:type="dxa" w:w="1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µg/kg wet weight as eaten</w:t>
            </w:r>
          </w:p>
        </w:tc>
        <w:tc>
          <w:tcPr>
            <w:tcW w:type="dxa" w:w="1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IR</w:t>
            </w:r>
            <w:r>
              <w:rPr>
                <w:rFonts w:ascii="Times New Roman" w:cs="Times New Roman" w:eastAsia="Times New Roman" w:hAnsi="Times New Roman"/>
                <w:sz w:val="16"/>
                <w:szCs w:val="16"/>
                <w:vertAlign w:val="subscript"/>
              </w:rPr>
              <w:t xml:space="preserve">k</w:t>
            </w:r>
            <w:r>
              <w:rPr>
                <w:rFonts w:ascii="Times New Roman" w:cs="Times New Roman" w:eastAsia="Times New Roman" w:hAnsi="Times New Roman"/>
                <w:sz w:val="16"/>
                <w:szCs w:val="16"/>
              </w:rPr>
              <w:t xml:space="preserve"> per person per food group</w:t>
            </w:r>
          </w:p>
        </w:tc>
        <w:tc>
          <w:tcPr>
            <w:tcW w:type="dxa" w:w="19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CRM, recovery 80–120%, duplicate analysis</w:t>
            </w:r>
          </w:p>
        </w:tc>
      </w:tr>
      <w:tr>
        <w:trPr>
          <w:cantSplit/>
        </w:trPr>
        <w:tc>
          <w:tcPr>
            <w:tcW w:type="dxa" w:w="1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Air</w:t>
            </w:r>
          </w:p>
        </w:tc>
        <w:tc>
          <w:tcPr>
            <w:tcW w:type="dxa" w:w="2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Metal in PM</w:t>
            </w:r>
            <w:r>
              <w:rPr>
                <w:rFonts w:ascii="Times New Roman" w:cs="Times New Roman" w:eastAsia="Times New Roman" w:hAnsi="Times New Roman"/>
                <w:sz w:val="16"/>
                <w:szCs w:val="16"/>
                <w:vertAlign w:val="subscript"/>
              </w:rPr>
              <w:t xml:space="preserve">10</w:t>
            </w:r>
          </w:p>
        </w:tc>
        <w:tc>
          <w:tcPr>
            <w:tcW w:type="dxa" w:w="1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ng/m³ (24-h)</w:t>
            </w:r>
          </w:p>
        </w:tc>
        <w:tc>
          <w:tcPr>
            <w:tcW w:type="dxa" w:w="1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ET (time–activity)</w:t>
            </w:r>
          </w:p>
        </w:tc>
        <w:tc>
          <w:tcPr>
            <w:tcW w:type="dxa" w:w="19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Filter blanks, EN 14902 or equivalent</w:t>
            </w:r>
          </w:p>
        </w:tc>
      </w:tr>
      <w:tr>
        <w:trPr>
          <w:cantSplit/>
        </w:trPr>
        <w:tc>
          <w:tcPr>
            <w:tcW w:type="dxa" w:w="1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Person</w:t>
            </w:r>
          </w:p>
        </w:tc>
        <w:tc>
          <w:tcPr>
            <w:tcW w:type="dxa" w:w="2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Body weight, age, sex</w:t>
            </w:r>
          </w:p>
        </w:tc>
        <w:tc>
          <w:tcPr>
            <w:tcW w:type="dxa" w:w="1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kg</w:t>
            </w:r>
          </w:p>
        </w:tc>
        <w:tc>
          <w:tcPr>
            <w:tcW w:type="dxa" w:w="1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19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Measured, not default</w:t>
            </w:r>
          </w:p>
        </w:tc>
      </w:tr>
      <w:tr>
        <w:trPr>
          <w:cantSplit/>
        </w:trPr>
        <w:tc>
          <w:tcPr>
            <w:tcW w:type="dxa" w:w="1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Optional</w:t>
            </w:r>
          </w:p>
        </w:tc>
        <w:tc>
          <w:tcPr>
            <w:tcW w:type="dxa" w:w="2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Bioaccessibility (in vitro) per matrix</w:t>
            </w:r>
          </w:p>
        </w:tc>
        <w:tc>
          <w:tcPr>
            <w:tcW w:type="dxa" w:w="1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fraction</w:t>
            </w:r>
          </w:p>
        </w:tc>
        <w:tc>
          <w:tcPr>
            <w:tcW w:type="dxa" w:w="1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converted to RBA</w:t>
            </w:r>
          </w:p>
        </w:tc>
        <w:tc>
          <w:tcPr>
            <w:tcW w:type="dxa" w:w="19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Calibrated method</w:t>
            </w:r>
          </w:p>
        </w:tc>
      </w:tr>
    </w:tbl>
    <w:p>
      <w:pPr>
        <w:pStyle w:val="Heading1"/>
        <w:keepNext/>
        <w:spacing w:after="120" w:before="300"/>
      </w:pPr>
      <w:r>
        <w:rPr>
          <w:rFonts w:ascii="Times New Roman" w:cs="Times New Roman" w:eastAsia="Times New Roman" w:hAnsi="Times New Roman"/>
          <w:color w:val="2E74B5"/>
          <w:sz w:val="32"/>
          <w:szCs w:val="32"/>
        </w:rPr>
        <w:t xml:space="preserve">5. Reporting checklist</w:t>
      </w:r>
    </w:p>
    <w:p>
      <w:pPr>
        <w:pStyle w:val="ListParagraph"/>
        <w:numPr>
          <w:ilvl w:val="0"/>
          <w:numId w:val="2"/>
        </w:numPr>
        <w:spacing w:after="80" w:line="290"/>
        <w:jc w:val="both"/>
      </w:pPr>
      <w:r>
        <w:rPr>
          <w:rFonts w:ascii="Times New Roman" w:cs="Times New Roman" w:eastAsia="Times New Roman" w:hAnsi="Times New Roman"/>
        </w:rPr>
        <w:t xml:space="preserve">Population, place and period stated; all media co-located.</w:t>
      </w:r>
    </w:p>
    <w:p>
      <w:pPr>
        <w:pStyle w:val="ListParagraph"/>
        <w:numPr>
          <w:ilvl w:val="0"/>
          <w:numId w:val="2"/>
        </w:numPr>
        <w:spacing w:after="80" w:line="290"/>
        <w:jc w:val="both"/>
      </w:pPr>
      <w:r>
        <w:rPr>
          <w:rFonts w:ascii="Times New Roman" w:cs="Times New Roman" w:eastAsia="Times New Roman" w:hAnsi="Times New Roman"/>
        </w:rPr>
        <w:t xml:space="preserve">Every concentration with its basis (wet/dry), statistic (mean/median), n and non-detect handling.</w:t>
      </w:r>
    </w:p>
    <w:p>
      <w:pPr>
        <w:pStyle w:val="ListParagraph"/>
        <w:numPr>
          <w:ilvl w:val="0"/>
          <w:numId w:val="2"/>
        </w:numPr>
        <w:spacing w:after="80" w:line="290"/>
        <w:jc w:val="both"/>
      </w:pPr>
      <w:r>
        <w:rPr>
          <w:rFonts w:ascii="Times New Roman" w:cs="Times New Roman" w:eastAsia="Times New Roman" w:hAnsi="Times New Roman"/>
        </w:rPr>
        <w:t xml:space="preserve">Toxicity values with agency, version and access date; current IRIS 2025 (iAs) and 2024 (Cr(VI)) values used.</w:t>
      </w:r>
    </w:p>
    <w:p>
      <w:pPr>
        <w:pStyle w:val="ListParagraph"/>
        <w:numPr>
          <w:ilvl w:val="0"/>
          <w:numId w:val="2"/>
        </w:numPr>
        <w:spacing w:after="80" w:line="290"/>
        <w:jc w:val="both"/>
      </w:pPr>
      <w:r>
        <w:rPr>
          <w:rFonts w:ascii="Times New Roman" w:cs="Times New Roman" w:eastAsia="Times New Roman" w:hAnsi="Times New Roman"/>
        </w:rPr>
        <w:t xml:space="preserve">Route-appropriate values (RfC/IUR for air; never oral RfD for inhalation).</w:t>
      </w:r>
    </w:p>
    <w:p>
      <w:pPr>
        <w:pStyle w:val="ListParagraph"/>
        <w:numPr>
          <w:ilvl w:val="0"/>
          <w:numId w:val="2"/>
        </w:numPr>
        <w:spacing w:after="80" w:line="290"/>
        <w:jc w:val="both"/>
      </w:pPr>
      <w:r>
        <w:rPr>
          <w:rFonts w:ascii="Times New Roman" w:cs="Times New Roman" w:eastAsia="Times New Roman" w:hAnsi="Times New Roman"/>
        </w:rPr>
        <w:t xml:space="preserve">MOE, not HQ, for Pb and inorganic As; HQ for these reported only alongside, with the withdrawal stated.</w:t>
      </w:r>
    </w:p>
    <w:p>
      <w:pPr>
        <w:pStyle w:val="ListParagraph"/>
        <w:numPr>
          <w:ilvl w:val="0"/>
          <w:numId w:val="2"/>
        </w:numPr>
        <w:spacing w:after="80" w:line="290"/>
        <w:jc w:val="both"/>
      </w:pPr>
      <w:r>
        <w:rPr>
          <w:rFonts w:ascii="Times New Roman" w:cs="Times New Roman" w:eastAsia="Times New Roman" w:hAnsi="Times New Roman"/>
        </w:rPr>
        <w:t xml:space="preserve">Empirical source contribution f</w:t>
      </w:r>
      <w:r>
        <w:rPr>
          <w:rFonts w:ascii="Times New Roman" w:cs="Times New Roman" w:eastAsia="Times New Roman" w:hAnsi="Times New Roman"/>
          <w:vertAlign w:val="subscript"/>
        </w:rPr>
        <w:t xml:space="preserve">m</w:t>
      </w:r>
      <w:r>
        <w:rPr>
          <w:rFonts w:ascii="Times New Roman" w:cs="Times New Roman" w:eastAsia="Times New Roman" w:hAnsi="Times New Roman"/>
        </w:rPr>
        <w:t xml:space="preserve"> reported and compared with the default 20% allocation.</w:t>
      </w:r>
    </w:p>
    <w:p>
      <w:pPr>
        <w:pStyle w:val="ListParagraph"/>
        <w:numPr>
          <w:ilvl w:val="0"/>
          <w:numId w:val="2"/>
        </w:numPr>
        <w:spacing w:after="80" w:line="290"/>
        <w:jc w:val="both"/>
      </w:pPr>
      <w:r>
        <w:rPr>
          <w:rFonts w:ascii="Times New Roman" w:cs="Times New Roman" w:eastAsia="Times New Roman" w:hAnsi="Times New Roman"/>
        </w:rPr>
        <w:t xml:space="preserve">Deterministic and probabilistic results; P95 from the joint simulation, not the sum of route P95s.</w:t>
      </w:r>
    </w:p>
    <w:p>
      <w:pPr>
        <w:pStyle w:val="ListParagraph"/>
        <w:numPr>
          <w:ilvl w:val="0"/>
          <w:numId w:val="2"/>
        </w:numPr>
        <w:spacing w:after="80" w:line="290"/>
        <w:jc w:val="both"/>
      </w:pPr>
      <w:r>
        <w:rPr>
          <w:rFonts w:ascii="Times New Roman" w:cs="Times New Roman" w:eastAsia="Times New Roman" w:hAnsi="Times New Roman"/>
        </w:rPr>
        <w:t xml:space="preserve">Target-organ HI rather than an all-metal sum, or both with the sum labelled as a screening bound.</w:t>
      </w:r>
    </w:p>
    <w:p>
      <w:r>
        <w:br w:type="page"/>
      </w:r>
    </w:p>
    <w:p>
      <w:pPr>
        <w:pStyle w:val="Heading1"/>
        <w:keepNext/>
        <w:spacing w:after="120" w:before="300"/>
      </w:pPr>
      <w:r>
        <w:rPr>
          <w:rFonts w:ascii="Times New Roman" w:cs="Times New Roman" w:eastAsia="Times New Roman" w:hAnsi="Times New Roman"/>
          <w:color w:val="2E74B5"/>
          <w:sz w:val="32"/>
          <w:szCs w:val="32"/>
        </w:rPr>
        <w:t xml:space="preserve">References</w:t>
      </w:r>
    </w:p>
    <w:p>
      <w:pPr>
        <w:spacing w:after="80" w:line="260"/>
        <w:ind w:left="400" w:hanging="400"/>
      </w:pPr>
      <w:r>
        <w:rPr>
          <w:rFonts w:ascii="Times New Roman" w:cs="Times New Roman" w:eastAsia="Times New Roman" w:hAnsi="Times New Roman"/>
          <w:sz w:val="20"/>
          <w:szCs w:val="20"/>
        </w:rPr>
        <w:t xml:space="preserve">1. World Health Organization. Guidelines for Drinking-water Quality: Fourth Edition Incorporating the First and Second Addenda. Geneva: WHO; 2022. ISBN 978-92-4-004506-4 (Sections 8.2.2, 8.2.8, 8.2.9 and chemical fact sheets 12.1)</w:t>
      </w:r>
    </w:p>
    <w:p>
      <w:pPr>
        <w:spacing w:after="80" w:line="260"/>
        <w:ind w:left="400" w:hanging="400"/>
      </w:pPr>
      <w:r>
        <w:rPr>
          <w:rFonts w:ascii="Times New Roman" w:cs="Times New Roman" w:eastAsia="Times New Roman" w:hAnsi="Times New Roman"/>
          <w:sz w:val="20"/>
          <w:szCs w:val="20"/>
        </w:rPr>
        <w:t xml:space="preserve">2. US EPA. Risk Assessment Guidance for Superfund, Volume I: Human Health Evaluation Manual (Part A). EPA/540/1-89/002. Washington, DC; 1989</w:t>
      </w:r>
    </w:p>
    <w:p>
      <w:pPr>
        <w:spacing w:after="80" w:line="260"/>
        <w:ind w:left="400" w:hanging="400"/>
      </w:pPr>
      <w:r>
        <w:rPr>
          <w:rFonts w:ascii="Times New Roman" w:cs="Times New Roman" w:eastAsia="Times New Roman" w:hAnsi="Times New Roman"/>
          <w:sz w:val="20"/>
          <w:szCs w:val="20"/>
        </w:rPr>
        <w:t xml:space="preserve">3. US EPA. Risk Assessment Guidance for Superfund, Volume I: Human Health Evaluation Manual (Part F, Supplemental Guidance for Inhalation Risk Assessment). EPA-540-R-070-002. Washington, DC; 2009</w:t>
      </w:r>
    </w:p>
    <w:p>
      <w:pPr>
        <w:spacing w:after="80" w:line="260"/>
        <w:ind w:left="400" w:hanging="400"/>
      </w:pPr>
      <w:r>
        <w:rPr>
          <w:rFonts w:ascii="Times New Roman" w:cs="Times New Roman" w:eastAsia="Times New Roman" w:hAnsi="Times New Roman"/>
          <w:sz w:val="20"/>
          <w:szCs w:val="20"/>
        </w:rPr>
        <w:t xml:space="preserve">4. US EPA. Risk Assessment Guidance for Superfund, Volume III Part A: Process for Conducting Probabilistic Risk Assessment. EPA 540-R-02-002. Washington, DC; 2001</w:t>
      </w:r>
    </w:p>
    <w:p>
      <w:pPr>
        <w:spacing w:after="80" w:line="260"/>
        <w:ind w:left="400" w:hanging="400"/>
      </w:pPr>
      <w:r>
        <w:rPr>
          <w:rFonts w:ascii="Times New Roman" w:cs="Times New Roman" w:eastAsia="Times New Roman" w:hAnsi="Times New Roman"/>
          <w:sz w:val="20"/>
          <w:szCs w:val="20"/>
        </w:rPr>
        <w:t xml:space="preserve">5. US EPA. Methodology for Deriving Ambient Water Quality Criteria for the Protection of Human Health (2000). EPA-822-B-00-004. Washington, DC; 2000</w:t>
      </w:r>
    </w:p>
    <w:p>
      <w:pPr>
        <w:spacing w:after="80" w:line="260"/>
        <w:ind w:left="400" w:hanging="400"/>
      </w:pPr>
      <w:r>
        <w:rPr>
          <w:rFonts w:ascii="Times New Roman" w:cs="Times New Roman" w:eastAsia="Times New Roman" w:hAnsi="Times New Roman"/>
          <w:sz w:val="20"/>
          <w:szCs w:val="20"/>
        </w:rPr>
        <w:t xml:space="preserve">6. European Chemicals Agency. Guidance on Information Requirements and Chemical Safety Assessment, Chapter R.8: Characterisation of dose [concentration]-response for human health. Version 2.1. Helsinki: ECHA; 2012</w:t>
      </w:r>
    </w:p>
    <w:p>
      <w:pPr>
        <w:spacing w:after="80" w:line="260"/>
        <w:ind w:left="400" w:hanging="400"/>
      </w:pPr>
      <w:r>
        <w:rPr>
          <w:rFonts w:ascii="Times New Roman" w:cs="Times New Roman" w:eastAsia="Times New Roman" w:hAnsi="Times New Roman"/>
          <w:sz w:val="20"/>
          <w:szCs w:val="20"/>
        </w:rPr>
        <w:t xml:space="preserve">7. Morgenstern H. Ecologic studies in epidemiology: concepts, principles, and methods. Annu Rev Public Health. 1995;16:61–81</w:t>
      </w:r>
    </w:p>
    <w:p>
      <w:pPr>
        <w:spacing w:after="80" w:line="260"/>
        <w:ind w:left="400" w:hanging="400"/>
      </w:pPr>
      <w:r>
        <w:rPr>
          <w:rFonts w:ascii="Times New Roman" w:cs="Times New Roman" w:eastAsia="Times New Roman" w:hAnsi="Times New Roman"/>
          <w:sz w:val="20"/>
          <w:szCs w:val="20"/>
        </w:rPr>
        <w:t xml:space="preserve">8. US EPA. Exposure Factors Handbook: 2011 Edition. EPA/600/R-09/052F. Washington, DC; 2011</w:t>
      </w:r>
    </w:p>
    <w:p>
      <w:pPr>
        <w:spacing w:after="80" w:line="260"/>
        <w:ind w:left="400" w:hanging="400"/>
      </w:pPr>
      <w:r>
        <w:rPr>
          <w:rFonts w:ascii="Times New Roman" w:cs="Times New Roman" w:eastAsia="Times New Roman" w:hAnsi="Times New Roman"/>
          <w:sz w:val="20"/>
          <w:szCs w:val="20"/>
        </w:rPr>
        <w:t xml:space="preserve">9. Ruby MV, Davis A, Schoof R, Eberle S, Sellstone CM. Estimation of lead and arsenic bioavailability using a physiologically based extraction test. Environ Sci Technol. 1996;30:422–430</w:t>
      </w:r>
    </w:p>
    <w:p>
      <w:pPr>
        <w:spacing w:after="80" w:line="260"/>
        <w:ind w:left="400" w:hanging="400"/>
      </w:pPr>
      <w:r>
        <w:rPr>
          <w:rFonts w:ascii="Times New Roman" w:cs="Times New Roman" w:eastAsia="Times New Roman" w:hAnsi="Times New Roman"/>
          <w:sz w:val="20"/>
          <w:szCs w:val="20"/>
        </w:rPr>
        <w:t xml:space="preserve">10. Wang B, Zhang L, Feng W, Zhang H, Duan X, Qin N. Bioaccessibility-corrected probabilistic health risk assessment of dietary metal(loid) exposure in six major food groups in children from Northwest China. Environ Sci Eur. 2024;36:6. doi:10.1186/s12302-023-00830-4</w:t>
      </w:r>
    </w:p>
    <w:p>
      <w:pPr>
        <w:spacing w:after="80" w:line="260"/>
        <w:ind w:left="400" w:hanging="400"/>
      </w:pPr>
      <w:r>
        <w:rPr>
          <w:rFonts w:ascii="Times New Roman" w:cs="Times New Roman" w:eastAsia="Times New Roman" w:hAnsi="Times New Roman"/>
          <w:sz w:val="20"/>
          <w:szCs w:val="20"/>
        </w:rPr>
        <w:t xml:space="preserve">11. US EPA. Integrated Risk Information System (IRIS) Chemical Assessment Summary: Cadmium (CASRN 7440-43-9). Washington, DC; oral RfD 1989, inhalation unit risk 1992</w:t>
      </w:r>
    </w:p>
    <w:p>
      <w:pPr>
        <w:spacing w:after="80" w:line="260"/>
        <w:ind w:left="400" w:hanging="400"/>
      </w:pPr>
      <w:r>
        <w:rPr>
          <w:rFonts w:ascii="Times New Roman" w:cs="Times New Roman" w:eastAsia="Times New Roman" w:hAnsi="Times New Roman"/>
          <w:sz w:val="20"/>
          <w:szCs w:val="20"/>
        </w:rPr>
        <w:t xml:space="preserve">12. EFSA CONTAM Panel. Scientific opinion on lead in food. EFSA J. 2010;8(4):1570</w:t>
      </w:r>
    </w:p>
    <w:p>
      <w:pPr>
        <w:spacing w:after="80" w:line="260"/>
        <w:ind w:left="400" w:hanging="400"/>
      </w:pPr>
      <w:r>
        <w:rPr>
          <w:rFonts w:ascii="Times New Roman" w:cs="Times New Roman" w:eastAsia="Times New Roman" w:hAnsi="Times New Roman"/>
          <w:sz w:val="20"/>
          <w:szCs w:val="20"/>
        </w:rPr>
        <w:t xml:space="preserve">13. EFSA CONTAM Panel. Update of the risk assessment of inorganic arsenic in food. EFSA J. 2024;22(1):e8488</w:t>
      </w:r>
    </w:p>
    <w:p>
      <w:pPr>
        <w:spacing w:after="80" w:line="260"/>
        <w:ind w:left="400" w:hanging="400"/>
      </w:pPr>
      <w:r>
        <w:rPr>
          <w:rFonts w:ascii="Times New Roman" w:cs="Times New Roman" w:eastAsia="Times New Roman" w:hAnsi="Times New Roman"/>
          <w:sz w:val="20"/>
          <w:szCs w:val="20"/>
        </w:rPr>
        <w:t xml:space="preserve">14. EFSA Scientific Committee. Opinion on a harmonised approach for risk assessment of substances which are both genotoxic and carcinogenic. EFSA J. 2005;282:1–31</w:t>
      </w:r>
    </w:p>
    <w:p>
      <w:pPr>
        <w:spacing w:after="80" w:line="260"/>
        <w:ind w:left="400" w:hanging="400"/>
      </w:pPr>
      <w:r>
        <w:rPr>
          <w:rFonts w:ascii="Times New Roman" w:cs="Times New Roman" w:eastAsia="Times New Roman" w:hAnsi="Times New Roman"/>
          <w:sz w:val="20"/>
          <w:szCs w:val="20"/>
        </w:rPr>
        <w:t xml:space="preserve">15. US EPA. Guidance Manual for the Integrated Exposure Uptake Biokinetic Model for Lead in Children. EPA/540/R-93/081. Washington, DC; 1994</w:t>
      </w:r>
    </w:p>
    <w:p>
      <w:pPr>
        <w:spacing w:after="80" w:line="260"/>
        <w:ind w:left="400" w:hanging="400"/>
      </w:pPr>
      <w:r>
        <w:rPr>
          <w:rFonts w:ascii="Times New Roman" w:cs="Times New Roman" w:eastAsia="Times New Roman" w:hAnsi="Times New Roman"/>
          <w:sz w:val="20"/>
          <w:szCs w:val="20"/>
        </w:rPr>
        <w:t xml:space="preserve">16. US EPA. Supplemental Guidance for Assessing Susceptibility from Early-Life Exposure to Carcinogens. EPA/630/R-03/003F. Washington, DC; 2005</w:t>
      </w:r>
    </w:p>
    <w:p>
      <w:pPr>
        <w:spacing w:after="80" w:line="260"/>
        <w:ind w:left="400" w:hanging="400"/>
      </w:pPr>
      <w:r>
        <w:rPr>
          <w:rFonts w:ascii="Times New Roman" w:cs="Times New Roman" w:eastAsia="Times New Roman" w:hAnsi="Times New Roman"/>
          <w:sz w:val="20"/>
          <w:szCs w:val="20"/>
        </w:rPr>
        <w:t xml:space="preserve">17. US EPA. IRIS Toxicological Review of Hexavalent Chromium [Cr(VI)] (Final Report). Washington, DC: Integrated Risk Information System; August 2024</w:t>
      </w:r>
    </w:p>
    <w:p>
      <w:pPr>
        <w:spacing w:after="80" w:line="260"/>
        <w:ind w:left="400" w:hanging="400"/>
      </w:pPr>
      <w:r>
        <w:rPr>
          <w:rFonts w:ascii="Times New Roman" w:cs="Times New Roman" w:eastAsia="Times New Roman" w:hAnsi="Times New Roman"/>
          <w:sz w:val="20"/>
          <w:szCs w:val="20"/>
        </w:rPr>
        <w:t xml:space="preserve">18. US EPA. IRIS Toxicological Review of Inorganic Arsenic (Final Report). EPA/635/R-25/005. Washington, DC: Integrated Risk Information System; January 2025</w:t>
      </w:r>
    </w:p>
    <w:p>
      <w:pPr>
        <w:spacing w:after="80" w:line="260"/>
        <w:ind w:left="400" w:hanging="400"/>
      </w:pPr>
      <w:r>
        <w:rPr>
          <w:rFonts w:ascii="Times New Roman" w:cs="Times New Roman" w:eastAsia="Times New Roman" w:hAnsi="Times New Roman"/>
          <w:sz w:val="20"/>
          <w:szCs w:val="20"/>
        </w:rPr>
        <w:t xml:space="preserve">19. Krishnan K, Carrier R. The use of exposure source allocation factor in the risk assessment of drinking-water contaminants. J Toxicol Environ Health B Crit Rev. 2013;16:39–51</w:t>
      </w:r>
    </w:p>
    <w:p>
      <w:pPr>
        <w:spacing w:after="80" w:line="260"/>
        <w:ind w:left="400" w:hanging="400"/>
      </w:pPr>
      <w:r>
        <w:rPr>
          <w:rFonts w:ascii="Times New Roman" w:cs="Times New Roman" w:eastAsia="Times New Roman" w:hAnsi="Times New Roman"/>
          <w:sz w:val="20"/>
          <w:szCs w:val="20"/>
        </w:rPr>
        <w:t xml:space="preserve">20. US EPA. Supplementary Guidance for Conducting Health Risk Assessment of Chemical Mixtures. EPA/630/R-00/002. Washington, DC; 2000</w:t>
      </w:r>
    </w:p>
    <w:p>
      <w:pPr>
        <w:spacing w:after="80" w:line="260"/>
        <w:ind w:left="400" w:hanging="400"/>
      </w:pPr>
      <w:r>
        <w:rPr>
          <w:rFonts w:ascii="Times New Roman" w:cs="Times New Roman" w:eastAsia="Times New Roman" w:hAnsi="Times New Roman"/>
          <w:sz w:val="20"/>
          <w:szCs w:val="20"/>
        </w:rPr>
        <w:t xml:space="preserve">21. Helsel DR. Statistics for Censored Environmental Data Using Minitab and R. 2nd ed. Hoboken: Wiley; 2012</w:t>
      </w:r>
    </w:p>
    <w:p>
      <w:pPr>
        <w:spacing w:after="80" w:line="260"/>
        <w:ind w:left="400" w:hanging="400"/>
      </w:pPr>
      <w:r>
        <w:rPr>
          <w:rFonts w:ascii="Times New Roman" w:cs="Times New Roman" w:eastAsia="Times New Roman" w:hAnsi="Times New Roman"/>
          <w:sz w:val="20"/>
          <w:szCs w:val="20"/>
        </w:rPr>
        <w:t xml:space="preserve">22. Iman RL, Conover WJ. A distribution-free approach to inducing rank correlation among input variables. Commun Stat Simul Comput. 1982;11:311–334</w:t>
      </w:r>
    </w:p>
    <w:p>
      <w:pPr>
        <w:spacing w:after="80" w:line="260"/>
        <w:ind w:left="400" w:hanging="400"/>
      </w:pPr>
      <w:r>
        <w:rPr>
          <w:rFonts w:ascii="Times New Roman" w:cs="Times New Roman" w:eastAsia="Times New Roman" w:hAnsi="Times New Roman"/>
          <w:sz w:val="20"/>
          <w:szCs w:val="20"/>
        </w:rPr>
        <w:t xml:space="preserve">23. US EPA. Human Health Evaluation Manual, Supplemental Guidance: Update of Standard Default Exposure Factors. OSWER Directive 9200.1-120. Washington, DC; 2014</w:t>
      </w:r>
    </w:p>
    <w:p>
      <w:pPr>
        <w:spacing w:after="80" w:line="260"/>
        <w:ind w:left="400" w:hanging="400"/>
      </w:pPr>
      <w:r>
        <w:rPr>
          <w:rFonts w:ascii="Times New Roman" w:cs="Times New Roman" w:eastAsia="Times New Roman" w:hAnsi="Times New Roman"/>
          <w:sz w:val="20"/>
          <w:szCs w:val="20"/>
        </w:rPr>
        <w:t xml:space="preserve">24. Zhang J, Zhu L, Li F, Liu C, Yang Z, Qiu Z, Xiao M. Heavy metals and metalloid distribution in different organs and health risk assessment for edible tissues of fish captured from Honghu Lake. Oncotarget. 2017;8(60):101672–101685</w:t>
      </w:r>
    </w:p>
    <w:p>
      <w:pPr>
        <w:spacing w:after="80" w:line="260"/>
        <w:ind w:left="400" w:hanging="400"/>
      </w:pPr>
      <w:r>
        <w:rPr>
          <w:rFonts w:ascii="Times New Roman" w:cs="Times New Roman" w:eastAsia="Times New Roman" w:hAnsi="Times New Roman"/>
          <w:sz w:val="20"/>
          <w:szCs w:val="20"/>
        </w:rPr>
        <w:t xml:space="preserve">25. Directive 2004/107/EC of the European Parliament and of the Council relating to arsenic, cadmium, mercury, nickel and polycyclic aromatic hydrocarbons in ambient air; and Directive 2008/50/EC on ambient air quality and cleaner air for Europe (lead limit value 0.5 µg/m³)</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0e93b125fc8461ba64c6925aa11394e249b76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2026-10-09T20:30:24.534Z</dcterms:created>
  <dcterms:modified xsi:type="dcterms:W3CDTF">2026-10-09T20:30:24.534Z</dcterms:modified>
</cp:coreProperties>
</file>

<file path=docProps/custom.xml><?xml version="1.0" encoding="utf-8"?>
<Properties xmlns="http://schemas.openxmlformats.org/officeDocument/2006/custom-properties" xmlns:vt="http://schemas.openxmlformats.org/officeDocument/2006/docPropsVTypes"/>
</file>